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674129" w:rsidTr="009A1E48">
        <w:trPr>
          <w:jc w:val="center"/>
        </w:trPr>
        <w:tc>
          <w:tcPr>
            <w:tcW w:w="8820" w:type="dxa"/>
            <w:gridSpan w:val="2"/>
          </w:tcPr>
          <w:p w:rsidRPr="00674129" w:rsidR="00674129" w:rsidP="00247634" w:rsidRDefault="0067412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ascii="Arial" w:hAnsi="Arial"/>
                  <w:b/>
                  <w:bCs/>
                  <w:sz w:val="26"/>
                  <w:szCs w:val="26"/>
                  <w:highlight w:val="yellow"/>
                  <w:rtl/>
                </w:rPr>
                <w:alias w:val="1179"/>
                <w:tag w:val="1179"/>
                <w:id w:val="-1290655291"/>
                <w:placeholder>
                  <w:docPart w:val="0644ABD3969D4E7899A676DFBBD00B09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שכיב סרחאן</w:t>
                </w:r>
              </w:sdtContent>
            </w:sdt>
            <w:r w:rsidR="00247634"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  <w:t xml:space="preserve"> </w:t>
            </w:r>
          </w:p>
        </w:tc>
      </w:tr>
      <w:tr w:rsidR="00053FB9" w:rsidTr="00F23C7C">
        <w:trPr>
          <w:jc w:val="center"/>
        </w:trPr>
        <w:tc>
          <w:tcPr>
            <w:tcW w:w="8820" w:type="dxa"/>
            <w:gridSpan w:val="2"/>
          </w:tcPr>
          <w:p w:rsidR="00AF3BCF" w:rsidP="00C51490" w:rsidRDefault="00AF3BCF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FD3066" w:rsidP="00FD3066" w:rsidRDefault="00FD3066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בעניין: פקודת פשיטת הרגל [נוסח חדש], התש"ם-1980</w:t>
            </w:r>
          </w:p>
          <w:p w:rsidR="00AF3BCF" w:rsidP="008B49C9" w:rsidRDefault="008B49C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D306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="00FD3066">
              <w:rPr>
                <w:rFonts w:hint="cs"/>
                <w:b/>
                <w:bCs/>
                <w:sz w:val="26"/>
                <w:szCs w:val="26"/>
                <w:rtl/>
              </w:rPr>
              <w:t xml:space="preserve">  ובעניין: </w:t>
            </w:r>
          </w:p>
        </w:tc>
      </w:tr>
      <w:tr w:rsidR="00694556">
        <w:trPr>
          <w:jc w:val="center"/>
        </w:trPr>
        <w:tc>
          <w:tcPr>
            <w:tcW w:w="3249" w:type="dxa"/>
          </w:tcPr>
          <w:p w:rsidR="0049455B" w:rsidP="0049455B" w:rsidRDefault="0049455B">
            <w:pPr>
              <w:rPr>
                <w:rtl/>
              </w:rPr>
            </w:pPr>
          </w:p>
          <w:p w:rsidRPr="0049455B" w:rsidR="00694556" w:rsidP="0049455B" w:rsidRDefault="006E741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B76822">
              <w:rPr>
                <w:rFonts w:hint="eastAsia"/>
                <w:b/>
                <w:bCs/>
                <w:sz w:val="26"/>
                <w:szCs w:val="26"/>
                <w:rtl/>
              </w:rPr>
              <w:t>המבקש</w:t>
            </w:r>
            <w:r>
              <w:rPr>
                <w:b/>
                <w:bCs/>
                <w:sz w:val="26"/>
                <w:szCs w:val="26"/>
                <w:rtl/>
              </w:rPr>
              <w:t xml:space="preserve"> / 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החייב</w:t>
            </w:r>
            <w:r w:rsidRPr="00B76822">
              <w:rPr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50F6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1843848329"/>
                <w:text w:multiLine="1"/>
              </w:sdtPr>
              <w:sdtEndPr/>
              <w:sdtContent>
                <w:r w:rsidRPr="00A1009C"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ויקטור בורכע</w:t>
                </w:r>
                <w:r w:rsidRPr="00A1009C" w:rsidR="00A1009C">
                  <w:rPr>
                    <w:rFonts w:hint="cs"/>
                    <w:b/>
                    <w:bCs/>
                    <w:rtl/>
                  </w:rPr>
                  <w:t>,</w:t>
                </w:r>
                <w:r w:rsidR="00A1009C">
                  <w:rPr>
                    <w:rFonts w:hint="cs"/>
                    <w:b/>
                    <w:bCs/>
                    <w:rtl/>
                  </w:rPr>
                  <w:t xml:space="preserve"> </w:t>
                </w:r>
                <w:r w:rsidRPr="00A1009C" w:rsidR="00A1009C">
                  <w:rPr>
                    <w:rFonts w:hint="cs"/>
                    <w:b/>
                    <w:bCs/>
                    <w:rtl/>
                  </w:rPr>
                  <w:t>ת.ז. 22204663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</w:t>
            </w:r>
            <w:r w:rsidR="00A1009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ים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50F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84414738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99464902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="00694556" w:rsidRDefault="00350F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4766051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262371569"/>
                <w:text w:multiLine="1"/>
              </w:sdtPr>
              <w:sdtEndPr/>
              <w:sdtContent>
                <w:r w:rsidR="00A1009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עו"ד </w:t>
                </w:r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קלמן ריבקין (מנהל מיוחד)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1009C" w:rsidP="00030E7B" w:rsidRDefault="00A1009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בעניין: בקשה להכרזה ומתן הפטר לאלתר. </w:t>
      </w:r>
    </w:p>
    <w:p w:rsidR="004D29EC" w:rsidP="00030E7B" w:rsidRDefault="004D29EC">
      <w:pPr>
        <w:spacing w:line="360" w:lineRule="auto"/>
        <w:jc w:val="both"/>
      </w:pPr>
    </w:p>
    <w:p w:rsidR="00A1009C" w:rsidP="00030E7B" w:rsidRDefault="00A1009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עיון בהודעת עדכון של המנהל המיוחד </w:t>
      </w:r>
      <w:r w:rsidR="004D29EC">
        <w:rPr>
          <w:rFonts w:hint="cs"/>
          <w:rtl/>
        </w:rPr>
        <w:t xml:space="preserve">מהיום, </w:t>
      </w:r>
      <w:r>
        <w:rPr>
          <w:rFonts w:hint="cs"/>
          <w:rtl/>
        </w:rPr>
        <w:t>בהמשך לדיון מיום 25.1.2018 ולאחר עיון במסמכים שבתיק, שוכנעתי,  כי בקשה זו בדין יסודה, והכל מהנימוקים דלהלן:</w:t>
      </w:r>
    </w:p>
    <w:p w:rsidR="004D29EC" w:rsidP="00030E7B" w:rsidRDefault="004D29EC">
      <w:pPr>
        <w:spacing w:line="360" w:lineRule="auto"/>
        <w:jc w:val="both"/>
      </w:pPr>
    </w:p>
    <w:p w:rsidR="00B578E0" w:rsidP="00030E7B" w:rsidRDefault="00A1009C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 w:rsidR="00B578E0">
        <w:rPr>
          <w:rFonts w:hint="cs"/>
          <w:rtl/>
        </w:rPr>
        <w:t xml:space="preserve">  </w:t>
      </w:r>
      <w:r>
        <w:rPr>
          <w:rFonts w:hint="cs"/>
          <w:rtl/>
        </w:rPr>
        <w:t xml:space="preserve">צו כינוס על נכסי החייב ניתן לבקשתו ביום 20.4.2016 . הודעות בדבר מתן צו הכינוס והזמנה </w:t>
      </w:r>
    </w:p>
    <w:p w:rsidR="00B578E0" w:rsidP="00030E7B" w:rsidRDefault="00B578E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  </w:t>
      </w:r>
      <w:r w:rsidR="00A1009C">
        <w:rPr>
          <w:rFonts w:hint="cs"/>
          <w:rtl/>
        </w:rPr>
        <w:t xml:space="preserve">לדיון </w:t>
      </w:r>
      <w:r>
        <w:rPr>
          <w:rFonts w:hint="cs"/>
          <w:rtl/>
        </w:rPr>
        <w:t xml:space="preserve"> בבקש</w:t>
      </w:r>
      <w:r w:rsidR="00A1009C">
        <w:rPr>
          <w:rFonts w:hint="cs"/>
          <w:rtl/>
        </w:rPr>
        <w:t xml:space="preserve">ת </w:t>
      </w:r>
      <w:r w:rsidR="00AE4348">
        <w:rPr>
          <w:rFonts w:hint="cs"/>
          <w:rtl/>
        </w:rPr>
        <w:t>החייב להכריזו פושט רגל</w:t>
      </w:r>
      <w:r>
        <w:rPr>
          <w:rFonts w:hint="cs"/>
          <w:rtl/>
        </w:rPr>
        <w:t>,</w:t>
      </w:r>
      <w:r w:rsidR="00A1009C">
        <w:rPr>
          <w:rFonts w:hint="cs"/>
          <w:rtl/>
        </w:rPr>
        <w:t>שנקבע ליום 25.1.2018</w:t>
      </w:r>
      <w:r>
        <w:rPr>
          <w:rFonts w:hint="cs"/>
          <w:rtl/>
        </w:rPr>
        <w:t xml:space="preserve">, פורסמו ברשומות </w:t>
      </w:r>
    </w:p>
    <w:p w:rsidR="004D29EC" w:rsidP="00030E7B" w:rsidRDefault="00B578E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  ביום 26.5.2016</w:t>
      </w:r>
      <w:r w:rsidR="00A1009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 w:rsidR="004D29EC">
        <w:rPr>
          <w:rFonts w:hint="cs"/>
          <w:rtl/>
        </w:rPr>
        <w:t xml:space="preserve"> המנהל המיוחד אישר ,כי </w:t>
      </w:r>
      <w:r w:rsidR="00AE4348">
        <w:rPr>
          <w:rFonts w:hint="cs"/>
          <w:rtl/>
        </w:rPr>
        <w:t>החייב המציא כדין את צו הכינוס לנ</w:t>
      </w:r>
      <w:r w:rsidR="004D29EC">
        <w:rPr>
          <w:rFonts w:hint="cs"/>
          <w:rtl/>
        </w:rPr>
        <w:t xml:space="preserve">ושיו </w:t>
      </w:r>
    </w:p>
    <w:p w:rsidR="004D29EC" w:rsidP="00AE4348" w:rsidRDefault="005B427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 </w:t>
      </w:r>
      <w:r w:rsidR="004D29EC">
        <w:rPr>
          <w:rFonts w:hint="cs"/>
          <w:rtl/>
        </w:rPr>
        <w:t xml:space="preserve">עוד בחודש מאי 2016. </w:t>
      </w:r>
    </w:p>
    <w:p w:rsidR="00AE4348" w:rsidP="00AE4348" w:rsidRDefault="00AE4348">
      <w:pPr>
        <w:spacing w:line="360" w:lineRule="auto"/>
        <w:jc w:val="both"/>
        <w:rPr>
          <w:rtl/>
        </w:rPr>
      </w:pPr>
    </w:p>
    <w:p w:rsidR="00B578E0" w:rsidP="00030E7B" w:rsidRDefault="00AE3757">
      <w:pPr>
        <w:spacing w:line="360" w:lineRule="auto"/>
        <w:jc w:val="both"/>
        <w:rPr>
          <w:rtl/>
        </w:rPr>
      </w:pPr>
      <w:r>
        <w:rPr>
          <w:rFonts w:hint="cs"/>
          <w:rtl/>
        </w:rPr>
        <w:t>2</w:t>
      </w:r>
      <w:r w:rsidR="00B578E0">
        <w:rPr>
          <w:rFonts w:hint="cs"/>
          <w:rtl/>
        </w:rPr>
        <w:t xml:space="preserve">.           החייב הצהיר על שני נושים בבקשתו ובטופס 5 שצורף לה והם: עיריית נתניה והמוסד לביטוח </w:t>
      </w:r>
    </w:p>
    <w:p w:rsidR="004D29EC" w:rsidP="00030E7B" w:rsidRDefault="00B578E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</w:t>
      </w:r>
      <w:r w:rsidR="004D29EC">
        <w:rPr>
          <w:rFonts w:hint="cs"/>
          <w:rtl/>
        </w:rPr>
        <w:t>לאומי</w:t>
      </w:r>
      <w:r>
        <w:rPr>
          <w:rFonts w:hint="cs"/>
          <w:rtl/>
        </w:rPr>
        <w:t>.</w:t>
      </w:r>
      <w:r w:rsidR="004D29EC">
        <w:rPr>
          <w:rFonts w:hint="cs"/>
          <w:rtl/>
        </w:rPr>
        <w:t xml:space="preserve"> החוב המוצהר עומד על סך 168,000 ₪. דא עקא ונכון להיום, הנושים לא הגישו </w:t>
      </w:r>
    </w:p>
    <w:p w:rsidR="00B578E0" w:rsidP="00030E7B" w:rsidRDefault="004D29E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תביעות חוב כלל.</w:t>
      </w:r>
    </w:p>
    <w:p w:rsidR="004D29EC" w:rsidP="00030E7B" w:rsidRDefault="004D29EC">
      <w:pPr>
        <w:spacing w:line="360" w:lineRule="auto"/>
        <w:jc w:val="both"/>
        <w:rPr>
          <w:rtl/>
        </w:rPr>
      </w:pPr>
    </w:p>
    <w:p w:rsidR="00480A7C" w:rsidP="00480A7C" w:rsidRDefault="00AE375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 w:rsidR="00A1009C">
        <w:rPr>
          <w:rFonts w:hint="cs"/>
          <w:rtl/>
        </w:rPr>
        <w:t>.</w:t>
      </w:r>
      <w:r w:rsidR="00A1009C">
        <w:rPr>
          <w:rFonts w:hint="cs"/>
          <w:rtl/>
        </w:rPr>
        <w:tab/>
      </w:r>
      <w:r w:rsidR="004D29EC">
        <w:rPr>
          <w:rFonts w:hint="cs"/>
          <w:rtl/>
        </w:rPr>
        <w:t>החייב יליד שנת</w:t>
      </w:r>
      <w:r w:rsidR="00AE4348">
        <w:rPr>
          <w:rFonts w:hint="cs"/>
          <w:rtl/>
        </w:rPr>
        <w:t xml:space="preserve"> 1965,גרוש ואב לשני ילדים בגירים</w:t>
      </w:r>
      <w:r w:rsidR="00A1009C">
        <w:rPr>
          <w:rFonts w:hint="cs"/>
          <w:rtl/>
        </w:rPr>
        <w:t xml:space="preserve">. החייב </w:t>
      </w:r>
      <w:r w:rsidR="00AE4348">
        <w:rPr>
          <w:rFonts w:hint="cs"/>
          <w:rtl/>
        </w:rPr>
        <w:t xml:space="preserve">מתגורה </w:t>
      </w:r>
      <w:r w:rsidR="00E5329B">
        <w:rPr>
          <w:rFonts w:hint="cs"/>
          <w:rtl/>
        </w:rPr>
        <w:t xml:space="preserve">בדירה </w:t>
      </w:r>
      <w:r w:rsidR="00AE4348">
        <w:rPr>
          <w:rFonts w:hint="cs"/>
          <w:rtl/>
        </w:rPr>
        <w:t>השייכת להוריו המנוחים</w:t>
      </w:r>
      <w:r w:rsidR="00A1009C">
        <w:rPr>
          <w:rFonts w:hint="cs"/>
          <w:rtl/>
        </w:rPr>
        <w:t xml:space="preserve">. הוא </w:t>
      </w:r>
      <w:r w:rsidR="00AE4348">
        <w:rPr>
          <w:rFonts w:hint="cs"/>
          <w:rtl/>
        </w:rPr>
        <w:t xml:space="preserve"> לא </w:t>
      </w:r>
      <w:r w:rsidR="00A1009C">
        <w:rPr>
          <w:rFonts w:hint="cs"/>
          <w:rtl/>
        </w:rPr>
        <w:t xml:space="preserve">עובד. </w:t>
      </w:r>
      <w:r w:rsidR="00AE4348">
        <w:rPr>
          <w:rFonts w:hint="cs"/>
          <w:rtl/>
        </w:rPr>
        <w:t xml:space="preserve"> עבר אירוע לבבי שהצריך ניתוח לב פתוח קשה. מוכר על ידי המוסד לביטוח לאומי כנכה ב</w:t>
      </w:r>
      <w:r w:rsidR="00E5329B">
        <w:rPr>
          <w:rFonts w:hint="cs"/>
          <w:rtl/>
        </w:rPr>
        <w:t>ש</w:t>
      </w:r>
      <w:r w:rsidR="00AE4348">
        <w:rPr>
          <w:rFonts w:hint="cs"/>
          <w:rtl/>
        </w:rPr>
        <w:t xml:space="preserve">יעור 75% אי-כושר לעבודה. מקבל קיצבת </w:t>
      </w:r>
      <w:r w:rsidR="00480A7C">
        <w:rPr>
          <w:rFonts w:hint="cs"/>
          <w:rtl/>
        </w:rPr>
        <w:t>נכות כללית מהמוסד לביטוח לאומי בסך 3,000 ש"ח.</w:t>
      </w:r>
      <w:r w:rsidR="00A1009C">
        <w:rPr>
          <w:rFonts w:hint="cs"/>
          <w:rtl/>
        </w:rPr>
        <w:t xml:space="preserve"> </w:t>
      </w:r>
    </w:p>
    <w:p w:rsidR="00480A7C" w:rsidP="00480A7C" w:rsidRDefault="00480A7C">
      <w:pPr>
        <w:spacing w:line="360" w:lineRule="auto"/>
        <w:ind w:left="720" w:hanging="720"/>
        <w:jc w:val="both"/>
        <w:rPr>
          <w:rtl/>
        </w:rPr>
      </w:pPr>
    </w:p>
    <w:p w:rsidR="00A1009C" w:rsidP="00480A7C" w:rsidRDefault="00AE375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</w:t>
      </w:r>
      <w:r w:rsidR="00A1009C">
        <w:rPr>
          <w:rFonts w:hint="cs"/>
          <w:rtl/>
        </w:rPr>
        <w:t>.</w:t>
      </w:r>
      <w:r w:rsidR="00A1009C">
        <w:rPr>
          <w:rFonts w:hint="cs"/>
          <w:rtl/>
        </w:rPr>
        <w:tab/>
        <w:t xml:space="preserve">הנושים זומנו כדין לדיון </w:t>
      </w:r>
      <w:r w:rsidR="00480A7C">
        <w:rPr>
          <w:rFonts w:hint="cs"/>
          <w:rtl/>
        </w:rPr>
        <w:t xml:space="preserve">שתקיים ביום </w:t>
      </w:r>
      <w:r>
        <w:rPr>
          <w:rFonts w:hint="cs"/>
          <w:rtl/>
        </w:rPr>
        <w:t>25.1.2018</w:t>
      </w:r>
      <w:r w:rsidR="00E5329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009C">
        <w:rPr>
          <w:rFonts w:hint="cs"/>
          <w:rtl/>
        </w:rPr>
        <w:t>אך לא הופיעו ולא הביעו עניין</w:t>
      </w:r>
      <w:r w:rsidR="00480A7C">
        <w:rPr>
          <w:rFonts w:hint="cs"/>
          <w:rtl/>
        </w:rPr>
        <w:t xml:space="preserve"> בניהול ההליך.</w:t>
      </w:r>
    </w:p>
    <w:p w:rsidR="00AE3757" w:rsidP="00480A7C" w:rsidRDefault="00AE3757">
      <w:pPr>
        <w:spacing w:line="360" w:lineRule="auto"/>
        <w:ind w:left="720" w:hanging="720"/>
        <w:jc w:val="both"/>
        <w:rPr>
          <w:rtl/>
        </w:rPr>
      </w:pPr>
    </w:p>
    <w:p w:rsidR="00A1009C" w:rsidP="00AE3757" w:rsidRDefault="00AE375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5</w:t>
      </w:r>
      <w:r w:rsidR="00A1009C">
        <w:rPr>
          <w:rFonts w:hint="cs"/>
          <w:rtl/>
        </w:rPr>
        <w:t>.</w:t>
      </w:r>
      <w:r w:rsidR="00A1009C">
        <w:rPr>
          <w:rFonts w:hint="cs"/>
          <w:rtl/>
        </w:rPr>
        <w:tab/>
      </w:r>
      <w:r>
        <w:rPr>
          <w:rFonts w:hint="cs"/>
          <w:rtl/>
        </w:rPr>
        <w:t>על יסוד בקשת החייב , בהעדר תביעות חוב מטעם הנושים ובשים לב לתכלית דיני הפש"ר ועמדת המנהל המיוחד בתיק , המקובלת על הכנ"ר והחייב,</w:t>
      </w:r>
      <w:r w:rsidR="00A1009C">
        <w:rPr>
          <w:rFonts w:hint="cs"/>
          <w:rtl/>
        </w:rPr>
        <w:t xml:space="preserve"> נעתר אני לבקשה, מכריז על החייב כפושט רגל וממנה את המנהל המיוחד כנאמן על נכסיו. </w:t>
      </w:r>
    </w:p>
    <w:p w:rsidR="005B4275" w:rsidP="00AE3757" w:rsidRDefault="005B4275">
      <w:pPr>
        <w:spacing w:line="360" w:lineRule="auto"/>
        <w:ind w:left="720" w:hanging="720"/>
        <w:jc w:val="both"/>
        <w:rPr>
          <w:rtl/>
        </w:rPr>
      </w:pPr>
    </w:p>
    <w:p w:rsidR="00A1009C" w:rsidP="005B4275" w:rsidRDefault="00A1009C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כמו כן ובהתחשב במכלול נסיבות העניין, אני </w:t>
      </w:r>
      <w:r w:rsidR="00AE3757">
        <w:rPr>
          <w:rFonts w:hint="cs"/>
          <w:rtl/>
        </w:rPr>
        <w:t xml:space="preserve">מאמץ בזאת את המלצת המנהל המיוחד , </w:t>
      </w:r>
      <w:r w:rsidR="005B4275">
        <w:rPr>
          <w:rFonts w:hint="cs"/>
          <w:rtl/>
        </w:rPr>
        <w:t xml:space="preserve">ונותן לחייב הפטר לאלתר </w:t>
      </w:r>
      <w:r>
        <w:rPr>
          <w:rFonts w:hint="cs"/>
          <w:rtl/>
        </w:rPr>
        <w:t>מחובותיו</w:t>
      </w:r>
      <w:r w:rsidR="005B4275">
        <w:rPr>
          <w:rFonts w:hint="cs"/>
          <w:rtl/>
        </w:rPr>
        <w:t xml:space="preserve"> בני תביעה שנוצרו קודם ליום 20.4.2016, והכל בכפוף להוראת סעיף 69 לפקודה.</w:t>
      </w:r>
    </w:p>
    <w:p w:rsidR="005B4275" w:rsidP="00030E7B" w:rsidRDefault="005B4275">
      <w:pPr>
        <w:spacing w:line="360" w:lineRule="auto"/>
        <w:ind w:left="720" w:hanging="720"/>
        <w:jc w:val="both"/>
        <w:rPr>
          <w:rtl/>
        </w:rPr>
      </w:pPr>
    </w:p>
    <w:p w:rsidR="00A1009C" w:rsidP="00030E7B" w:rsidRDefault="005B4275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 xml:space="preserve">8.          </w:t>
      </w:r>
      <w:r w:rsidR="00A1009C">
        <w:rPr>
          <w:rFonts w:hint="cs"/>
          <w:rtl/>
        </w:rPr>
        <w:t xml:space="preserve">הנאמן </w:t>
      </w:r>
      <w:r>
        <w:rPr>
          <w:rFonts w:hint="cs"/>
          <w:rtl/>
        </w:rPr>
        <w:t xml:space="preserve">יגיש </w:t>
      </w:r>
      <w:r w:rsidR="00A1009C">
        <w:rPr>
          <w:rFonts w:hint="cs"/>
          <w:rtl/>
        </w:rPr>
        <w:t>לבית המש</w:t>
      </w:r>
      <w:r>
        <w:rPr>
          <w:rFonts w:hint="cs"/>
          <w:rtl/>
        </w:rPr>
        <w:t>פט פסיקתא, בנוסח המקובל, לחתימה בתוך 10 ימים מהיום.</w:t>
      </w:r>
    </w:p>
    <w:p w:rsidR="005B4275" w:rsidP="00030E7B" w:rsidRDefault="005B4275">
      <w:pPr>
        <w:spacing w:line="360" w:lineRule="auto"/>
        <w:ind w:left="720" w:hanging="720"/>
        <w:jc w:val="both"/>
        <w:rPr>
          <w:rtl/>
        </w:rPr>
      </w:pPr>
    </w:p>
    <w:p w:rsidR="00A1009C" w:rsidP="00030E7B" w:rsidRDefault="005B427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תזכורת פנימית בעוד 14 יום מהיום</w:t>
      </w:r>
      <w:r w:rsidR="00A1009C">
        <w:rPr>
          <w:rFonts w:hint="cs"/>
          <w:rtl/>
        </w:rPr>
        <w:t xml:space="preserve">. </w:t>
      </w:r>
    </w:p>
    <w:p w:rsidR="005B4275" w:rsidP="00030E7B" w:rsidRDefault="005B4275">
      <w:pPr>
        <w:spacing w:line="360" w:lineRule="auto"/>
        <w:ind w:left="720" w:hanging="720"/>
        <w:jc w:val="both"/>
        <w:rPr>
          <w:rtl/>
        </w:rPr>
      </w:pPr>
    </w:p>
    <w:p w:rsidRPr="005B4275" w:rsidR="005B4275" w:rsidP="00030E7B" w:rsidRDefault="005B4275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 w:rsidRPr="005B4275">
        <w:rPr>
          <w:rFonts w:hint="cs"/>
          <w:b/>
          <w:bCs/>
          <w:u w:val="single"/>
          <w:rtl/>
        </w:rPr>
        <w:t>הדיון הקבוע בתיק מבוטל.</w:t>
      </w:r>
    </w:p>
    <w:p w:rsidR="005B4275" w:rsidP="00030E7B" w:rsidRDefault="005B4275">
      <w:pPr>
        <w:spacing w:line="360" w:lineRule="auto"/>
        <w:ind w:left="720" w:hanging="720"/>
        <w:jc w:val="both"/>
        <w:rPr>
          <w:rtl/>
        </w:rPr>
      </w:pPr>
    </w:p>
    <w:p w:rsidRPr="005B4275" w:rsidR="005B4275" w:rsidP="00030E7B" w:rsidRDefault="005B4275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 w:rsidRPr="005B4275">
        <w:rPr>
          <w:rFonts w:hint="cs"/>
          <w:b/>
          <w:bCs/>
          <w:u w:val="single"/>
          <w:rtl/>
        </w:rPr>
        <w:t>המזכירות</w:t>
      </w:r>
      <w:r w:rsidR="00E5329B">
        <w:rPr>
          <w:rFonts w:hint="cs"/>
          <w:b/>
          <w:bCs/>
          <w:u w:val="single"/>
          <w:rtl/>
        </w:rPr>
        <w:t xml:space="preserve"> </w:t>
      </w:r>
      <w:bookmarkStart w:name="_GoBack" w:id="0"/>
      <w:bookmarkEnd w:id="0"/>
      <w:r w:rsidRPr="005B4275">
        <w:rPr>
          <w:rFonts w:hint="cs"/>
          <w:b/>
          <w:bCs/>
          <w:u w:val="single"/>
          <w:rtl/>
        </w:rPr>
        <w:t>תמציא את ההחלטה לצדדים.</w:t>
      </w:r>
    </w:p>
    <w:p w:rsidR="00A1009C" w:rsidP="00030E7B" w:rsidRDefault="00A1009C">
      <w:pPr>
        <w:spacing w:line="360" w:lineRule="auto"/>
        <w:jc w:val="both"/>
        <w:rPr>
          <w:b/>
          <w:bCs/>
          <w:u w:val="single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5054617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89345834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50F6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7ece11d5a64c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D370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50F60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50F6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0F6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5B6A2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36805724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50F6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640799260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84536911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1955-04-16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43075775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בורכע נ' כונס נכסים רשמי תל אביב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9810"/>
    <o:shapelayout v:ext="edit">
      <o:idmap v:ext="edit" data="1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77FF"/>
    <w:rsid w:val="00053FB9"/>
    <w:rsid w:val="000564AB"/>
    <w:rsid w:val="00064FBD"/>
    <w:rsid w:val="00096AF7"/>
    <w:rsid w:val="000B1B40"/>
    <w:rsid w:val="000C3B0F"/>
    <w:rsid w:val="000D76CD"/>
    <w:rsid w:val="000F0BC8"/>
    <w:rsid w:val="00107E6D"/>
    <w:rsid w:val="0011194C"/>
    <w:rsid w:val="00144D2A"/>
    <w:rsid w:val="00180519"/>
    <w:rsid w:val="001C4003"/>
    <w:rsid w:val="001D6BC2"/>
    <w:rsid w:val="001E1EDE"/>
    <w:rsid w:val="002265FF"/>
    <w:rsid w:val="00247634"/>
    <w:rsid w:val="00307A6A"/>
    <w:rsid w:val="00307C40"/>
    <w:rsid w:val="00320433"/>
    <w:rsid w:val="00350F60"/>
    <w:rsid w:val="0036743F"/>
    <w:rsid w:val="003B5AF1"/>
    <w:rsid w:val="003D1C82"/>
    <w:rsid w:val="0043125D"/>
    <w:rsid w:val="0043502B"/>
    <w:rsid w:val="00473C11"/>
    <w:rsid w:val="00480A7C"/>
    <w:rsid w:val="0049455B"/>
    <w:rsid w:val="004C4BDF"/>
    <w:rsid w:val="004D1187"/>
    <w:rsid w:val="004D29EC"/>
    <w:rsid w:val="004D2F68"/>
    <w:rsid w:val="004E6E3C"/>
    <w:rsid w:val="005268F6"/>
    <w:rsid w:val="00547DB7"/>
    <w:rsid w:val="005B4275"/>
    <w:rsid w:val="005B6A24"/>
    <w:rsid w:val="005D3707"/>
    <w:rsid w:val="00606F24"/>
    <w:rsid w:val="00612EAD"/>
    <w:rsid w:val="00622BAA"/>
    <w:rsid w:val="006636CE"/>
    <w:rsid w:val="00671BD5"/>
    <w:rsid w:val="00674129"/>
    <w:rsid w:val="006805C1"/>
    <w:rsid w:val="00694556"/>
    <w:rsid w:val="006E1A53"/>
    <w:rsid w:val="006E741E"/>
    <w:rsid w:val="006F18D2"/>
    <w:rsid w:val="00704EDA"/>
    <w:rsid w:val="007E6115"/>
    <w:rsid w:val="007F4609"/>
    <w:rsid w:val="00820005"/>
    <w:rsid w:val="00891DA1"/>
    <w:rsid w:val="00896889"/>
    <w:rsid w:val="008B49C9"/>
    <w:rsid w:val="008C5714"/>
    <w:rsid w:val="00903896"/>
    <w:rsid w:val="00906F3D"/>
    <w:rsid w:val="00967DFF"/>
    <w:rsid w:val="009E7D00"/>
    <w:rsid w:val="00A1009C"/>
    <w:rsid w:val="00A3760E"/>
    <w:rsid w:val="00A94B64"/>
    <w:rsid w:val="00AC3B7B"/>
    <w:rsid w:val="00AC5209"/>
    <w:rsid w:val="00AE3757"/>
    <w:rsid w:val="00AE4348"/>
    <w:rsid w:val="00AF3BCF"/>
    <w:rsid w:val="00AF7925"/>
    <w:rsid w:val="00B578E0"/>
    <w:rsid w:val="00B80CBD"/>
    <w:rsid w:val="00B86096"/>
    <w:rsid w:val="00BF1908"/>
    <w:rsid w:val="00C22D93"/>
    <w:rsid w:val="00C34482"/>
    <w:rsid w:val="00C51490"/>
    <w:rsid w:val="00CD1FB5"/>
    <w:rsid w:val="00D079DE"/>
    <w:rsid w:val="00D33B86"/>
    <w:rsid w:val="00D53924"/>
    <w:rsid w:val="00D55D0C"/>
    <w:rsid w:val="00D96D8C"/>
    <w:rsid w:val="00DA6649"/>
    <w:rsid w:val="00E27A4C"/>
    <w:rsid w:val="00E5329B"/>
    <w:rsid w:val="00E54642"/>
    <w:rsid w:val="00EC37E9"/>
    <w:rsid w:val="00F84B6D"/>
    <w:rsid w:val="00FD3066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  <w14:docId w14:val="1264D472"/>
  <w15:docId w15:val="{649448DA-2EAE-465E-81B3-F04457FB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47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07ece11d5a64ce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44ABD3969D4E7899A676DFBBD00B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22962B-A4F8-4603-ACC3-031653E7916A}"/>
      </w:docPartPr>
      <w:docPartBody>
        <w:p w:rsidR="00B3289C" w:rsidRDefault="005A1915" w:rsidP="005A1915">
          <w:pPr>
            <w:pStyle w:val="0644ABD3969D4E7899A676DFBBD00B095"/>
          </w:pPr>
          <w:r w:rsidRPr="00247634">
            <w:rPr>
              <w:rFonts w:ascii="Arial" w:hAnsi="Arial"/>
              <w:b/>
              <w:bCs/>
              <w:sz w:val="26"/>
              <w:szCs w:val="26"/>
              <w:rtl/>
            </w:rPr>
            <w:t>גורם שיפוטי בתיק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7F"/>
    <w:rsid w:val="004F307F"/>
    <w:rsid w:val="005A1915"/>
    <w:rsid w:val="009022B3"/>
    <w:rsid w:val="00B06CDD"/>
    <w:rsid w:val="00B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44ABD3969D4E7899A676DFBBD00B09">
    <w:name w:val="0644ABD3969D4E7899A676DFBBD00B09"/>
    <w:rsid w:val="004F30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5A1915"/>
    <w:rPr>
      <w:color w:val="808080"/>
    </w:rPr>
  </w:style>
  <w:style w:type="paragraph" w:customStyle="1" w:styleId="0644ABD3969D4E7899A676DFBBD00B091">
    <w:name w:val="0644ABD3969D4E7899A676DFBBD00B091"/>
    <w:rsid w:val="00B328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">
    <w:name w:val="A38986EB8CA74B00B4283D4DB45EA8DC"/>
    <w:rsid w:val="00B3289C"/>
    <w:pPr>
      <w:bidi/>
    </w:pPr>
  </w:style>
  <w:style w:type="paragraph" w:customStyle="1" w:styleId="1779E35421214E8D8CC0E0DB34B4FB54">
    <w:name w:val="1779E35421214E8D8CC0E0DB34B4FB54"/>
    <w:rsid w:val="00B3289C"/>
    <w:pPr>
      <w:bidi/>
    </w:pPr>
  </w:style>
  <w:style w:type="paragraph" w:customStyle="1" w:styleId="130F48688ADA44CFB8624E7700F7774A">
    <w:name w:val="130F48688ADA44CFB8624E7700F7774A"/>
    <w:rsid w:val="00B3289C"/>
    <w:pPr>
      <w:bidi/>
    </w:pPr>
  </w:style>
  <w:style w:type="paragraph" w:customStyle="1" w:styleId="0644ABD3969D4E7899A676DFBBD00B092">
    <w:name w:val="0644ABD3969D4E7899A676DFBBD00B092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1">
    <w:name w:val="A38986EB8CA74B00B4283D4DB45EA8DC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79E35421214E8D8CC0E0DB34B4FB541">
    <w:name w:val="1779E35421214E8D8CC0E0DB34B4FB54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0F48688ADA44CFB8624E7700F7774A1">
    <w:name w:val="130F48688ADA44CFB8624E7700F7774A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3">
    <w:name w:val="0644ABD3969D4E7899A676DFBBD00B093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2">
    <w:name w:val="A38986EB8CA74B00B4283D4DB45EA8DC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79E35421214E8D8CC0E0DB34B4FB542">
    <w:name w:val="1779E35421214E8D8CC0E0DB34B4FB54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0F48688ADA44CFB8624E7700F7774A2">
    <w:name w:val="130F48688ADA44CFB8624E7700F7774A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4">
    <w:name w:val="0644ABD3969D4E7899A676DFBBD00B094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ED86CA977D450C87E581A36BC71AEE">
    <w:name w:val="74ED86CA977D450C87E581A36BC71AEE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49FA554306440790812D20DB0B07AF">
    <w:name w:val="3349FA554306440790812D20DB0B07AF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8A86560DE34A10976A0110A7D9C0C1">
    <w:name w:val="BC8A86560DE34A10976A0110A7D9C0C1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5">
    <w:name w:val="0644ABD3969D4E7899A676DFBBD00B095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שכיב סרחאן</cp:lastModifiedBy>
  <cp:revision>25</cp:revision>
  <dcterms:created xsi:type="dcterms:W3CDTF">2012-08-06T05:06:00Z</dcterms:created>
  <dcterms:modified xsi:type="dcterms:W3CDTF">2018-04-12T09:37:00Z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