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אוהד גורדון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A7728" w:rsidP="00492BBE" w:rsidRDefault="00492BB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D73F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74BB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בית המשפט בארה"ב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74BB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492BBE" w:rsidR="00492BBE">
                  <w:rPr>
                    <w:rFonts w:hint="cs"/>
                    <w:b/>
                    <w:bCs/>
                    <w:rtl/>
                  </w:rPr>
                  <w:t>ה</w:t>
                </w:r>
                <w:r w:rsidRPr="00492BBE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74BB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ג'יימס שאול</w:t>
                </w:r>
              </w:sdtContent>
            </w:sdt>
          </w:p>
          <w:p w:rsidR="0094424E" w:rsidP="00D44968" w:rsidRDefault="00B74BB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5729591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77436217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אסף ביגר</w:t>
                </w:r>
              </w:sdtContent>
            </w:sdt>
          </w:p>
          <w:p w:rsidR="0094424E" w:rsidP="00D44968" w:rsidRDefault="00B74BB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5095295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69299622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זיו שלג</w:t>
                </w:r>
              </w:sdtContent>
            </w:sdt>
          </w:p>
          <w:p w:rsidR="0094424E" w:rsidP="00D44968" w:rsidRDefault="00B74BB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1224502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57617262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דורון שגיא</w:t>
                </w:r>
              </w:sdtContent>
            </w:sdt>
          </w:p>
          <w:p w:rsidR="0094424E" w:rsidP="00D44968" w:rsidRDefault="00B74BB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8108709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61274886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יוסי אזרזאר</w:t>
                </w:r>
              </w:sdtContent>
            </w:sdt>
          </w:p>
          <w:p w:rsidR="0094424E" w:rsidP="00D44968" w:rsidRDefault="00B74BB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6308907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37290913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משה רוח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A7728" w:rsidRDefault="006A772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A7728" w:rsidRDefault="006A772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Fonts w:hint="cs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492BBE" w:rsidP="00A025BA" w:rsidRDefault="00492BBE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לפני בקשת המשיב 3 לדחות על הסף את בקשת המבקש לעזרה משפטית (להלן: "הבקשה לעזרה משפטית") וזאת בהעדר סמכות עניינית. עיינתי בנימוקיו המפורטים של המשיב 3, אך איני יכול לקבלם. אפרט:</w:t>
      </w:r>
    </w:p>
    <w:p w:rsidR="00492BBE" w:rsidP="00492BBE" w:rsidRDefault="00492BB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025BA" w:rsidP="001E179B" w:rsidRDefault="00492BBE">
      <w:pPr>
        <w:pStyle w:val="ad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/>
          <w:noProof w:val="0"/>
        </w:rPr>
      </w:pPr>
      <w:r w:rsidRPr="00492BBE">
        <w:rPr>
          <w:rFonts w:hint="cs" w:ascii="Arial" w:hAnsi="Arial"/>
          <w:noProof w:val="0"/>
          <w:rtl/>
        </w:rPr>
        <w:t xml:space="preserve">בתמצית, טיעונו של המשיב 3 הוא כי אמנת האג בדבר גביית ראיות בחוץ-לארץ בעניינים אזרחיים או מסחריים מיום 18.3.1970 (להלן: "אמנת האג"), </w:t>
      </w:r>
      <w:r w:rsidR="00B4382F">
        <w:rPr>
          <w:rFonts w:hint="cs" w:ascii="Arial" w:hAnsi="Arial"/>
          <w:noProof w:val="0"/>
          <w:rtl/>
        </w:rPr>
        <w:t>הנזכרת ב</w:t>
      </w:r>
      <w:r w:rsidRPr="00492BBE">
        <w:rPr>
          <w:rFonts w:hint="cs" w:ascii="Arial" w:hAnsi="Arial"/>
          <w:noProof w:val="0"/>
          <w:rtl/>
        </w:rPr>
        <w:t xml:space="preserve">בקשה </w:t>
      </w:r>
      <w:r>
        <w:rPr>
          <w:rFonts w:hint="cs" w:ascii="Arial" w:hAnsi="Arial"/>
          <w:noProof w:val="0"/>
          <w:rtl/>
        </w:rPr>
        <w:t xml:space="preserve">לעזרה משפטית </w:t>
      </w:r>
      <w:r w:rsidR="00B4382F">
        <w:rPr>
          <w:rFonts w:hint="cs" w:ascii="Arial" w:hAnsi="Arial"/>
          <w:noProof w:val="0"/>
          <w:rtl/>
        </w:rPr>
        <w:t xml:space="preserve">כאמנה לפיה הוגשה הבקשה, </w:t>
      </w:r>
      <w:r w:rsidRPr="00492BBE">
        <w:rPr>
          <w:rFonts w:hint="cs" w:ascii="Arial" w:hAnsi="Arial"/>
          <w:noProof w:val="0"/>
          <w:rtl/>
        </w:rPr>
        <w:t>חלה רק</w:t>
      </w:r>
      <w:r>
        <w:rPr>
          <w:rFonts w:hint="cs" w:ascii="Arial" w:hAnsi="Arial"/>
          <w:noProof w:val="0"/>
          <w:rtl/>
        </w:rPr>
        <w:t xml:space="preserve"> על עניינים אזרחיים או מסחריים. נטען כי לפי סעיף 13 לחוק עזרה משפטית בין מדינות, התשנ"ח-1998 (להלן: "חוק עזרה משפטית") הוראות הקבועות באמנות גוברות על הוראות חוק עזרה משפטית, ומכאן שאין להיענות לבקשות לפי אמנת האג שאינן נוגעות לעניינים אזרחיים ומסחריים. </w:t>
      </w:r>
    </w:p>
    <w:p w:rsidR="00694556" w:rsidP="001E179B" w:rsidRDefault="00492BBE">
      <w:pPr>
        <w:pStyle w:val="ad"/>
        <w:spacing w:before="120" w:after="120" w:line="360" w:lineRule="auto"/>
        <w:contextualSpacing w:val="0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המשיב 3 טוען כי "</w:t>
      </w:r>
      <w:r w:rsidRPr="001E179B">
        <w:rPr>
          <w:rFonts w:hint="cs" w:ascii="Arial" w:hAnsi="Arial" w:cs="FrankRuehl"/>
          <w:noProof w:val="0"/>
          <w:rtl/>
        </w:rPr>
        <w:t>ההליכים האזרחיים המנוהלים בארה"ב</w:t>
      </w:r>
      <w:r>
        <w:rPr>
          <w:rFonts w:hint="cs" w:ascii="Arial" w:hAnsi="Arial"/>
          <w:noProof w:val="0"/>
          <w:rtl/>
        </w:rPr>
        <w:t xml:space="preserve">" </w:t>
      </w:r>
      <w:r w:rsidR="007F22D0">
        <w:rPr>
          <w:rFonts w:hint="cs" w:ascii="Arial" w:hAnsi="Arial"/>
          <w:noProof w:val="0"/>
          <w:rtl/>
        </w:rPr>
        <w:t>ביזמת ה-</w:t>
      </w:r>
      <w:r w:rsidR="007F22D0">
        <w:rPr>
          <w:rFonts w:hint="cs" w:ascii="Arial" w:hAnsi="Arial"/>
          <w:noProof w:val="0"/>
        </w:rPr>
        <w:t>SEC</w:t>
      </w:r>
      <w:r w:rsidR="007F22D0">
        <w:rPr>
          <w:rFonts w:hint="cs" w:ascii="Arial" w:hAnsi="Arial"/>
          <w:noProof w:val="0"/>
          <w:rtl/>
        </w:rPr>
        <w:t xml:space="preserve"> (היא ה-</w:t>
      </w:r>
      <w:r w:rsidRPr="00BA0106" w:rsidR="00B4382F">
        <w:rPr>
          <w:rFonts w:asciiTheme="majorBidi" w:hAnsiTheme="majorBidi" w:cstheme="majorBidi"/>
          <w:noProof w:val="0"/>
        </w:rPr>
        <w:t xml:space="preserve">U.S. </w:t>
      </w:r>
      <w:r w:rsidRPr="00BA0106" w:rsidR="007F22D0">
        <w:rPr>
          <w:rFonts w:asciiTheme="majorBidi" w:hAnsiTheme="majorBidi" w:cstheme="majorBidi"/>
          <w:noProof w:val="0"/>
        </w:rPr>
        <w:t xml:space="preserve">Securities and </w:t>
      </w:r>
      <w:r w:rsidRPr="00BA0106" w:rsidR="00B4382F">
        <w:rPr>
          <w:rFonts w:asciiTheme="majorBidi" w:hAnsiTheme="majorBidi" w:cstheme="majorBidi"/>
          <w:noProof w:val="0"/>
        </w:rPr>
        <w:t xml:space="preserve"> </w:t>
      </w:r>
      <w:r w:rsidRPr="00BA0106" w:rsidR="007F22D0">
        <w:rPr>
          <w:rFonts w:asciiTheme="majorBidi" w:hAnsiTheme="majorBidi" w:cstheme="majorBidi"/>
          <w:noProof w:val="0"/>
        </w:rPr>
        <w:t>Exchange commission</w:t>
      </w:r>
      <w:r w:rsidR="007F22D0">
        <w:rPr>
          <w:rFonts w:hint="cs" w:ascii="Arial" w:hAnsi="Arial"/>
          <w:noProof w:val="0"/>
          <w:rtl/>
        </w:rPr>
        <w:t xml:space="preserve">) </w:t>
      </w:r>
      <w:r>
        <w:rPr>
          <w:rFonts w:hint="cs" w:ascii="Arial" w:hAnsi="Arial"/>
          <w:noProof w:val="0"/>
          <w:rtl/>
        </w:rPr>
        <w:t xml:space="preserve">אינם </w:t>
      </w:r>
      <w:r w:rsidR="00E706FC">
        <w:rPr>
          <w:rFonts w:hint="cs" w:ascii="Arial" w:hAnsi="Arial"/>
          <w:noProof w:val="0"/>
          <w:rtl/>
        </w:rPr>
        <w:t xml:space="preserve">עניין אזרחי או מסחרי. </w:t>
      </w:r>
      <w:r w:rsidR="007F22D0">
        <w:rPr>
          <w:rFonts w:hint="cs" w:ascii="Arial" w:hAnsi="Arial"/>
          <w:noProof w:val="0"/>
          <w:rtl/>
        </w:rPr>
        <w:t>זאת</w:t>
      </w:r>
      <w:r w:rsidR="00E706FC">
        <w:rPr>
          <w:rFonts w:hint="cs" w:ascii="Arial" w:hAnsi="Arial"/>
          <w:noProof w:val="0"/>
          <w:rtl/>
        </w:rPr>
        <w:t>,</w:t>
      </w:r>
      <w:r w:rsidR="007F22D0">
        <w:rPr>
          <w:rFonts w:hint="cs" w:ascii="Arial" w:hAnsi="Arial"/>
          <w:noProof w:val="0"/>
          <w:rtl/>
        </w:rPr>
        <w:t xml:space="preserve"> בהיותם תביעת "אכיפה אזרחית" </w:t>
      </w:r>
      <w:r w:rsidR="00823799">
        <w:rPr>
          <w:rFonts w:hint="cs" w:ascii="Arial" w:hAnsi="Arial"/>
          <w:noProof w:val="0"/>
          <w:rtl/>
        </w:rPr>
        <w:t>ה</w:t>
      </w:r>
      <w:r w:rsidR="007F22D0">
        <w:rPr>
          <w:rFonts w:hint="cs" w:ascii="Arial" w:hAnsi="Arial"/>
          <w:noProof w:val="0"/>
          <w:rtl/>
        </w:rPr>
        <w:t xml:space="preserve">כוללת </w:t>
      </w:r>
      <w:r w:rsidR="001E179B">
        <w:rPr>
          <w:rFonts w:hint="cs" w:ascii="Arial" w:hAnsi="Arial"/>
          <w:noProof w:val="0"/>
          <w:rtl/>
        </w:rPr>
        <w:t xml:space="preserve">לטענתו </w:t>
      </w:r>
      <w:r w:rsidR="007F22D0">
        <w:rPr>
          <w:rFonts w:hint="cs" w:ascii="Arial" w:hAnsi="Arial"/>
          <w:noProof w:val="0"/>
          <w:rtl/>
        </w:rPr>
        <w:t>אמצעים כגון הקפאת נכסי הנתבעים ועתירה לסעדים כגון השבת רווחים וקנסות</w:t>
      </w:r>
      <w:r w:rsidR="00D02D89">
        <w:rPr>
          <w:rFonts w:hint="cs" w:ascii="Arial" w:hAnsi="Arial"/>
          <w:noProof w:val="0"/>
          <w:rtl/>
        </w:rPr>
        <w:t>, ועשויה להביא לנקיטת הליכים פליליים</w:t>
      </w:r>
      <w:r w:rsidR="007F22D0">
        <w:rPr>
          <w:rFonts w:hint="cs" w:ascii="Arial" w:hAnsi="Arial"/>
          <w:noProof w:val="0"/>
          <w:rtl/>
        </w:rPr>
        <w:t xml:space="preserve">. </w:t>
      </w:r>
    </w:p>
    <w:p w:rsidR="00D02D89" w:rsidP="001E179B" w:rsidRDefault="00B4382F">
      <w:pPr>
        <w:pStyle w:val="ad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/>
          <w:noProof w:val="0"/>
        </w:rPr>
      </w:pPr>
      <w:r w:rsidRPr="00BA0106">
        <w:rPr>
          <w:rFonts w:hint="cs" w:ascii="Arial" w:hAnsi="Arial"/>
          <w:noProof w:val="0"/>
          <w:rtl/>
        </w:rPr>
        <w:lastRenderedPageBreak/>
        <w:t xml:space="preserve">איני יכול לקבל את </w:t>
      </w:r>
      <w:r w:rsidR="00A35EBB">
        <w:rPr>
          <w:rFonts w:hint="cs" w:ascii="Arial" w:hAnsi="Arial"/>
          <w:noProof w:val="0"/>
          <w:rtl/>
        </w:rPr>
        <w:t>הטיעון</w:t>
      </w:r>
      <w:r w:rsidRPr="00BA0106">
        <w:rPr>
          <w:rFonts w:hint="cs" w:ascii="Arial" w:hAnsi="Arial"/>
          <w:noProof w:val="0"/>
          <w:rtl/>
        </w:rPr>
        <w:t xml:space="preserve">. הבקשה לעזרה משפטית הוגשה </w:t>
      </w:r>
      <w:r w:rsidR="001E179B">
        <w:rPr>
          <w:rFonts w:hint="cs" w:ascii="Arial" w:hAnsi="Arial"/>
          <w:noProof w:val="0"/>
          <w:rtl/>
        </w:rPr>
        <w:t xml:space="preserve">בידי הרשות השיפוטית בארצות הברית לאחר שאושרה בידי </w:t>
      </w:r>
      <w:r w:rsidRPr="00BA0106">
        <w:rPr>
          <w:rFonts w:hint="cs" w:ascii="Arial" w:hAnsi="Arial"/>
          <w:noProof w:val="0"/>
          <w:rtl/>
        </w:rPr>
        <w:t xml:space="preserve">בית המשפט המחוזי של המחוז הדרומי של ניו יורק. צוין בה במפורש, פעמים מספר, כי הראיות שגבייתן מתבקשת דרושות לצורך שימוש בהליכים אזרחיים המתנהלים בפני אותו בית משפט. </w:t>
      </w:r>
      <w:r w:rsidRPr="00BA0106" w:rsidR="00BA0106">
        <w:rPr>
          <w:rFonts w:hint="cs" w:ascii="Arial" w:hAnsi="Arial"/>
          <w:noProof w:val="0"/>
          <w:rtl/>
        </w:rPr>
        <w:t xml:space="preserve">בכלל זה </w:t>
      </w:r>
      <w:r w:rsidRPr="00BA0106">
        <w:rPr>
          <w:rFonts w:hint="cs" w:ascii="Arial" w:hAnsi="Arial"/>
          <w:noProof w:val="0"/>
          <w:rtl/>
        </w:rPr>
        <w:t>צוין (בעמ' 1 לבקשה, ה"ש 1), כי "</w:t>
      </w:r>
      <w:r w:rsidRPr="00BA0106" w:rsidR="00BA0106">
        <w:rPr>
          <w:rFonts w:asciiTheme="majorBidi" w:hAnsiTheme="majorBidi" w:cstheme="majorBidi"/>
          <w:noProof w:val="0"/>
        </w:rPr>
        <w:t xml:space="preserve">"In accordance with Article 1 of the Convention, </w:t>
      </w:r>
      <w:r w:rsidRPr="007F2375" w:rsidR="00BA0106">
        <w:rPr>
          <w:rFonts w:ascii="A028 Medium" w:hAnsi="A028 Medium" w:cstheme="majorBidi"/>
          <w:noProof w:val="0"/>
        </w:rPr>
        <w:t>this is a civil matter</w:t>
      </w:r>
      <w:r w:rsidRPr="00BA0106" w:rsidR="00BA0106">
        <w:rPr>
          <w:rFonts w:asciiTheme="majorBidi" w:hAnsiTheme="majorBidi" w:cstheme="majorBidi"/>
          <w:noProof w:val="0"/>
        </w:rPr>
        <w:t xml:space="preserve"> in a civil court proceeding; it is not an administrative proceeding</w:t>
      </w:r>
      <w:r w:rsidRPr="00BA0106" w:rsidR="00BA0106">
        <w:rPr>
          <w:rFonts w:ascii="Arial" w:hAnsi="Arial"/>
          <w:noProof w:val="0"/>
        </w:rPr>
        <w:t>".</w:t>
      </w:r>
      <w:r w:rsidR="007F2375">
        <w:rPr>
          <w:rFonts w:hint="cs" w:ascii="Arial" w:hAnsi="Arial"/>
          <w:noProof w:val="0"/>
          <w:rtl/>
        </w:rPr>
        <w:t xml:space="preserve"> (ההדגשה הוספה</w:t>
      </w:r>
      <w:r w:rsidRPr="00BA0106" w:rsidR="00BA0106">
        <w:rPr>
          <w:rFonts w:hint="cs" w:ascii="Arial" w:hAnsi="Arial"/>
          <w:noProof w:val="0"/>
          <w:rtl/>
        </w:rPr>
        <w:t xml:space="preserve">). </w:t>
      </w:r>
      <w:r w:rsidR="00D02D89">
        <w:rPr>
          <w:rFonts w:hint="cs" w:ascii="Arial" w:hAnsi="Arial"/>
          <w:noProof w:val="0"/>
          <w:rtl/>
        </w:rPr>
        <w:t xml:space="preserve">בסעיף </w:t>
      </w:r>
      <w:r w:rsidR="00D02D89">
        <w:rPr>
          <w:rFonts w:ascii="Arial" w:hAnsi="Arial"/>
          <w:noProof w:val="0"/>
        </w:rPr>
        <w:t>8(b)</w:t>
      </w:r>
      <w:r w:rsidR="00D02D89">
        <w:rPr>
          <w:rFonts w:hint="cs" w:ascii="Arial" w:hAnsi="Arial"/>
          <w:noProof w:val="0"/>
          <w:rtl/>
        </w:rPr>
        <w:t xml:space="preserve"> </w:t>
      </w:r>
      <w:r w:rsidR="001E179B">
        <w:rPr>
          <w:rFonts w:hint="cs" w:ascii="Arial" w:hAnsi="Arial"/>
          <w:noProof w:val="0"/>
          <w:rtl/>
        </w:rPr>
        <w:t xml:space="preserve">הוצהר </w:t>
      </w:r>
      <w:r w:rsidR="00D02D89">
        <w:rPr>
          <w:rFonts w:hint="cs" w:ascii="Arial" w:hAnsi="Arial"/>
          <w:noProof w:val="0"/>
          <w:rtl/>
        </w:rPr>
        <w:t>כי מטרת גבייתן של הראיות היא להשתמש בהן בהליכי המשפט</w:t>
      </w:r>
      <w:r w:rsidR="00A025BA">
        <w:rPr>
          <w:rFonts w:hint="cs" w:ascii="Arial" w:hAnsi="Arial"/>
          <w:noProof w:val="0"/>
          <w:rtl/>
        </w:rPr>
        <w:t>,</w:t>
      </w:r>
      <w:r w:rsidR="008F602A">
        <w:rPr>
          <w:rFonts w:hint="cs" w:ascii="Arial" w:hAnsi="Arial"/>
          <w:noProof w:val="0"/>
          <w:rtl/>
        </w:rPr>
        <w:t xml:space="preserve"> לרבות קדם-משפט. </w:t>
      </w:r>
    </w:p>
    <w:p w:rsidR="00A025BA" w:rsidP="001E179B" w:rsidRDefault="00BA0106">
      <w:pPr>
        <w:pStyle w:val="ad"/>
        <w:spacing w:before="120" w:after="120" w:line="360" w:lineRule="auto"/>
        <w:contextualSpacing w:val="0"/>
        <w:jc w:val="both"/>
        <w:rPr>
          <w:rFonts w:ascii="Arial" w:hAnsi="Arial"/>
          <w:noProof w:val="0"/>
          <w:rtl/>
        </w:rPr>
      </w:pPr>
      <w:r w:rsidRPr="00BA0106">
        <w:rPr>
          <w:rFonts w:hint="cs" w:ascii="Arial" w:hAnsi="Arial"/>
          <w:noProof w:val="0"/>
          <w:rtl/>
        </w:rPr>
        <w:t xml:space="preserve">בהינתן הצהרות </w:t>
      </w:r>
      <w:r w:rsidR="00A025BA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רשות </w:t>
      </w:r>
      <w:r w:rsidR="00A025BA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שיפוטית</w:t>
      </w:r>
      <w:r w:rsidR="00A025BA">
        <w:rPr>
          <w:rFonts w:hint="cs" w:ascii="Arial" w:hAnsi="Arial"/>
          <w:noProof w:val="0"/>
          <w:rtl/>
        </w:rPr>
        <w:t xml:space="preserve"> בארצות הברית</w:t>
      </w:r>
      <w:r>
        <w:rPr>
          <w:rFonts w:hint="cs" w:ascii="Arial" w:hAnsi="Arial"/>
          <w:noProof w:val="0"/>
          <w:rtl/>
        </w:rPr>
        <w:t xml:space="preserve">, </w:t>
      </w:r>
      <w:r w:rsidR="008F602A">
        <w:rPr>
          <w:rFonts w:hint="cs" w:ascii="Arial" w:hAnsi="Arial"/>
          <w:noProof w:val="0"/>
          <w:rtl/>
        </w:rPr>
        <w:t xml:space="preserve">המבהירה כי גביית הראיות מתבקשת לצורך </w:t>
      </w:r>
      <w:r w:rsidR="00A35EBB">
        <w:rPr>
          <w:rFonts w:hint="cs" w:ascii="Arial" w:hAnsi="Arial"/>
          <w:noProof w:val="0"/>
          <w:rtl/>
        </w:rPr>
        <w:t>שימוש ב</w:t>
      </w:r>
      <w:r w:rsidR="008F602A">
        <w:rPr>
          <w:rFonts w:hint="cs" w:ascii="Arial" w:hAnsi="Arial"/>
          <w:noProof w:val="0"/>
          <w:rtl/>
        </w:rPr>
        <w:t>הליך אזרחי, אין לקבל את ניסיון המשיב 3 לשכנע כי מדובר בהליך שמהותו שונה</w:t>
      </w:r>
      <w:r w:rsidR="009B35B6">
        <w:rPr>
          <w:rFonts w:hint="cs" w:ascii="Arial" w:hAnsi="Arial"/>
          <w:noProof w:val="0"/>
          <w:rtl/>
        </w:rPr>
        <w:t xml:space="preserve"> </w:t>
      </w:r>
      <w:r w:rsidR="007F2375">
        <w:rPr>
          <w:rFonts w:hint="cs" w:ascii="Arial" w:hAnsi="Arial"/>
          <w:noProof w:val="0"/>
          <w:rtl/>
        </w:rPr>
        <w:t>עד כדי החרגתו מגדרי האמנה</w:t>
      </w:r>
      <w:r w:rsidR="008F602A">
        <w:rPr>
          <w:rFonts w:hint="cs" w:ascii="Arial" w:hAnsi="Arial"/>
          <w:noProof w:val="0"/>
          <w:rtl/>
        </w:rPr>
        <w:t xml:space="preserve">. </w:t>
      </w:r>
    </w:p>
    <w:p w:rsidR="007F2375" w:rsidP="001E179B" w:rsidRDefault="003C24D3">
      <w:pPr>
        <w:pStyle w:val="ad"/>
        <w:spacing w:before="120" w:after="120" w:line="360" w:lineRule="auto"/>
        <w:contextualSpacing w:val="0"/>
        <w:jc w:val="both"/>
        <w:rPr>
          <w:rFonts w:cs="Times New Roman"/>
          <w:noProof w:val="0"/>
          <w:rtl/>
        </w:rPr>
      </w:pPr>
      <w:r>
        <w:rPr>
          <w:rFonts w:hint="cs" w:ascii="Arial" w:hAnsi="Arial"/>
          <w:noProof w:val="0"/>
          <w:rtl/>
        </w:rPr>
        <w:t>למעלה מן הצורך אציין כי עיינתי בפרק הסעדים המבוקשים בתובענה</w:t>
      </w:r>
      <w:r w:rsidR="00A35EBB">
        <w:rPr>
          <w:rFonts w:hint="cs" w:ascii="Arial" w:hAnsi="Arial"/>
          <w:noProof w:val="0"/>
          <w:rtl/>
        </w:rPr>
        <w:t>, שצורף כנספח לבקשה בה עוסקת החלטה זו</w:t>
      </w:r>
      <w:r>
        <w:rPr>
          <w:rFonts w:hint="cs" w:ascii="Arial" w:hAnsi="Arial"/>
          <w:noProof w:val="0"/>
          <w:rtl/>
        </w:rPr>
        <w:t xml:space="preserve">, וכי הסעדים המתבקשים שם הם סעדי מניעה והשבה וכן תשלום </w:t>
      </w:r>
      <w:r w:rsidRPr="009B35B6">
        <w:rPr>
          <w:rFonts w:asciiTheme="majorBidi" w:hAnsiTheme="majorBidi" w:cstheme="majorBidi"/>
          <w:noProof w:val="0"/>
          <w:rtl/>
        </w:rPr>
        <w:t>"</w:t>
      </w:r>
      <w:r w:rsidRPr="009B35B6">
        <w:rPr>
          <w:rFonts w:asciiTheme="majorBidi" w:hAnsiTheme="majorBidi" w:cstheme="majorBidi"/>
          <w:noProof w:val="0"/>
        </w:rPr>
        <w:t>civil monetary penalties</w:t>
      </w:r>
      <w:r w:rsidRPr="009B35B6">
        <w:rPr>
          <w:rFonts w:asciiTheme="majorBidi" w:hAnsiTheme="majorBidi" w:cstheme="majorBidi"/>
          <w:noProof w:val="0"/>
          <w:rtl/>
        </w:rPr>
        <w:t>"</w:t>
      </w:r>
      <w:r w:rsidR="009B35B6">
        <w:rPr>
          <w:rFonts w:hint="cs" w:asciiTheme="majorBidi" w:hAnsiTheme="majorBidi" w:cstheme="majorBidi"/>
          <w:noProof w:val="0"/>
          <w:rtl/>
        </w:rPr>
        <w:t xml:space="preserve">. </w:t>
      </w:r>
      <w:r w:rsidR="00A025BA">
        <w:rPr>
          <w:rFonts w:hint="cs" w:asciiTheme="majorBidi" w:hAnsiTheme="majorBidi"/>
          <w:noProof w:val="0"/>
          <w:rtl/>
        </w:rPr>
        <w:t>איני מקבל את הטענה לפיה סעדים אלה מלמדים שלא מדובר בהליך אזרחי. בכלל זה איני מ</w:t>
      </w:r>
      <w:r w:rsidRPr="007F2375" w:rsidR="007F2375">
        <w:rPr>
          <w:rFonts w:hint="cs" w:asciiTheme="majorBidi" w:hAnsiTheme="majorBidi"/>
          <w:noProof w:val="0"/>
          <w:rtl/>
        </w:rPr>
        <w:t xml:space="preserve">קבל את הטענה כי </w:t>
      </w:r>
      <w:r w:rsidR="00A025BA">
        <w:rPr>
          <w:rFonts w:hint="cs" w:asciiTheme="majorBidi" w:hAnsiTheme="majorBidi"/>
          <w:noProof w:val="0"/>
          <w:rtl/>
        </w:rPr>
        <w:t xml:space="preserve">הסנקציות הכספיות </w:t>
      </w:r>
      <w:r w:rsidR="001E179B">
        <w:rPr>
          <w:rFonts w:hint="cs" w:asciiTheme="majorBidi" w:hAnsiTheme="majorBidi"/>
          <w:noProof w:val="0"/>
          <w:rtl/>
        </w:rPr>
        <w:t>זהות ל</w:t>
      </w:r>
      <w:r w:rsidRPr="007F2375" w:rsidR="007F2375">
        <w:rPr>
          <w:rFonts w:hint="cs" w:asciiTheme="majorBidi" w:hAnsiTheme="majorBidi"/>
          <w:noProof w:val="0"/>
          <w:rtl/>
        </w:rPr>
        <w:t>קנס</w:t>
      </w:r>
      <w:r w:rsidR="00A025BA">
        <w:rPr>
          <w:rFonts w:hint="cs" w:asciiTheme="majorBidi" w:hAnsiTheme="majorBidi"/>
          <w:noProof w:val="0"/>
          <w:rtl/>
        </w:rPr>
        <w:t>ות פליליים</w:t>
      </w:r>
      <w:r w:rsidRPr="007F2375" w:rsidR="007F2375">
        <w:rPr>
          <w:rFonts w:hint="cs" w:asciiTheme="majorBidi" w:hAnsiTheme="majorBidi"/>
          <w:noProof w:val="0"/>
          <w:rtl/>
        </w:rPr>
        <w:t>.</w:t>
      </w:r>
      <w:r w:rsidR="007F2375">
        <w:rPr>
          <w:rFonts w:hint="cs" w:asciiTheme="majorBidi" w:hAnsiTheme="majorBidi" w:cstheme="majorBidi"/>
          <w:noProof w:val="0"/>
          <w:rtl/>
        </w:rPr>
        <w:t xml:space="preserve"> </w:t>
      </w:r>
      <w:r w:rsidRPr="009B35B6" w:rsidR="009B35B6">
        <w:rPr>
          <w:rFonts w:hint="cs" w:asciiTheme="majorBidi" w:hAnsiTheme="majorBidi"/>
          <w:noProof w:val="0"/>
          <w:rtl/>
        </w:rPr>
        <w:t>עיון במקור החוקי</w:t>
      </w:r>
      <w:r w:rsidR="009B35B6">
        <w:rPr>
          <w:rFonts w:hint="cs" w:asciiTheme="majorBidi" w:hAnsiTheme="majorBidi" w:cstheme="majorBidi"/>
          <w:noProof w:val="0"/>
          <w:rtl/>
        </w:rPr>
        <w:t xml:space="preserve"> - </w:t>
      </w:r>
      <w:r w:rsidRPr="009B35B6" w:rsidR="009B35B6">
        <w:rPr>
          <w:rFonts w:cs="Times New Roman"/>
          <w:noProof w:val="0"/>
        </w:rPr>
        <w:t>15 U.S. Code § 78u–1</w:t>
      </w:r>
      <w:r w:rsidR="009B35B6">
        <w:rPr>
          <w:rFonts w:hint="cs" w:cs="Times New Roman"/>
          <w:noProof w:val="0"/>
          <w:rtl/>
        </w:rPr>
        <w:t xml:space="preserve"> </w:t>
      </w:r>
      <w:r w:rsidRPr="009B35B6" w:rsidR="009B35B6">
        <w:rPr>
          <w:rFonts w:hint="cs"/>
          <w:noProof w:val="0"/>
          <w:rtl/>
        </w:rPr>
        <w:t>שכותרתו</w:t>
      </w:r>
      <w:r w:rsidR="009B35B6">
        <w:rPr>
          <w:rFonts w:hint="cs" w:cs="Times New Roman"/>
          <w:noProof w:val="0"/>
          <w:rtl/>
        </w:rPr>
        <w:t xml:space="preserve"> </w:t>
      </w:r>
      <w:r w:rsidRPr="009B35B6" w:rsidR="009B35B6">
        <w:rPr>
          <w:rFonts w:cs="Times New Roman"/>
          <w:noProof w:val="0"/>
        </w:rPr>
        <w:t xml:space="preserve">  </w:t>
      </w:r>
      <w:r w:rsidR="009B35B6">
        <w:rPr>
          <w:rFonts w:cs="Times New Roman"/>
          <w:noProof w:val="0"/>
        </w:rPr>
        <w:t>"</w:t>
      </w:r>
      <w:r w:rsidRPr="009B35B6" w:rsidR="009B35B6">
        <w:rPr>
          <w:rFonts w:cs="Times New Roman"/>
          <w:noProof w:val="0"/>
        </w:rPr>
        <w:t>Civil penalties for insider trading</w:t>
      </w:r>
      <w:r w:rsidR="009B35B6">
        <w:rPr>
          <w:rFonts w:cs="Times New Roman"/>
          <w:noProof w:val="0"/>
        </w:rPr>
        <w:t>"</w:t>
      </w:r>
      <w:r w:rsidR="009B35B6">
        <w:rPr>
          <w:rFonts w:hint="cs" w:cs="Times New Roman"/>
          <w:noProof w:val="0"/>
          <w:rtl/>
        </w:rPr>
        <w:t xml:space="preserve"> </w:t>
      </w:r>
      <w:r w:rsidRPr="009B35B6" w:rsidR="009B35B6">
        <w:rPr>
          <w:rFonts w:hint="cs"/>
          <w:noProof w:val="0"/>
          <w:rtl/>
        </w:rPr>
        <w:t>מעלה כי מדוב</w:t>
      </w:r>
      <w:r w:rsidR="009B35B6">
        <w:rPr>
          <w:rFonts w:hint="cs"/>
          <w:noProof w:val="0"/>
          <w:rtl/>
        </w:rPr>
        <w:t xml:space="preserve">ר בסנקציות כספיות שבית המשפט רשאי להטיל </w:t>
      </w:r>
      <w:r w:rsidR="00A025BA">
        <w:rPr>
          <w:rFonts w:hint="cs"/>
          <w:noProof w:val="0"/>
          <w:rtl/>
        </w:rPr>
        <w:t xml:space="preserve">בהליך אזרחי </w:t>
      </w:r>
      <w:r w:rsidR="009B35B6">
        <w:rPr>
          <w:rFonts w:hint="cs"/>
          <w:noProof w:val="0"/>
          <w:rtl/>
        </w:rPr>
        <w:t>ואשר נבדלות מקנסות</w:t>
      </w:r>
      <w:r w:rsidR="007F2375">
        <w:rPr>
          <w:rFonts w:hint="cs"/>
          <w:noProof w:val="0"/>
          <w:rtl/>
        </w:rPr>
        <w:t xml:space="preserve">, לגביהם משמש </w:t>
      </w:r>
      <w:r w:rsidR="001E179B">
        <w:rPr>
          <w:rFonts w:hint="cs"/>
          <w:noProof w:val="0"/>
          <w:rtl/>
        </w:rPr>
        <w:t xml:space="preserve">בחוק האמריקאי </w:t>
      </w:r>
      <w:r w:rsidR="007F2375">
        <w:rPr>
          <w:rFonts w:hint="cs"/>
          <w:noProof w:val="0"/>
          <w:rtl/>
        </w:rPr>
        <w:t>מינוח אחר (</w:t>
      </w:r>
      <w:r w:rsidR="009B35B6">
        <w:rPr>
          <w:rFonts w:hint="cs"/>
          <w:noProof w:val="0"/>
          <w:rtl/>
        </w:rPr>
        <w:t>"</w:t>
      </w:r>
      <w:r w:rsidR="009B35B6">
        <w:rPr>
          <w:noProof w:val="0"/>
        </w:rPr>
        <w:t>Fines</w:t>
      </w:r>
      <w:r w:rsidR="009B35B6">
        <w:rPr>
          <w:rFonts w:hint="cs"/>
          <w:noProof w:val="0"/>
          <w:rtl/>
        </w:rPr>
        <w:t xml:space="preserve">" </w:t>
      </w:r>
      <w:r w:rsidR="009B35B6">
        <w:rPr>
          <w:rFonts w:hint="cs" w:cs="Times New Roman"/>
          <w:noProof w:val="0"/>
          <w:rtl/>
        </w:rPr>
        <w:t xml:space="preserve"> </w:t>
      </w:r>
      <w:r w:rsidR="007F2375">
        <w:rPr>
          <w:rFonts w:hint="cs" w:cs="Times New Roman"/>
          <w:noProof w:val="0"/>
          <w:rtl/>
        </w:rPr>
        <w:t xml:space="preserve">- למשל </w:t>
      </w:r>
      <w:r w:rsidRPr="007F2375" w:rsidR="007F2375">
        <w:rPr>
          <w:rFonts w:cs="Times New Roman"/>
          <w:noProof w:val="0"/>
        </w:rPr>
        <w:t xml:space="preserve">15 U.S. Code § 78ff </w:t>
      </w:r>
      <w:r w:rsidR="007F2375">
        <w:rPr>
          <w:rFonts w:cs="Times New Roman"/>
          <w:noProof w:val="0"/>
        </w:rPr>
        <w:t>–</w:t>
      </w:r>
      <w:r w:rsidR="007F2375">
        <w:rPr>
          <w:rFonts w:hint="cs" w:cs="Times New Roman"/>
          <w:noProof w:val="0"/>
          <w:rtl/>
        </w:rPr>
        <w:t xml:space="preserve"> שכותרתו "</w:t>
      </w:r>
      <w:r w:rsidRPr="007F2375" w:rsidR="007F2375">
        <w:rPr>
          <w:rFonts w:cs="Times New Roman"/>
          <w:noProof w:val="0"/>
        </w:rPr>
        <w:t xml:space="preserve"> Penalties</w:t>
      </w:r>
      <w:r w:rsidR="007F2375">
        <w:rPr>
          <w:rFonts w:hint="cs" w:cs="Times New Roman"/>
          <w:noProof w:val="0"/>
          <w:rtl/>
        </w:rPr>
        <w:t>").</w:t>
      </w:r>
      <w:r w:rsidR="00A35EBB">
        <w:rPr>
          <w:rFonts w:hint="cs" w:cs="Times New Roman"/>
          <w:noProof w:val="0"/>
          <w:rtl/>
        </w:rPr>
        <w:t xml:space="preserve"> </w:t>
      </w:r>
    </w:p>
    <w:p w:rsidR="000B1FE6" w:rsidP="001E179B" w:rsidRDefault="00A025BA">
      <w:pPr>
        <w:pStyle w:val="ad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contextualSpacing w:val="0"/>
        <w:jc w:val="both"/>
        <w:rPr>
          <w:noProof w:val="0"/>
        </w:rPr>
      </w:pPr>
      <w:r>
        <w:rPr>
          <w:rFonts w:hint="cs"/>
          <w:noProof w:val="0"/>
          <w:rtl/>
        </w:rPr>
        <w:t xml:space="preserve">לכך מצטרף נימוק נוסף: עתירת המשיב 3 מושתתת, כאמור, על טענה </w:t>
      </w:r>
      <w:r w:rsidRPr="000B1FE6" w:rsidR="000B1FE6">
        <w:rPr>
          <w:rFonts w:hint="cs"/>
          <w:noProof w:val="0"/>
          <w:rtl/>
        </w:rPr>
        <w:t>להעדר סמכות עניינית של בית המשפט</w:t>
      </w:r>
      <w:r w:rsidR="000B1FE6">
        <w:rPr>
          <w:rFonts w:hint="cs"/>
          <w:noProof w:val="0"/>
          <w:rtl/>
        </w:rPr>
        <w:t xml:space="preserve">. </w:t>
      </w:r>
      <w:r w:rsidR="001E179B">
        <w:rPr>
          <w:rFonts w:hint="cs"/>
          <w:noProof w:val="0"/>
          <w:rtl/>
        </w:rPr>
        <w:t>אלא, ש</w:t>
      </w:r>
      <w:r w:rsidR="000B1FE6">
        <w:rPr>
          <w:rFonts w:hint="cs"/>
          <w:noProof w:val="0"/>
          <w:rtl/>
        </w:rPr>
        <w:t>הליך זה מתנהל לפי חוק עזרה משפטית</w:t>
      </w:r>
      <w:r w:rsidR="001E179B">
        <w:rPr>
          <w:rFonts w:hint="cs"/>
          <w:noProof w:val="0"/>
          <w:rtl/>
        </w:rPr>
        <w:t xml:space="preserve">. </w:t>
      </w:r>
      <w:r w:rsidR="00D877E2">
        <w:rPr>
          <w:rFonts w:hint="cs"/>
          <w:noProof w:val="0"/>
          <w:rtl/>
        </w:rPr>
        <w:t>סעיף 9(א) ל</w:t>
      </w:r>
      <w:r w:rsidR="001E179B">
        <w:rPr>
          <w:rFonts w:hint="cs"/>
          <w:noProof w:val="0"/>
          <w:rtl/>
        </w:rPr>
        <w:t>חוק</w:t>
      </w:r>
      <w:r w:rsidR="00D877E2">
        <w:rPr>
          <w:rFonts w:hint="cs"/>
          <w:noProof w:val="0"/>
          <w:rtl/>
        </w:rPr>
        <w:t xml:space="preserve"> קובע כי </w:t>
      </w:r>
      <w:r w:rsidRPr="00D877E2" w:rsidR="00D877E2">
        <w:rPr>
          <w:rFonts w:hint="cs" w:cs="FrankRuehl"/>
          <w:noProof w:val="0"/>
          <w:rtl/>
        </w:rPr>
        <w:t>"</w:t>
      </w:r>
      <w:r w:rsidRPr="00D877E2" w:rsidR="00D877E2">
        <w:rPr>
          <w:rFonts w:cs="FrankRuehl"/>
          <w:noProof w:val="0"/>
          <w:rtl/>
        </w:rPr>
        <w:t>בית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המשפט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המוסמך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לעשות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פעולה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לפי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חוק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ז</w:t>
      </w:r>
      <w:r w:rsidRPr="00D877E2" w:rsidR="00D877E2">
        <w:rPr>
          <w:rFonts w:hint="cs" w:cs="FrankRuehl"/>
          <w:noProof w:val="0"/>
          <w:rtl/>
        </w:rPr>
        <w:t xml:space="preserve">ה, </w:t>
      </w:r>
      <w:r w:rsidRPr="00D877E2" w:rsidR="00D877E2">
        <w:rPr>
          <w:rFonts w:cs="FrankRuehl"/>
          <w:noProof w:val="0"/>
          <w:rtl/>
        </w:rPr>
        <w:t>הוא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בית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משפט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השלו</w:t>
      </w:r>
      <w:r w:rsidRPr="00D877E2" w:rsidR="00D877E2">
        <w:rPr>
          <w:rFonts w:hint="cs" w:cs="FrankRuehl"/>
          <w:noProof w:val="0"/>
          <w:rtl/>
        </w:rPr>
        <w:t xml:space="preserve">ם, </w:t>
      </w:r>
      <w:r w:rsidRPr="00D877E2" w:rsidR="00D877E2">
        <w:rPr>
          <w:rFonts w:cs="FrankRuehl"/>
          <w:noProof w:val="0"/>
          <w:rtl/>
        </w:rPr>
        <w:t>וזאת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גם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אם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הפעולה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המבוקשת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אינה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בתחום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סמכויותי</w:t>
      </w:r>
      <w:r w:rsidRPr="00D877E2" w:rsidR="00D877E2">
        <w:rPr>
          <w:rFonts w:hint="cs" w:cs="FrankRuehl"/>
          <w:noProof w:val="0"/>
          <w:rtl/>
        </w:rPr>
        <w:t xml:space="preserve">ו, </w:t>
      </w:r>
      <w:r w:rsidRPr="00D877E2" w:rsidR="00D877E2">
        <w:rPr>
          <w:rFonts w:cs="FrankRuehl"/>
          <w:noProof w:val="0"/>
          <w:rtl/>
        </w:rPr>
        <w:t>אלא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אם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כן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נאמר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בחוק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זה</w:t>
      </w:r>
      <w:r w:rsidRPr="00D877E2" w:rsidR="00D877E2">
        <w:rPr>
          <w:rFonts w:cs="FrankRuehl"/>
          <w:noProof w:val="0"/>
        </w:rPr>
        <w:t xml:space="preserve"> </w:t>
      </w:r>
      <w:r w:rsidRPr="00D877E2" w:rsidR="00D877E2">
        <w:rPr>
          <w:rFonts w:cs="FrankRuehl"/>
          <w:noProof w:val="0"/>
          <w:rtl/>
        </w:rPr>
        <w:t>אחרת</w:t>
      </w:r>
      <w:r w:rsidRPr="00D877E2" w:rsidR="00D877E2">
        <w:rPr>
          <w:rFonts w:hint="cs" w:cs="FrankRuehl"/>
          <w:noProof w:val="0"/>
          <w:rtl/>
        </w:rPr>
        <w:t>".</w:t>
      </w:r>
      <w:r w:rsidRPr="00D877E2" w:rsidR="00D877E2">
        <w:rPr>
          <w:rFonts w:hint="cs" w:cs="Times New Roman"/>
          <w:noProof w:val="0"/>
          <w:rtl/>
        </w:rPr>
        <w:t xml:space="preserve"> </w:t>
      </w:r>
      <w:r w:rsidR="001E179B">
        <w:rPr>
          <w:rFonts w:hint="cs"/>
          <w:noProof w:val="0"/>
          <w:rtl/>
        </w:rPr>
        <w:t>הפעולות המוסדרות ב</w:t>
      </w:r>
      <w:r w:rsidR="00D877E2">
        <w:rPr>
          <w:rFonts w:hint="cs"/>
          <w:noProof w:val="0"/>
          <w:rtl/>
        </w:rPr>
        <w:t xml:space="preserve">חוק </w:t>
      </w:r>
      <w:r w:rsidR="001E179B">
        <w:rPr>
          <w:rFonts w:hint="cs"/>
          <w:noProof w:val="0"/>
          <w:rtl/>
        </w:rPr>
        <w:t xml:space="preserve">אינן מוגבלות </w:t>
      </w:r>
      <w:r w:rsidR="00D877E2">
        <w:rPr>
          <w:rFonts w:hint="cs"/>
          <w:noProof w:val="0"/>
          <w:rtl/>
        </w:rPr>
        <w:t>לעזרה משפטית בהליכים אזרחיים וכולל</w:t>
      </w:r>
      <w:r w:rsidR="001E179B">
        <w:rPr>
          <w:rFonts w:hint="cs"/>
          <w:noProof w:val="0"/>
          <w:rtl/>
        </w:rPr>
        <w:t>ות</w:t>
      </w:r>
      <w:r w:rsidR="00D877E2">
        <w:rPr>
          <w:rFonts w:hint="cs"/>
          <w:noProof w:val="0"/>
          <w:rtl/>
        </w:rPr>
        <w:t xml:space="preserve"> </w:t>
      </w:r>
      <w:r w:rsidR="000B1FE6">
        <w:rPr>
          <w:rFonts w:hint="cs"/>
          <w:noProof w:val="0"/>
          <w:rtl/>
        </w:rPr>
        <w:t xml:space="preserve">הסדרים מפורשים לסיוע גם בעניינים אחרים, לרבות </w:t>
      </w:r>
      <w:r w:rsidR="00D877E2">
        <w:rPr>
          <w:rFonts w:hint="cs"/>
          <w:noProof w:val="0"/>
          <w:rtl/>
        </w:rPr>
        <w:t>ב</w:t>
      </w:r>
      <w:r w:rsidR="000B1FE6">
        <w:rPr>
          <w:rFonts w:hint="cs"/>
          <w:noProof w:val="0"/>
          <w:rtl/>
        </w:rPr>
        <w:t>הליכים פליליים</w:t>
      </w:r>
      <w:r w:rsidR="00D877E2">
        <w:rPr>
          <w:rFonts w:hint="cs"/>
          <w:noProof w:val="0"/>
          <w:rtl/>
        </w:rPr>
        <w:t xml:space="preserve"> המתנהלים בחו"ל</w:t>
      </w:r>
      <w:r w:rsidR="000B1FE6">
        <w:rPr>
          <w:rFonts w:hint="cs"/>
          <w:noProof w:val="0"/>
          <w:rtl/>
        </w:rPr>
        <w:t xml:space="preserve">. </w:t>
      </w:r>
      <w:r w:rsidR="00D877E2">
        <w:rPr>
          <w:rFonts w:hint="cs"/>
          <w:noProof w:val="0"/>
          <w:rtl/>
        </w:rPr>
        <w:t xml:space="preserve">בכלל זה </w:t>
      </w:r>
      <w:r w:rsidR="000B1FE6">
        <w:rPr>
          <w:rFonts w:hint="cs"/>
          <w:noProof w:val="0"/>
          <w:rtl/>
        </w:rPr>
        <w:t xml:space="preserve">בואר בסעיף ההגדרות לחוק, סעיף 1, </w:t>
      </w:r>
      <w:r w:rsidR="00E23D88">
        <w:rPr>
          <w:rFonts w:hint="cs"/>
          <w:noProof w:val="0"/>
          <w:rtl/>
        </w:rPr>
        <w:t>כי ה</w:t>
      </w:r>
      <w:r w:rsidR="000B1FE6">
        <w:rPr>
          <w:rFonts w:hint="cs"/>
          <w:noProof w:val="0"/>
          <w:rtl/>
        </w:rPr>
        <w:t xml:space="preserve">"הליך </w:t>
      </w:r>
      <w:r w:rsidR="00E23D88">
        <w:rPr>
          <w:rFonts w:hint="cs"/>
          <w:noProof w:val="0"/>
          <w:rtl/>
        </w:rPr>
        <w:t>ה</w:t>
      </w:r>
      <w:r w:rsidR="000B1FE6">
        <w:rPr>
          <w:rFonts w:hint="cs"/>
          <w:noProof w:val="0"/>
          <w:rtl/>
        </w:rPr>
        <w:t xml:space="preserve">משפטי" </w:t>
      </w:r>
      <w:r w:rsidR="00E23D88">
        <w:rPr>
          <w:rFonts w:hint="cs"/>
          <w:noProof w:val="0"/>
          <w:rtl/>
        </w:rPr>
        <w:t xml:space="preserve">עליו חל החוק הוא </w:t>
      </w:r>
      <w:r w:rsidRPr="00B34BAE" w:rsidR="000B1FE6">
        <w:rPr>
          <w:rFonts w:hint="cs"/>
          <w:noProof w:val="0"/>
          <w:rtl/>
        </w:rPr>
        <w:t>"</w:t>
      </w:r>
      <w:r w:rsidRPr="00D877E2" w:rsidR="000B1FE6">
        <w:rPr>
          <w:rFonts w:cs="FrankRuehl"/>
          <w:noProof w:val="0"/>
          <w:rtl/>
        </w:rPr>
        <w:t>הליך</w:t>
      </w:r>
      <w:r w:rsidRPr="00D877E2" w:rsidR="000B1FE6">
        <w:rPr>
          <w:rFonts w:cs="FrankRuehl"/>
          <w:noProof w:val="0"/>
        </w:rPr>
        <w:t xml:space="preserve"> </w:t>
      </w:r>
      <w:r w:rsidRPr="00D877E2" w:rsidR="000B1FE6">
        <w:rPr>
          <w:rFonts w:cs="FrankRuehl"/>
          <w:noProof w:val="0"/>
          <w:rtl/>
        </w:rPr>
        <w:t>בענין</w:t>
      </w:r>
      <w:r w:rsidRPr="00D877E2" w:rsidR="000B1FE6">
        <w:rPr>
          <w:rFonts w:cs="FrankRuehl"/>
          <w:noProof w:val="0"/>
        </w:rPr>
        <w:t xml:space="preserve"> </w:t>
      </w:r>
      <w:r w:rsidRPr="00D877E2" w:rsidR="000B1FE6">
        <w:rPr>
          <w:rFonts w:cs="FrankRuehl"/>
          <w:noProof w:val="0"/>
          <w:rtl/>
        </w:rPr>
        <w:t>אזרחי</w:t>
      </w:r>
      <w:r w:rsidRPr="00D877E2" w:rsidR="000B1FE6">
        <w:rPr>
          <w:rFonts w:cs="FrankRuehl"/>
          <w:noProof w:val="0"/>
        </w:rPr>
        <w:t xml:space="preserve"> </w:t>
      </w:r>
      <w:r w:rsidRPr="00D877E2" w:rsidR="000B1FE6">
        <w:rPr>
          <w:rFonts w:cs="FrankRuehl"/>
          <w:noProof w:val="0"/>
          <w:rtl/>
        </w:rPr>
        <w:t>או</w:t>
      </w:r>
      <w:r w:rsidRPr="00D877E2" w:rsidR="000B1FE6">
        <w:rPr>
          <w:rFonts w:cs="FrankRuehl"/>
          <w:noProof w:val="0"/>
        </w:rPr>
        <w:t xml:space="preserve"> </w:t>
      </w:r>
      <w:r w:rsidRPr="00D877E2" w:rsidR="000B1FE6">
        <w:rPr>
          <w:rFonts w:cs="FrankRuehl"/>
          <w:noProof w:val="0"/>
          <w:rtl/>
        </w:rPr>
        <w:t>בענין</w:t>
      </w:r>
      <w:r w:rsidRPr="00D877E2" w:rsidR="000B1FE6">
        <w:rPr>
          <w:rFonts w:cs="FrankRuehl"/>
          <w:noProof w:val="0"/>
        </w:rPr>
        <w:t xml:space="preserve"> </w:t>
      </w:r>
      <w:r w:rsidRPr="00D877E2" w:rsidR="000B1FE6">
        <w:rPr>
          <w:rFonts w:cs="FrankRuehl"/>
          <w:noProof w:val="0"/>
          <w:rtl/>
        </w:rPr>
        <w:t>פלילי</w:t>
      </w:r>
      <w:r w:rsidRPr="00B34BAE" w:rsidR="000B1FE6">
        <w:rPr>
          <w:noProof w:val="0"/>
        </w:rPr>
        <w:t>"</w:t>
      </w:r>
      <w:r w:rsidRPr="00B34BAE" w:rsidR="000B1FE6">
        <w:rPr>
          <w:rFonts w:hint="cs"/>
          <w:noProof w:val="0"/>
          <w:rtl/>
        </w:rPr>
        <w:t xml:space="preserve">. </w:t>
      </w:r>
      <w:r w:rsidR="001E179B">
        <w:rPr>
          <w:rFonts w:hint="cs"/>
          <w:noProof w:val="0"/>
          <w:rtl/>
        </w:rPr>
        <w:t xml:space="preserve">אף </w:t>
      </w:r>
      <w:r w:rsidRPr="00B34BAE" w:rsidR="00B34BAE">
        <w:rPr>
          <w:rFonts w:hint="cs"/>
          <w:noProof w:val="0"/>
          <w:rtl/>
        </w:rPr>
        <w:t xml:space="preserve">הסמכות לגביית ראיות במסגרת החוק לא סויגה כך שלא תחול על הליכים פליליים, ובפועל משמש החוק לא אחת לגביית ראיות גם לצורך הליכים פליליים המתנהלים בחו"ל. </w:t>
      </w:r>
    </w:p>
    <w:p w:rsidR="00E23D88" w:rsidP="001E179B" w:rsidRDefault="00E23D88">
      <w:pPr>
        <w:pStyle w:val="ad"/>
        <w:spacing w:before="120" w:after="120" w:line="360" w:lineRule="auto"/>
        <w:contextualSpacing w:val="0"/>
        <w:jc w:val="both"/>
        <w:rPr>
          <w:noProof w:val="0"/>
          <w:rtl/>
        </w:rPr>
      </w:pPr>
      <w:r>
        <w:rPr>
          <w:rFonts w:hint="cs"/>
          <w:noProof w:val="0"/>
          <w:rtl/>
        </w:rPr>
        <w:lastRenderedPageBreak/>
        <w:t xml:space="preserve">על רקע זה, לא ניתן לקבל טענה </w:t>
      </w:r>
      <w:r w:rsidR="001E179B">
        <w:rPr>
          <w:rFonts w:hint="cs"/>
          <w:noProof w:val="0"/>
          <w:rtl/>
        </w:rPr>
        <w:t xml:space="preserve">המבקשת להגביל את </w:t>
      </w:r>
      <w:r>
        <w:rPr>
          <w:rFonts w:hint="cs"/>
          <w:noProof w:val="0"/>
          <w:rtl/>
        </w:rPr>
        <w:t xml:space="preserve">סמכותו העניינית של בית משפט זה </w:t>
      </w:r>
      <w:r w:rsidR="001E179B">
        <w:rPr>
          <w:rFonts w:hint="cs"/>
          <w:noProof w:val="0"/>
          <w:rtl/>
        </w:rPr>
        <w:t xml:space="preserve">באופן שאינו כולל </w:t>
      </w:r>
      <w:r>
        <w:rPr>
          <w:rFonts w:hint="cs"/>
          <w:noProof w:val="0"/>
          <w:rtl/>
        </w:rPr>
        <w:t xml:space="preserve">מתן עזרה משפטית בעניין פלילי. </w:t>
      </w:r>
      <w:r w:rsidR="001E179B">
        <w:rPr>
          <w:rFonts w:hint="cs"/>
          <w:noProof w:val="0"/>
          <w:rtl/>
        </w:rPr>
        <w:t xml:space="preserve">כאמור, הדברים נכתבים מעל לצורך בהינתן שאין מדובר בהליך פלילי המתנהל בארצות הברית. </w:t>
      </w:r>
    </w:p>
    <w:p w:rsidR="00E23D88" w:rsidP="00073143" w:rsidRDefault="00E23D88">
      <w:pPr>
        <w:pStyle w:val="ad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noProof w:val="0"/>
          <w:rtl/>
        </w:rPr>
      </w:pPr>
      <w:r>
        <w:rPr>
          <w:rFonts w:hint="cs"/>
          <w:noProof w:val="0"/>
          <w:rtl/>
        </w:rPr>
        <w:t xml:space="preserve">בהקשר זה </w:t>
      </w:r>
      <w:r w:rsidR="00D877E2">
        <w:rPr>
          <w:rFonts w:hint="cs"/>
          <w:noProof w:val="0"/>
          <w:rtl/>
        </w:rPr>
        <w:t xml:space="preserve">אוסיף </w:t>
      </w:r>
      <w:r w:rsidR="001E179B">
        <w:rPr>
          <w:rFonts w:hint="cs"/>
          <w:noProof w:val="0"/>
          <w:rtl/>
        </w:rPr>
        <w:t xml:space="preserve">גם </w:t>
      </w:r>
      <w:r>
        <w:rPr>
          <w:rFonts w:hint="cs"/>
          <w:noProof w:val="0"/>
          <w:rtl/>
        </w:rPr>
        <w:t>כי איני מקבל את הטיעון המבקש לשלול את הסמכות העניינית בהיסמך על סעיף 13 לחוק</w:t>
      </w:r>
      <w:r w:rsidR="00267B73">
        <w:rPr>
          <w:rFonts w:hint="cs"/>
          <w:noProof w:val="0"/>
          <w:rtl/>
        </w:rPr>
        <w:t xml:space="preserve"> עזרה משפטית</w:t>
      </w:r>
      <w:r w:rsidR="001E179B">
        <w:rPr>
          <w:rFonts w:hint="cs"/>
          <w:noProof w:val="0"/>
          <w:rtl/>
        </w:rPr>
        <w:t>, בטענה לפיה סתירה בין אמנת האג לחוק מצמצמת את סמכות בית המשפט בהתאם לאמנה</w:t>
      </w:r>
      <w:r>
        <w:rPr>
          <w:rFonts w:hint="cs"/>
          <w:noProof w:val="0"/>
          <w:rtl/>
        </w:rPr>
        <w:t xml:space="preserve">. סעיף </w:t>
      </w:r>
      <w:r w:rsidR="001E179B">
        <w:rPr>
          <w:rFonts w:hint="cs"/>
          <w:noProof w:val="0"/>
          <w:rtl/>
        </w:rPr>
        <w:t xml:space="preserve">13 </w:t>
      </w:r>
      <w:r>
        <w:rPr>
          <w:rFonts w:hint="cs"/>
          <w:noProof w:val="0"/>
          <w:rtl/>
        </w:rPr>
        <w:t xml:space="preserve">אינו מטפל בהיקף סמכותו של בית המשפט. נקבע </w:t>
      </w:r>
      <w:r w:rsidR="00D877E2">
        <w:rPr>
          <w:rFonts w:hint="cs"/>
          <w:noProof w:val="0"/>
          <w:rtl/>
        </w:rPr>
        <w:t xml:space="preserve">בו </w:t>
      </w:r>
      <w:r>
        <w:rPr>
          <w:rFonts w:hint="cs"/>
          <w:noProof w:val="0"/>
          <w:rtl/>
        </w:rPr>
        <w:t xml:space="preserve">כי אם </w:t>
      </w:r>
      <w:r w:rsidR="00D877E2">
        <w:rPr>
          <w:rFonts w:hint="cs"/>
          <w:noProof w:val="0"/>
          <w:rtl/>
        </w:rPr>
        <w:t xml:space="preserve">עוגנו </w:t>
      </w:r>
      <w:r>
        <w:rPr>
          <w:rFonts w:hint="cs"/>
          <w:noProof w:val="0"/>
          <w:rtl/>
        </w:rPr>
        <w:t xml:space="preserve">בהסכמים בינ"ל </w:t>
      </w:r>
      <w:r w:rsidR="00267B73">
        <w:rPr>
          <w:rFonts w:hint="cs"/>
          <w:noProof w:val="0"/>
          <w:rtl/>
        </w:rPr>
        <w:t xml:space="preserve">הסדרים </w:t>
      </w:r>
      <w:r>
        <w:rPr>
          <w:rFonts w:hint="cs"/>
          <w:noProof w:val="0"/>
          <w:rtl/>
        </w:rPr>
        <w:t>בנושאים כגון דרכי המצאת מסמכים</w:t>
      </w:r>
      <w:r w:rsidR="00267B73">
        <w:rPr>
          <w:rFonts w:hint="cs"/>
          <w:noProof w:val="0"/>
          <w:rtl/>
        </w:rPr>
        <w:t xml:space="preserve"> והצגתם</w:t>
      </w:r>
      <w:r>
        <w:rPr>
          <w:rFonts w:hint="cs"/>
          <w:noProof w:val="0"/>
          <w:rtl/>
        </w:rPr>
        <w:t xml:space="preserve">, </w:t>
      </w:r>
      <w:r w:rsidR="00267B73">
        <w:rPr>
          <w:rFonts w:hint="cs"/>
          <w:noProof w:val="0"/>
          <w:rtl/>
        </w:rPr>
        <w:t>גביית עדות, פטור מאגרות ועוד כמפורט שם, יהיה להם תוקף של דין על אף האמור בחוק עזרה משפטית וביתר דברי החקיקה</w:t>
      </w:r>
      <w:r w:rsidR="00E706FC">
        <w:rPr>
          <w:rFonts w:hint="cs"/>
          <w:noProof w:val="0"/>
          <w:rtl/>
        </w:rPr>
        <w:t>. לצד העדר קשר לסוגיית סמכות</w:t>
      </w:r>
      <w:r w:rsidR="00073143">
        <w:rPr>
          <w:rFonts w:hint="cs"/>
          <w:noProof w:val="0"/>
          <w:rtl/>
        </w:rPr>
        <w:t xml:space="preserve"> בית המשפט</w:t>
      </w:r>
      <w:r w:rsidR="00E706FC">
        <w:rPr>
          <w:rFonts w:hint="cs"/>
          <w:noProof w:val="0"/>
          <w:rtl/>
        </w:rPr>
        <w:t xml:space="preserve">, המדובר בסעיף שמבקש להוסיף על החקיקה הקיימת ולא לגרוע ממנה, וממילא שלא ניתן לייחס לו משמעות של צמצום סמכותו של בית המשפט. </w:t>
      </w:r>
      <w:r w:rsidR="00267B73">
        <w:rPr>
          <w:rFonts w:hint="cs"/>
          <w:noProof w:val="0"/>
          <w:rtl/>
        </w:rPr>
        <w:t xml:space="preserve">ראו גם דברי ההסבר </w:t>
      </w:r>
      <w:r w:rsidR="00E706FC">
        <w:rPr>
          <w:rFonts w:hint="cs"/>
          <w:noProof w:val="0"/>
          <w:rtl/>
        </w:rPr>
        <w:t xml:space="preserve">לסעיף זה </w:t>
      </w:r>
      <w:r w:rsidR="00267B73">
        <w:rPr>
          <w:rFonts w:hint="cs"/>
          <w:noProof w:val="0"/>
          <w:rtl/>
        </w:rPr>
        <w:t>בה"ח 2577 (תשנ"ז), עמ' 136.</w:t>
      </w:r>
    </w:p>
    <w:p w:rsidR="000B1FE6" w:rsidP="001E179B" w:rsidRDefault="00CD73F6">
      <w:pPr>
        <w:pStyle w:val="ad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noProof w:val="0"/>
        </w:rPr>
      </w:pPr>
      <w:r>
        <w:rPr>
          <w:rFonts w:hint="cs"/>
          <w:noProof w:val="0"/>
          <w:rtl/>
        </w:rPr>
        <w:t xml:space="preserve">בשל כל אלה, </w:t>
      </w:r>
      <w:r w:rsidRPr="00E706FC" w:rsidR="00E706FC">
        <w:rPr>
          <w:rFonts w:hint="cs"/>
          <w:noProof w:val="0"/>
          <w:rtl/>
        </w:rPr>
        <w:t xml:space="preserve">בקשת המשיב 3 נדחית. </w:t>
      </w:r>
      <w:r w:rsidRPr="00E706FC" w:rsidR="000B1FE6">
        <w:rPr>
          <w:rFonts w:hint="cs"/>
          <w:noProof w:val="0"/>
          <w:rtl/>
        </w:rPr>
        <w:t xml:space="preserve"> </w:t>
      </w:r>
    </w:p>
    <w:p w:rsidRPr="00E706FC" w:rsidR="00CD73F6" w:rsidP="001E179B" w:rsidRDefault="00CD73F6">
      <w:pPr>
        <w:pStyle w:val="ad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noProof w:val="0"/>
        </w:rPr>
      </w:pPr>
      <w:r>
        <w:rPr>
          <w:rFonts w:hint="cs"/>
          <w:noProof w:val="0"/>
          <w:rtl/>
        </w:rPr>
        <w:t>המזכירות תשלח החלטה זו לצדדים.</w:t>
      </w:r>
      <w:bookmarkStart w:name="_GoBack" w:id="1"/>
      <w:bookmarkEnd w:id="1"/>
    </w:p>
    <w:p w:rsidRPr="00E706FC" w:rsidR="000B1FE6" w:rsidP="00E706FC" w:rsidRDefault="000B1FE6">
      <w:pPr>
        <w:spacing w:line="360" w:lineRule="auto"/>
        <w:ind w:left="360"/>
        <w:jc w:val="both"/>
        <w:rPr>
          <w:rFonts w:cs="Times New Roman"/>
          <w:noProof w:val="0"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74BB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04900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2724d84b77b496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028 Medium">
    <w:panose1 w:val="00000000000000000006"/>
    <w:charset w:val="00"/>
    <w:family w:val="auto"/>
    <w:pitch w:val="variable"/>
    <w:sig w:usb0="800001AF" w:usb1="000178E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74BBA">
      <w:rPr>
        <w:rStyle w:val="ab"/>
        <w:rFonts w:cs="Times New Roman"/>
        <w:rtl/>
      </w:rPr>
      <w:t>3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74BBA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74BB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74BB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חד"א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42074-02-18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בית המשפט בארה"ב נ' שאול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C1EBC"/>
    <w:multiLevelType w:val="hybridMultilevel"/>
    <w:tmpl w:val="C7A8F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C0159"/>
    <w:multiLevelType w:val="hybridMultilevel"/>
    <w:tmpl w:val="923E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73143"/>
    <w:rsid w:val="00082AB2"/>
    <w:rsid w:val="000906FE"/>
    <w:rsid w:val="00096209"/>
    <w:rsid w:val="00096AF7"/>
    <w:rsid w:val="000B1FE6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179B"/>
    <w:rsid w:val="001E75CA"/>
    <w:rsid w:val="002265FF"/>
    <w:rsid w:val="00267B73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C24D3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92BBE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E104C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7728"/>
    <w:rsid w:val="006B5180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22D0"/>
    <w:rsid w:val="007F2375"/>
    <w:rsid w:val="007F4609"/>
    <w:rsid w:val="00814468"/>
    <w:rsid w:val="008176A1"/>
    <w:rsid w:val="00820005"/>
    <w:rsid w:val="00823799"/>
    <w:rsid w:val="00844318"/>
    <w:rsid w:val="00863F5D"/>
    <w:rsid w:val="00866468"/>
    <w:rsid w:val="00870890"/>
    <w:rsid w:val="00873602"/>
    <w:rsid w:val="00875D12"/>
    <w:rsid w:val="0088479D"/>
    <w:rsid w:val="00896889"/>
    <w:rsid w:val="008C5714"/>
    <w:rsid w:val="008D10B2"/>
    <w:rsid w:val="008F602A"/>
    <w:rsid w:val="00903896"/>
    <w:rsid w:val="00906F3D"/>
    <w:rsid w:val="0094424E"/>
    <w:rsid w:val="00955642"/>
    <w:rsid w:val="009622DF"/>
    <w:rsid w:val="0096493F"/>
    <w:rsid w:val="00967DFF"/>
    <w:rsid w:val="00994341"/>
    <w:rsid w:val="009B35B6"/>
    <w:rsid w:val="009D1A48"/>
    <w:rsid w:val="009E1CE7"/>
    <w:rsid w:val="009E4EA5"/>
    <w:rsid w:val="009F164B"/>
    <w:rsid w:val="009F323C"/>
    <w:rsid w:val="00A025BA"/>
    <w:rsid w:val="00A3392B"/>
    <w:rsid w:val="00A35EB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34BAE"/>
    <w:rsid w:val="00B4382F"/>
    <w:rsid w:val="00B5356E"/>
    <w:rsid w:val="00B74BBA"/>
    <w:rsid w:val="00B809AD"/>
    <w:rsid w:val="00B80CBD"/>
    <w:rsid w:val="00B86096"/>
    <w:rsid w:val="00B964D9"/>
    <w:rsid w:val="00BA010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D73F6"/>
    <w:rsid w:val="00CF6BB7"/>
    <w:rsid w:val="00D02D89"/>
    <w:rsid w:val="00D04AA4"/>
    <w:rsid w:val="00D27982"/>
    <w:rsid w:val="00D33B86"/>
    <w:rsid w:val="00D44968"/>
    <w:rsid w:val="00D53924"/>
    <w:rsid w:val="00D55D0C"/>
    <w:rsid w:val="00D877E2"/>
    <w:rsid w:val="00D96D8C"/>
    <w:rsid w:val="00DA6649"/>
    <w:rsid w:val="00DC1259"/>
    <w:rsid w:val="00DC1BD2"/>
    <w:rsid w:val="00DC2571"/>
    <w:rsid w:val="00DC487C"/>
    <w:rsid w:val="00DE1E7D"/>
    <w:rsid w:val="00DE6BF6"/>
    <w:rsid w:val="00DF5CAF"/>
    <w:rsid w:val="00E1068A"/>
    <w:rsid w:val="00E23D88"/>
    <w:rsid w:val="00E25884"/>
    <w:rsid w:val="00E25B55"/>
    <w:rsid w:val="00E31C2B"/>
    <w:rsid w:val="00E5426A"/>
    <w:rsid w:val="00E54642"/>
    <w:rsid w:val="00E706FC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1018FA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49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f2724d84b77b496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26E5E" w:rsidP="00926E5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26E5E" w:rsidP="00926E5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028 Medium">
    <w:panose1 w:val="00000000000000000006"/>
    <w:charset w:val="00"/>
    <w:family w:val="auto"/>
    <w:pitch w:val="variable"/>
    <w:sig w:usb0="800001AF" w:usb1="000178E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26E5E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6E5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26E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26E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690</Words>
  <Characters>3450</Characters>
  <Application>Microsoft Office Word</Application>
  <DocSecurity>0</DocSecurity>
  <Lines>28</Lines>
  <Paragraphs>8</Paragraphs>
  <ScaleCrop>false</ScaleCrop>
  <Company>Microsoft Corporation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אוהד גורדון</cp:lastModifiedBy>
  <cp:revision>142</cp:revision>
  <dcterms:created xsi:type="dcterms:W3CDTF">2012-08-06T05:16:00Z</dcterms:created>
  <dcterms:modified xsi:type="dcterms:W3CDTF">2018-04-12T11:23:00Z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