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אלעד פרסקי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161561/2018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מוחמד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אבו טיר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023260870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סלימאן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20 ינואר 1968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אום טובא1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16182-04-18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טיר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76c354df994f4fa0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43cb26a894154359" /></Relationships>
</file>

<file path=customXML/item.xml><?xml version="1.0" encoding="utf-8"?>
<CourtOrderDS>
  <dt_OrderCaseParty>
    <OrderID>0</OrderID>
    <CasePartyID>180467113</CasePartyID>
    <CaseID>75383333</CaseID>
    <CourtOrderTemplateDS>
      <dt_CaseParties>
        <FullName>מוחמד אבו טיר</FullName>
        <PartyID>2</PartyID>
        <CasePartyID>180467113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2018-04-11T08:12:00+03:00</CaseOpenDate>
        <ProceedingID>18</ProceedingID>
        <CourtID>30</CourtID>
        <CaseName>מדינת ישראל נ' אבו טיר</CaseName>
        <CaseTypeDesc/>
        <CaseTypeID>10059</CaseTypeID>
        <CaseTypeShortName>מ"י</CaseTypeShortName>
        <CaseDisplayIdentifier>16182-04-18</CaseDisplayIdentifier>
      </dt_OrderData>
      <dt_OrderManagment>
        <FatherName>סלימאן</FatherName>
        <FirstName>מוחמד</FirstName>
        <LastName>אבו טיר</LastName>
        <LegalEntityNumber>023260870</LegalEntityNumber>
        <AuthenticationTypeID>1</AuthenticationTypeID>
        <LegalEntityAddress>אום טובא1 ירושלים </LegalEntityAddress>
        <CourtDisplayName>בית משפט השלום בירושלים</CourtDisplayName>
        <DecisionUserTitle>שופט אלעד פרסקי</DecisionUserTitle>
        <CourtAddress>רח' חשין 6, ירושלים 9515601</CourtAddress>
        <LegalEntityCasePartyAddress>אום טובא1 ירושלים </LegalEntityCasePartyAddress>
      </dt_OrderManagment>
      <dt_ExternalLinkCaseNumber>
        <ExternalLinkCaseNumber>161561/2018</ExternalLinkCaseNumber>
        <ExternalCaseType>-1</ExternalCaseType>
      </dt_ExternalLinkCaseNumber>
      <dt_CaseData>
        <FirstCriminalCase/>
      </dt_CaseData>
    </CourtOrderTemplateDS>
    <RoleName>חשוד 1</RoleName>
    <CaseDisplayIdentifier>16182-04-18</CaseDisplayIdentifier>
    <FullName>מוחמד אבו טיר</FullName>
    <AuthenticationTypeAndNumber>ת.ז. 023260870</AuthenticationTypeAndNumber>
    <FullAddress>אום טובא1 ירושלים </FullAddress>
    <BirthDate>20/01/1968 00:00:00</BirthDate>
    <FatherName>סלימאן</FatherName>
    <AuthenticationTypeID>1</AuthenticationTypeID>
    <LegalEntityNumber>023260870</LegalEntityNumber>
    <LegalEntityID>57978989</LegalEntityID>
    <FirstName>מוחמד</FirstName>
    <LastName>אבו טיר</LastName>
    <PartyPropertyID>99</PartyPropertyID>
  </dt_OrderCaseParty>
  <dt_Document>
    <RowID>0</RowID>
    <DocumentTypeID>3</DocumentTypeID>
    <DocumentName>מסמך צו</DocumentName>
    <DocumentID>265858393</DocumentID>
    <DocumentURL>\\CTLNFSV02\doc_repository\62\164\54fc5221ba2f4c97b79b070039c07a27.docx</DocumentURL>
  </dt_Document>
  <dt_Order>
    <OrderID>0</OrderID>
    <DecisionID>111920076</DecisionID>
    <OrderStatusID>2</OrderStatusID>
    <IsCancelled>false</IsCancelled>
    <CreationDate>2018-04-12T12:32:38.5563383+03:00</CreationDate>
    <ProcedureID>2</ProcedureID>
    <OrderTypeID>120</OrderTypeID>
    <ActivationDate>2018-04-12T00:00:00+03:00</ActivationDate>
    <RealSignedUserID>029724416@GOV.IL</RealSignedUserID>
    <OrderDesc/>
    <CreationUserID>029724416@GOV.IL</CreationUserID>
    <DocumentID>265858393</DocumentID>
    <SignatureUserID>029724416@GOV.IL</SignatureUserID>
    <DraftUpdateDesc/>
    <DecisionDocumentID>-1</DecisionDocumentID>
    <MotionDocumentID>-1</MotionDocumentID>
    <DecisionName/>
    <DaysForAnswer/>
    <SignatureUserDisplayName>אלעד פרסקי</SignatureUserDisplayName>
    <DecisionSignatureUserID>029724416@GOV.IL</DecisionSignatureUserID>
    <DecisionSignatureUserDisplayName>אלעד פרסקי</DecisionSignatureUserDisplayName>
    <CreationUserDisplayName>אלעד פרסקי</CreationUserDisplayName>
    <IsDocumentModified>false</IsDocumentModified>
    <OrderNumber>2001909</OrderNumber>
    <OrderNumerator>02001909מע</OrderNumerator>
    <IsNotificationProcess>false</IsNotificationProcess>
    <IsPaperCase>false</IsPaperCase>
  </dt_Order>
  <dt_OrderCase>
    <OrderID>0</OrderID>
    <CaseID>75383333</CaseID>
    <CourtOrderTemplateDS>
      <dt_CaseParties>
        <FullName>מוחמד אבו טיר</FullName>
        <PartyID>2</PartyID>
        <CasePartyID>180467113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2018-04-11T08:12:00+03:00</CaseOpenDate>
        <ProceedingID>18</ProceedingID>
        <CourtID>30</CourtID>
        <CaseName>מדינת ישראל נ' אבו טיר</CaseName>
        <CaseTypeDesc/>
        <CaseTypeID>10059</CaseTypeID>
        <CaseTypeShortName>מ"י</CaseTypeShortName>
        <CaseDisplayIdentifier>16182-04-18</CaseDisplayIdentifier>
      </dt_OrderData>
      <dt_OrderManagment>
        <FatherName>סלימאן</FatherName>
        <FirstName>מוחמד</FirstName>
        <LastName>אבו טיר</LastName>
        <LegalEntityNumber>023260870</LegalEntityNumber>
        <AuthenticationTypeID>1</AuthenticationTypeID>
        <LegalEntityAddress>אום טובא1 ירושלים </LegalEntityAddress>
        <CourtDisplayName>בית משפט השלום בירושלים</CourtDisplayName>
        <DecisionUserTitle>שופט אלעד פרסקי</DecisionUserTitle>
        <CourtAddress>רח' חשין 6, ירושלים 9515601</CourtAddress>
        <LegalEntityCasePartyAddress>אום טובא1 ירושלים </LegalEntityCasePartyAddress>
      </dt_OrderManagment>
      <dt_ExternalLinkCaseNumber>
        <ExternalLinkCaseNumber>161561/2018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מוחמד</FirstName>
    <LastName>אבו טיר</LastName>
    <AuthenticationTypeID>1</AuthenticationTypeID>
    <LegalEntityNumber>023260870</LegalEntityNumber>
    <FatherName>סלימאן</FatherName>
    <BirthDate>1968-01-20T00:00:00+02:00</BirthDate>
    <LegalEntityAddress>אום טובא1 ירושלים </LegalEntityAddress>
    <PoliceStationID>37</PoliceStationID>
    <DetentionPeriodTypeID>2</DetentionPeriodTypeID>
    <DetentionFinishDate>2018-04-13T10:00:00+03:00</DetentionFinishDate>
    <ReleaseConditionComment>כמפורט בהחלטה</ReleaseConditionComment>
    <ExecutionDate>2018-04-12T12:32:45.3783383+03:00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7D5A5080-4F83-4617-96FF-4D1D351974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