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p>
    <w:tbl>
      <w:tblPr>
        <w:tblStyle w:val="a9"/>
        <w:bidiVisual/>
        <w:tblW w:w="967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6426"/>
      </w:tblGrid>
      <w:tr w:rsidRPr="00CD0055" w:rsidR="006816EC" w:rsidTr="00C06F7C">
        <w:trPr>
          <w:jc w:val="center"/>
        </w:trPr>
        <w:tc>
          <w:tcPr>
            <w:tcW w:w="743" w:type="dxa"/>
            <w:hideMark/>
          </w:tcPr>
          <w:p w:rsidRPr="00CD0055" w:rsidR="006816EC" w:rsidRDefault="00295DD1">
            <w:pPr>
              <w:jc w:val="both"/>
              <w:rPr>
                <w:rFonts w:ascii="Arial (W1)" w:hAnsi="Arial (W1)"/>
                <w:b/>
                <w:bCs/>
                <w:sz w:val="26"/>
                <w:szCs w:val="26"/>
              </w:rPr>
            </w:pPr>
            <w:r>
              <w:rPr>
                <w:rFonts w:hint="cs"/>
                <w:b/>
                <w:bCs/>
                <w:sz w:val="26"/>
                <w:szCs w:val="26"/>
                <w:rtl/>
              </w:rPr>
              <w:t>ל</w:t>
            </w:r>
            <w:r w:rsidRPr="00CD0055" w:rsidR="006816EC">
              <w:rPr>
                <w:rFonts w:hint="cs"/>
                <w:b/>
                <w:bCs/>
                <w:sz w:val="26"/>
                <w:szCs w:val="26"/>
                <w:rtl/>
              </w:rPr>
              <w:t xml:space="preserve">פני </w:t>
            </w:r>
          </w:p>
        </w:tc>
        <w:tc>
          <w:tcPr>
            <w:tcW w:w="8932" w:type="dxa"/>
            <w:gridSpan w:val="2"/>
            <w:hideMark/>
          </w:tcPr>
          <w:p w:rsidRPr="00CD0055" w:rsidR="006816EC" w:rsidP="006816EC" w:rsidRDefault="00B32C61">
            <w:pPr>
              <w:rPr>
                <w:rFonts w:ascii="Arial" w:hAnsi="Arial"/>
                <w:b/>
                <w:bCs/>
                <w:sz w:val="26"/>
                <w:szCs w:val="26"/>
                <w:rtl/>
              </w:rPr>
            </w:pPr>
            <w:r w:rsidRPr="00CD0055">
              <w:rPr>
                <w:rFonts w:hint="cs" w:ascii="Arial" w:hAnsi="Arial"/>
                <w:b/>
                <w:bCs/>
                <w:sz w:val="26"/>
                <w:szCs w:val="26"/>
                <w:rtl/>
              </w:rPr>
              <w:t>כבוד</w:t>
            </w:r>
            <w:r w:rsidRPr="00CD0055" w:rsidR="006816EC">
              <w:rPr>
                <w:rFonts w:hint="cs" w:ascii="Arial" w:hAnsi="Arial"/>
                <w:b/>
                <w:bCs/>
                <w:sz w:val="26"/>
                <w:szCs w:val="26"/>
                <w:rtl/>
              </w:rPr>
              <w:t xml:space="preserve"> ה</w:t>
            </w:r>
            <w:sdt>
              <w:sdtPr>
                <w:rPr>
                  <w:sz w:val="26"/>
                  <w:szCs w:val="26"/>
                  <w:rtl/>
                </w:rPr>
                <w:alias w:val="1574"/>
                <w:tag w:val="1574"/>
                <w:id w:val="-868990752"/>
                <w:text w:multiLine="1"/>
              </w:sdtPr>
              <w:sdtEndPr/>
              <w:sdtContent>
                <w:r>
                  <w:rPr>
                    <w:rFonts w:ascii="Arial" w:hAnsi="Arial"/>
                    <w:b/>
                    <w:bCs/>
                    <w:sz w:val="26"/>
                    <w:szCs w:val="26"/>
                    <w:rtl/>
                  </w:rPr>
                  <w:t>שופט, סגן נשיא</w:t>
                </w:r>
              </w:sdtContent>
            </w:sdt>
            <w:r w:rsidRPr="00CD0055" w:rsidR="006816EC">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קובי ורדי</w:t>
                </w:r>
              </w:sdtContent>
            </w:sdt>
          </w:p>
          <w:p w:rsidRPr="00CD0055" w:rsidR="006816EC" w:rsidP="006816EC" w:rsidRDefault="006816EC">
            <w:pPr>
              <w:rPr>
                <w:sz w:val="26"/>
                <w:szCs w:val="26"/>
              </w:rPr>
            </w:pPr>
          </w:p>
        </w:tc>
      </w:tr>
      <w:tr w:rsidRPr="00CD0055" w:rsidR="006816EC" w:rsidTr="00C06F7C">
        <w:trPr>
          <w:jc w:val="center"/>
        </w:trPr>
        <w:tc>
          <w:tcPr>
            <w:tcW w:w="3249" w:type="dxa"/>
            <w:gridSpan w:val="2"/>
          </w:tcPr>
          <w:p w:rsidRPr="00CD0055" w:rsidR="006816EC" w:rsidRDefault="006816EC">
            <w:pPr>
              <w:bidi w:val="0"/>
              <w:rPr>
                <w:rFonts w:ascii="Arial (W1)" w:hAnsi="Arial (W1)"/>
                <w:b/>
                <w:bCs/>
                <w:noProof w:val="0"/>
                <w:sz w:val="26"/>
                <w:szCs w:val="26"/>
                <w:rtl/>
              </w:rPr>
            </w:pPr>
          </w:p>
          <w:sdt>
            <w:sdtPr>
              <w:rPr>
                <w:rFonts w:hint="cs"/>
                <w:sz w:val="26"/>
                <w:szCs w:val="26"/>
                <w:rtl/>
              </w:rPr>
              <w:alias w:val="1180"/>
              <w:tag w:val="1180"/>
              <w:id w:val="-803768281"/>
              <w:text w:multiLine="1"/>
            </w:sdtPr>
            <w:sdtEndPr/>
            <w:sdtContent>
              <w:p w:rsidR="001D06D8" w:rsidRDefault="00DD4364">
                <w:pPr>
                  <w:rPr>
                    <w:rFonts w:ascii="Arial (W1)" w:hAnsi="Arial (W1)"/>
                    <w:b/>
                    <w:bCs/>
                    <w:noProof w:val="0"/>
                    <w:sz w:val="26"/>
                    <w:szCs w:val="26"/>
                  </w:rPr>
                </w:pPr>
                <w:r>
                  <w:rPr>
                    <w:rFonts w:hint="cs"/>
                    <w:b/>
                    <w:bCs/>
                    <w:noProof w:val="0"/>
                    <w:sz w:val="26"/>
                    <w:szCs w:val="26"/>
                    <w:rtl/>
                  </w:rPr>
                  <w:t>עותרים</w:t>
                </w:r>
                <w:r w:rsidR="00C06F7C">
                  <w:rPr>
                    <w:rFonts w:hint="cs"/>
                    <w:sz w:val="26"/>
                    <w:szCs w:val="26"/>
                    <w:rtl/>
                  </w:rPr>
                  <w:t>:</w:t>
                </w:r>
              </w:p>
            </w:sdtContent>
          </w:sdt>
        </w:tc>
        <w:tc>
          <w:tcPr>
            <w:tcW w:w="6426" w:type="dxa"/>
          </w:tcPr>
          <w:p w:rsidRPr="00CD0055" w:rsidR="006816EC" w:rsidRDefault="006816EC">
            <w:pPr>
              <w:rPr>
                <w:rFonts w:ascii="Arial (W1)" w:hAnsi="Arial (W1)"/>
                <w:b/>
                <w:bCs/>
                <w:noProof w:val="0"/>
                <w:sz w:val="26"/>
                <w:szCs w:val="26"/>
                <w:rtl/>
              </w:rPr>
            </w:pPr>
          </w:p>
          <w:p w:rsidR="00295DD1" w:rsidRDefault="00FA37BE">
            <w:pPr>
              <w:rPr>
                <w:sz w:val="26"/>
                <w:szCs w:val="26"/>
                <w:rtl/>
              </w:rPr>
            </w:pPr>
            <w:sdt>
              <w:sdtPr>
                <w:rPr>
                  <w:rFonts w:hint="cs"/>
                  <w:sz w:val="26"/>
                  <w:szCs w:val="26"/>
                  <w:rtl/>
                </w:rPr>
                <w:alias w:val="1478"/>
                <w:tag w:val="1478"/>
                <w:id w:val="160126198"/>
                <w:text w:multiLine="1"/>
              </w:sdtPr>
              <w:sdtEndPr/>
              <w:sdtContent>
                <w:r w:rsidR="000B2E97">
                  <w:rPr>
                    <w:rFonts w:hint="cs"/>
                    <w:b/>
                    <w:bCs/>
                    <w:noProof w:val="0"/>
                    <w:sz w:val="26"/>
                    <w:szCs w:val="26"/>
                    <w:rtl/>
                  </w:rPr>
                  <w:t>בינה ג'סיקה וולמר</w:t>
                </w:r>
              </w:sdtContent>
            </w:sdt>
          </w:p>
          <w:p w:rsidRPr="00CD0055" w:rsidR="006816EC" w:rsidRDefault="00295DD1">
            <w:pPr>
              <w:rPr>
                <w:rFonts w:ascii="Arial (W1)" w:hAnsi="Arial (W1)"/>
                <w:b/>
                <w:bCs/>
                <w:noProof w:val="0"/>
                <w:sz w:val="26"/>
                <w:szCs w:val="26"/>
              </w:rPr>
            </w:pPr>
            <w:r>
              <w:rPr>
                <w:rFonts w:hint="cs"/>
                <w:sz w:val="26"/>
                <w:szCs w:val="26"/>
                <w:rtl/>
              </w:rPr>
              <w:t>ע"י ב"כ עו"ד</w:t>
            </w:r>
            <w:r w:rsidR="00C06F7C">
              <w:rPr>
                <w:rFonts w:hint="cs"/>
                <w:sz w:val="26"/>
                <w:szCs w:val="26"/>
                <w:rtl/>
              </w:rPr>
              <w:t xml:space="preserve"> רז יוסף</w:t>
            </w:r>
          </w:p>
        </w:tc>
      </w:tr>
      <w:tr w:rsidRPr="00CD0055" w:rsidR="006816EC" w:rsidTr="00C06F7C">
        <w:trPr>
          <w:jc w:val="center"/>
        </w:trPr>
        <w:tc>
          <w:tcPr>
            <w:tcW w:w="9675" w:type="dxa"/>
            <w:gridSpan w:val="3"/>
          </w:tcPr>
          <w:p w:rsidRPr="00CD0055" w:rsidR="006816EC" w:rsidRDefault="006816EC">
            <w:pPr>
              <w:rPr>
                <w:rFonts w:ascii="Arial (W1)" w:hAnsi="Arial (W1)"/>
                <w:b/>
                <w:bCs/>
                <w:noProof w:val="0"/>
                <w:sz w:val="26"/>
                <w:szCs w:val="26"/>
                <w:rtl/>
              </w:rPr>
            </w:pPr>
          </w:p>
          <w:p w:rsidRPr="00CD0055" w:rsidR="006816EC" w:rsidRDefault="006816EC">
            <w:pPr>
              <w:jc w:val="center"/>
              <w:rPr>
                <w:b/>
                <w:bCs/>
                <w:noProof w:val="0"/>
                <w:sz w:val="26"/>
                <w:szCs w:val="26"/>
                <w:rtl/>
              </w:rPr>
            </w:pPr>
            <w:r w:rsidRPr="00CD0055">
              <w:rPr>
                <w:rFonts w:hint="cs"/>
                <w:b/>
                <w:bCs/>
                <w:noProof w:val="0"/>
                <w:sz w:val="26"/>
                <w:szCs w:val="26"/>
                <w:rtl/>
              </w:rPr>
              <w:t>נגד</w:t>
            </w:r>
          </w:p>
          <w:p w:rsidRPr="00CD0055" w:rsidR="006816EC" w:rsidRDefault="006816EC">
            <w:pPr>
              <w:rPr>
                <w:rFonts w:ascii="Arial (W1)" w:hAnsi="Arial (W1)"/>
                <w:b/>
                <w:bCs/>
                <w:noProof w:val="0"/>
                <w:sz w:val="26"/>
                <w:szCs w:val="26"/>
              </w:rPr>
            </w:pPr>
          </w:p>
        </w:tc>
      </w:tr>
      <w:tr w:rsidRPr="00CD0055" w:rsidR="006816EC" w:rsidTr="00C06F7C">
        <w:trPr>
          <w:jc w:val="center"/>
        </w:trPr>
        <w:tc>
          <w:tcPr>
            <w:tcW w:w="3249" w:type="dxa"/>
            <w:gridSpan w:val="2"/>
          </w:tcPr>
          <w:p w:rsidRPr="00CD0055" w:rsidR="006816EC" w:rsidRDefault="00FA37BE">
            <w:pPr>
              <w:rPr>
                <w:rFonts w:ascii="Arial (W1)" w:hAnsi="Arial (W1)"/>
                <w:b/>
                <w:bCs/>
                <w:noProof w:val="0"/>
                <w:sz w:val="26"/>
                <w:szCs w:val="26"/>
              </w:rPr>
            </w:pPr>
            <w:sdt>
              <w:sdtPr>
                <w:rPr>
                  <w:rFonts w:hint="cs"/>
                  <w:sz w:val="26"/>
                  <w:szCs w:val="26"/>
                  <w:rtl/>
                </w:rPr>
                <w:alias w:val="1184"/>
                <w:tag w:val="1184"/>
                <w:id w:val="-910234160"/>
                <w:text w:multiLine="1"/>
              </w:sdtPr>
              <w:sdtEndPr/>
              <w:sdtContent>
                <w:r w:rsidR="00F548E0">
                  <w:rPr>
                    <w:rFonts w:hint="cs"/>
                    <w:b/>
                    <w:bCs/>
                    <w:noProof w:val="0"/>
                    <w:sz w:val="26"/>
                    <w:szCs w:val="26"/>
                    <w:rtl/>
                  </w:rPr>
                  <w:t>משיבה</w:t>
                </w:r>
                <w:r w:rsidR="00C06F7C">
                  <w:rPr>
                    <w:rFonts w:hint="cs"/>
                    <w:sz w:val="26"/>
                    <w:szCs w:val="26"/>
                    <w:rtl/>
                  </w:rPr>
                  <w:t>:</w:t>
                </w:r>
              </w:sdtContent>
            </w:sdt>
          </w:p>
        </w:tc>
        <w:tc>
          <w:tcPr>
            <w:tcW w:w="6426" w:type="dxa"/>
          </w:tcPr>
          <w:p w:rsidR="00295DD1" w:rsidP="00C06F7C" w:rsidRDefault="00FA37BE">
            <w:pPr>
              <w:rPr>
                <w:sz w:val="26"/>
                <w:szCs w:val="26"/>
                <w:rtl/>
              </w:rPr>
            </w:pPr>
            <w:sdt>
              <w:sdtPr>
                <w:rPr>
                  <w:sz w:val="26"/>
                  <w:szCs w:val="26"/>
                  <w:rtl/>
                </w:rPr>
                <w:alias w:val="1486"/>
                <w:tag w:val="1486"/>
                <w:id w:val="1487590763"/>
                <w:text w:multiLine="1"/>
              </w:sdtPr>
              <w:sdtEndPr/>
              <w:sdtContent>
                <w:r w:rsidR="00C06F7C">
                  <w:rPr>
                    <w:b/>
                    <w:bCs/>
                    <w:noProof w:val="0"/>
                    <w:sz w:val="26"/>
                    <w:szCs w:val="26"/>
                    <w:rtl/>
                  </w:rPr>
                  <w:t xml:space="preserve">מדינת ישראל </w:t>
                </w:r>
                <w:r w:rsidR="00C06F7C">
                  <w:rPr>
                    <w:rFonts w:hint="cs"/>
                    <w:b/>
                    <w:bCs/>
                    <w:noProof w:val="0"/>
                    <w:sz w:val="26"/>
                    <w:szCs w:val="26"/>
                    <w:rtl/>
                  </w:rPr>
                  <w:t>-</w:t>
                </w:r>
                <w:r w:rsidR="00C06F7C">
                  <w:rPr>
                    <w:b/>
                    <w:bCs/>
                    <w:noProof w:val="0"/>
                    <w:sz w:val="26"/>
                    <w:szCs w:val="26"/>
                    <w:rtl/>
                  </w:rPr>
                  <w:t xml:space="preserve"> רשות </w:t>
                </w:r>
                <w:r w:rsidR="00C06F7C">
                  <w:rPr>
                    <w:rFonts w:hint="cs"/>
                    <w:b/>
                    <w:bCs/>
                    <w:noProof w:val="0"/>
                    <w:sz w:val="26"/>
                    <w:szCs w:val="26"/>
                    <w:rtl/>
                  </w:rPr>
                  <w:t>האוכלוסין וההגירה</w:t>
                </w:r>
              </w:sdtContent>
            </w:sdt>
          </w:p>
          <w:p w:rsidRPr="00C06F7C" w:rsidR="006816EC" w:rsidRDefault="00295DD1">
            <w:pPr>
              <w:rPr>
                <w:rFonts w:ascii="Arial (W1)" w:hAnsi="Arial (W1)"/>
                <w:noProof w:val="0"/>
                <w:sz w:val="26"/>
                <w:szCs w:val="26"/>
              </w:rPr>
            </w:pPr>
            <w:r>
              <w:rPr>
                <w:rFonts w:hint="cs"/>
                <w:sz w:val="26"/>
                <w:szCs w:val="26"/>
                <w:rtl/>
              </w:rPr>
              <w:t>ע"י ב"כ עו"ד</w:t>
            </w:r>
            <w:r w:rsidR="00C06F7C">
              <w:rPr>
                <w:rFonts w:hint="cs" w:ascii="Arial (W1)" w:hAnsi="Arial (W1)"/>
                <w:b/>
                <w:bCs/>
                <w:noProof w:val="0"/>
                <w:sz w:val="26"/>
                <w:szCs w:val="26"/>
                <w:rtl/>
              </w:rPr>
              <w:t xml:space="preserve"> </w:t>
            </w:r>
            <w:r w:rsidR="00C06F7C">
              <w:rPr>
                <w:rFonts w:hint="cs" w:ascii="Arial (W1)" w:hAnsi="Arial (W1)"/>
                <w:noProof w:val="0"/>
                <w:sz w:val="26"/>
                <w:szCs w:val="26"/>
                <w:rtl/>
              </w:rPr>
              <w:t>קרן יוסט (דון-יחייא) מפרקליטות מחוז ת"א (אזרחי)</w:t>
            </w: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C06F7C" w:rsidR="00694556">
        <w:trPr>
          <w:jc w:val="center"/>
        </w:trPr>
        <w:tc>
          <w:tcPr>
            <w:tcW w:w="8820" w:type="dxa"/>
          </w:tcPr>
          <w:p w:rsidRPr="00C06F7C" w:rsidR="00694556" w:rsidP="00DD4364" w:rsidRDefault="00005C8B">
            <w:pPr>
              <w:bidi w:val="0"/>
              <w:spacing w:after="120" w:line="360" w:lineRule="auto"/>
              <w:jc w:val="center"/>
              <w:rPr>
                <w:rFonts w:ascii="Arial" w:hAnsi="Arial"/>
                <w:b/>
                <w:bCs/>
                <w:noProof w:val="0"/>
                <w:sz w:val="32"/>
                <w:szCs w:val="32"/>
                <w:u w:val="single"/>
              </w:rPr>
            </w:pPr>
            <w:r w:rsidRPr="00C06F7C">
              <w:rPr>
                <w:rFonts w:ascii="Arial" w:hAnsi="Arial"/>
                <w:b/>
                <w:bCs/>
                <w:noProof w:val="0"/>
                <w:sz w:val="32"/>
                <w:szCs w:val="32"/>
                <w:u w:val="single"/>
                <w:rtl/>
              </w:rPr>
              <w:t>פסק דין</w:t>
            </w:r>
          </w:p>
        </w:tc>
      </w:tr>
    </w:tbl>
    <w:p w:rsidRPr="00F548E0" w:rsidR="00694556" w:rsidP="00DD4364" w:rsidRDefault="00F548E0">
      <w:pPr>
        <w:pStyle w:val="ad"/>
        <w:numPr>
          <w:ilvl w:val="0"/>
          <w:numId w:val="1"/>
        </w:numPr>
        <w:spacing w:after="120" w:line="360" w:lineRule="auto"/>
        <w:jc w:val="both"/>
        <w:rPr>
          <w:rFonts w:ascii="Arial" w:hAnsi="Arial"/>
          <w:noProof w:val="0"/>
          <w:sz w:val="28"/>
          <w:szCs w:val="28"/>
          <w:rtl/>
        </w:rPr>
      </w:pPr>
      <w:r>
        <w:rPr>
          <w:rFonts w:hint="cs" w:ascii="Arial" w:hAnsi="Arial"/>
          <w:noProof w:val="0"/>
          <w:sz w:val="28"/>
          <w:szCs w:val="28"/>
          <w:rtl/>
        </w:rPr>
        <w:t>עתירה שעניינה אי מתן מענה לבקשת העותרת להסדרת מעמדה מכוח חוק השבות, תש"י-1950 (להלן: "</w:t>
      </w:r>
      <w:r>
        <w:rPr>
          <w:rFonts w:hint="cs" w:ascii="Arial" w:hAnsi="Arial"/>
          <w:b/>
          <w:bCs/>
          <w:noProof w:val="0"/>
          <w:sz w:val="28"/>
          <w:szCs w:val="28"/>
          <w:rtl/>
        </w:rPr>
        <w:t>חוק השבות</w:t>
      </w:r>
      <w:r>
        <w:rPr>
          <w:rFonts w:hint="cs" w:ascii="Arial" w:hAnsi="Arial"/>
          <w:noProof w:val="0"/>
          <w:sz w:val="28"/>
          <w:szCs w:val="28"/>
          <w:rtl/>
        </w:rPr>
        <w:t>") וזאת לאחר שלטענתה עברה גיור אורתודוקסי.</w:t>
      </w:r>
    </w:p>
    <w:p w:rsidR="00694556" w:rsidP="00DD4364" w:rsidRDefault="00F548E0">
      <w:pPr>
        <w:pStyle w:val="ad"/>
        <w:numPr>
          <w:ilvl w:val="0"/>
          <w:numId w:val="1"/>
        </w:numPr>
        <w:spacing w:after="120" w:line="360" w:lineRule="auto"/>
        <w:jc w:val="both"/>
        <w:rPr>
          <w:rFonts w:ascii="Arial" w:hAnsi="Arial"/>
          <w:noProof w:val="0"/>
          <w:sz w:val="28"/>
          <w:szCs w:val="28"/>
        </w:rPr>
      </w:pPr>
      <w:r>
        <w:rPr>
          <w:rFonts w:hint="cs" w:ascii="Arial" w:hAnsi="Arial"/>
          <w:noProof w:val="0"/>
          <w:sz w:val="28"/>
          <w:szCs w:val="28"/>
          <w:rtl/>
        </w:rPr>
        <w:t xml:space="preserve">מסברתי כי בית המשפט לעניינים מנהליים נעדר סמכות עניינית לדון בעתירה, הוריתי לעותרת להבהיר את מקור הסמכות וכן למשיבה </w:t>
      </w:r>
      <w:r w:rsidR="000957F2">
        <w:rPr>
          <w:rFonts w:hint="cs" w:ascii="Arial" w:hAnsi="Arial"/>
          <w:noProof w:val="0"/>
          <w:sz w:val="28"/>
          <w:szCs w:val="28"/>
          <w:rtl/>
        </w:rPr>
        <w:t>להתייחס לסוגיה זו.</w:t>
      </w:r>
    </w:p>
    <w:p w:rsidR="000957F2" w:rsidP="00DD4364" w:rsidRDefault="000957F2">
      <w:pPr>
        <w:pStyle w:val="ad"/>
        <w:numPr>
          <w:ilvl w:val="0"/>
          <w:numId w:val="1"/>
        </w:numPr>
        <w:spacing w:after="120" w:line="360" w:lineRule="auto"/>
        <w:jc w:val="both"/>
        <w:rPr>
          <w:rFonts w:ascii="Arial" w:hAnsi="Arial"/>
          <w:noProof w:val="0"/>
          <w:sz w:val="28"/>
          <w:szCs w:val="28"/>
        </w:rPr>
      </w:pPr>
      <w:r>
        <w:rPr>
          <w:rFonts w:hint="cs" w:ascii="Arial" w:hAnsi="Arial"/>
          <w:noProof w:val="0"/>
          <w:sz w:val="28"/>
          <w:szCs w:val="28"/>
          <w:rtl/>
        </w:rPr>
        <w:t>לאחר שהוגשה הבהרה כאמור מטעם העותרת, הגישה המשיבה בקשה לסילוק העתירה על הסף</w:t>
      </w:r>
      <w:r w:rsidR="0062190E">
        <w:rPr>
          <w:rFonts w:hint="cs" w:ascii="Arial" w:hAnsi="Arial"/>
          <w:noProof w:val="0"/>
          <w:sz w:val="28"/>
          <w:szCs w:val="28"/>
          <w:rtl/>
        </w:rPr>
        <w:t xml:space="preserve"> וביום 8.4.18 הוריתי על תגובת העותרת לבקשה תוך שקבעתי כי בהיעדר תגובה תימחק העתירה על הסף.</w:t>
      </w:r>
    </w:p>
    <w:p w:rsidR="0062190E" w:rsidP="00DD4364" w:rsidRDefault="0062190E">
      <w:pPr>
        <w:pStyle w:val="ad"/>
        <w:numPr>
          <w:ilvl w:val="0"/>
          <w:numId w:val="1"/>
        </w:numPr>
        <w:spacing w:after="120" w:line="360" w:lineRule="auto"/>
        <w:jc w:val="both"/>
        <w:rPr>
          <w:rFonts w:ascii="Arial" w:hAnsi="Arial"/>
          <w:noProof w:val="0"/>
          <w:sz w:val="28"/>
          <w:szCs w:val="28"/>
        </w:rPr>
      </w:pPr>
      <w:r>
        <w:rPr>
          <w:rFonts w:hint="cs" w:ascii="Arial" w:hAnsi="Arial"/>
          <w:noProof w:val="0"/>
          <w:sz w:val="28"/>
          <w:szCs w:val="28"/>
          <w:rtl/>
        </w:rPr>
        <w:t>לאחר שחלף המועד להגשת תגובת העותרת לבקשה לסילוק על הסף מבלי שזו הוגשה ולאחר שעיינתי בעתירה, בהבהרת העותרת ובבקשת המשיבה לסילוק על הסף, אני סבור כי בית משפט זה הינו נעדר סמכות עניינית לדון בעתירה ולפיכך דינה להימחק על הסף.</w:t>
      </w:r>
    </w:p>
    <w:p w:rsidRPr="00A57476" w:rsidR="00A57476" w:rsidP="00DD4364" w:rsidRDefault="00A57476">
      <w:pPr>
        <w:pStyle w:val="ad"/>
        <w:numPr>
          <w:ilvl w:val="0"/>
          <w:numId w:val="1"/>
        </w:numPr>
        <w:spacing w:after="120" w:line="360" w:lineRule="auto"/>
        <w:jc w:val="both"/>
        <w:rPr>
          <w:rFonts w:asciiTheme="minorHAnsi" w:hAnsiTheme="minorHAnsi"/>
          <w:sz w:val="28"/>
          <w:szCs w:val="28"/>
        </w:rPr>
      </w:pPr>
      <w:r w:rsidRPr="00DD4364">
        <w:rPr>
          <w:rFonts w:hint="cs" w:ascii="Arial" w:hAnsi="Arial"/>
          <w:noProof w:val="0"/>
          <w:sz w:val="28"/>
          <w:szCs w:val="28"/>
          <w:rtl/>
        </w:rPr>
        <w:t>סמכותו</w:t>
      </w:r>
      <w:r w:rsidRPr="00A57476">
        <w:rPr>
          <w:rFonts w:hint="cs" w:asciiTheme="minorHAnsi" w:hAnsiTheme="minorHAnsi"/>
          <w:sz w:val="28"/>
          <w:szCs w:val="28"/>
          <w:rtl/>
        </w:rPr>
        <w:t xml:space="preserve"> העניינית של בית המשפט לעניינים מנהליים קבועה בסעיף 5 לחוק</w:t>
      </w:r>
      <w:r>
        <w:rPr>
          <w:rFonts w:hint="cs" w:asciiTheme="minorHAnsi" w:hAnsiTheme="minorHAnsi"/>
          <w:sz w:val="28"/>
          <w:szCs w:val="28"/>
          <w:rtl/>
        </w:rPr>
        <w:t xml:space="preserve"> בתי משפט לענינים מינהליים, תש"ס-2000 (להלן: "</w:t>
      </w:r>
      <w:r w:rsidRPr="00A57476">
        <w:rPr>
          <w:rFonts w:hint="cs" w:asciiTheme="minorHAnsi" w:hAnsiTheme="minorHAnsi"/>
          <w:b/>
          <w:bCs/>
          <w:sz w:val="28"/>
          <w:szCs w:val="28"/>
          <w:rtl/>
        </w:rPr>
        <w:t>החוק</w:t>
      </w:r>
      <w:r>
        <w:rPr>
          <w:rFonts w:hint="cs" w:asciiTheme="minorHAnsi" w:hAnsiTheme="minorHAnsi"/>
          <w:sz w:val="28"/>
          <w:szCs w:val="28"/>
          <w:rtl/>
        </w:rPr>
        <w:t>")</w:t>
      </w:r>
      <w:r w:rsidRPr="00A57476">
        <w:rPr>
          <w:rFonts w:hint="cs" w:asciiTheme="minorHAnsi" w:hAnsiTheme="minorHAnsi"/>
          <w:sz w:val="28"/>
          <w:szCs w:val="28"/>
          <w:rtl/>
        </w:rPr>
        <w:t>. כך, בין היתר, מוסמך בית משפט זה לדון ב"עתירה נגד החלטה של רשות או של גוף המנוי בתוספת הראשונה בענין המנוי בתוספת הראשונה...". ודוק, רשימת העניינים המנויה בתוספת הראשונה לחוק הינה רשימה סגורה, ולפיכך, שעה שמדובר בעניין שאינו מנוי בה, אין לקרוא לתוכה הוראות חוק אחר או הלכה פסוקה, ואין להקים סמכות עניינית יש מאין.</w:t>
      </w:r>
    </w:p>
    <w:p w:rsidRPr="009950F9" w:rsidR="00DD4364" w:rsidP="00DD4364" w:rsidRDefault="00A57476">
      <w:pPr>
        <w:pStyle w:val="ad"/>
        <w:numPr>
          <w:ilvl w:val="0"/>
          <w:numId w:val="1"/>
        </w:numPr>
        <w:spacing w:after="120" w:line="360" w:lineRule="auto"/>
        <w:jc w:val="both"/>
        <w:rPr>
          <w:rFonts w:asciiTheme="minorHAnsi" w:hAnsiTheme="minorHAnsi"/>
          <w:sz w:val="28"/>
          <w:szCs w:val="28"/>
          <w:rtl/>
        </w:rPr>
      </w:pPr>
      <w:r w:rsidRPr="00DD4364">
        <w:rPr>
          <w:rFonts w:hint="cs" w:ascii="Arial" w:hAnsi="Arial"/>
          <w:noProof w:val="0"/>
          <w:sz w:val="28"/>
          <w:szCs w:val="28"/>
          <w:rtl/>
        </w:rPr>
        <w:lastRenderedPageBreak/>
        <w:t xml:space="preserve">בענייננו, אין חולק כי </w:t>
      </w:r>
      <w:r w:rsidRPr="00DD4364" w:rsidR="0062190E">
        <w:rPr>
          <w:rFonts w:hint="cs" w:ascii="Arial" w:hAnsi="Arial"/>
          <w:noProof w:val="0"/>
          <w:sz w:val="28"/>
          <w:szCs w:val="28"/>
          <w:rtl/>
        </w:rPr>
        <w:t xml:space="preserve">בבסיסה של </w:t>
      </w:r>
      <w:r w:rsidRPr="00DD4364">
        <w:rPr>
          <w:rFonts w:hint="cs" w:ascii="Arial" w:hAnsi="Arial"/>
          <w:noProof w:val="0"/>
          <w:sz w:val="28"/>
          <w:szCs w:val="28"/>
          <w:rtl/>
        </w:rPr>
        <w:t>ה</w:t>
      </w:r>
      <w:r w:rsidRPr="00DD4364" w:rsidR="0062190E">
        <w:rPr>
          <w:rFonts w:hint="cs" w:ascii="Arial" w:hAnsi="Arial"/>
          <w:noProof w:val="0"/>
          <w:sz w:val="28"/>
          <w:szCs w:val="28"/>
          <w:rtl/>
        </w:rPr>
        <w:t>עתירה עומד חוק השבות אשר אינו מנוי בת</w:t>
      </w:r>
      <w:r w:rsidRPr="00DD4364">
        <w:rPr>
          <w:rFonts w:hint="cs" w:ascii="Arial" w:hAnsi="Arial"/>
          <w:noProof w:val="0"/>
          <w:sz w:val="28"/>
          <w:szCs w:val="28"/>
          <w:rtl/>
        </w:rPr>
        <w:t>וספת הראשונה לחוק</w:t>
      </w:r>
      <w:r w:rsidR="00DD4364">
        <w:rPr>
          <w:rFonts w:hint="cs" w:ascii="Arial" w:hAnsi="Arial"/>
          <w:noProof w:val="0"/>
          <w:sz w:val="28"/>
          <w:szCs w:val="28"/>
          <w:rtl/>
        </w:rPr>
        <w:t xml:space="preserve">. </w:t>
      </w:r>
      <w:r w:rsidRPr="00E030C9" w:rsidR="00DD4364">
        <w:rPr>
          <w:rFonts w:hint="cs" w:asciiTheme="minorHAnsi" w:hAnsiTheme="minorHAnsi"/>
          <w:sz w:val="28"/>
          <w:szCs w:val="28"/>
          <w:rtl/>
        </w:rPr>
        <w:t>בנסיבות אלה, אין מנוס מן המסקנה לפיה בית המשפט לעניינים מנהליים הינו נעדר סמכות עניינית לדון בעתירה</w:t>
      </w:r>
      <w:r w:rsidR="00DD4364">
        <w:rPr>
          <w:rFonts w:hint="cs" w:asciiTheme="minorHAnsi" w:hAnsiTheme="minorHAnsi"/>
          <w:sz w:val="28"/>
          <w:szCs w:val="28"/>
          <w:rtl/>
        </w:rPr>
        <w:t xml:space="preserve"> ותתכבד העותרת ותגיש את ההליך המתאים לערכאה המוסמכת</w:t>
      </w:r>
      <w:r w:rsidRPr="00E030C9" w:rsidR="00DD4364">
        <w:rPr>
          <w:rFonts w:hint="cs" w:asciiTheme="minorHAnsi" w:hAnsiTheme="minorHAnsi"/>
          <w:sz w:val="28"/>
          <w:szCs w:val="28"/>
          <w:rtl/>
        </w:rPr>
        <w:t xml:space="preserve"> </w:t>
      </w:r>
      <w:r w:rsidR="00711DF0">
        <w:rPr>
          <w:rFonts w:hint="cs" w:asciiTheme="minorHAnsi" w:hAnsiTheme="minorHAnsi"/>
          <w:sz w:val="28"/>
          <w:szCs w:val="28"/>
          <w:rtl/>
        </w:rPr>
        <w:t>(כאשר אין מקום להעברת התיק לבג"צ)</w:t>
      </w:r>
      <w:bookmarkStart w:name="_GoBack" w:id="0"/>
      <w:bookmarkEnd w:id="0"/>
      <w:r w:rsidRPr="00E030C9" w:rsidR="00DD4364">
        <w:rPr>
          <w:rFonts w:hint="cs" w:asciiTheme="minorHAnsi" w:hAnsiTheme="minorHAnsi"/>
          <w:sz w:val="28"/>
          <w:szCs w:val="28"/>
          <w:rtl/>
        </w:rPr>
        <w:t>.</w:t>
      </w:r>
    </w:p>
    <w:p w:rsidR="0062190E" w:rsidP="00DD4364" w:rsidRDefault="0062190E">
      <w:pPr>
        <w:pStyle w:val="ad"/>
        <w:numPr>
          <w:ilvl w:val="0"/>
          <w:numId w:val="1"/>
        </w:numPr>
        <w:spacing w:after="120" w:line="360" w:lineRule="auto"/>
        <w:jc w:val="both"/>
        <w:rPr>
          <w:rFonts w:ascii="Arial" w:hAnsi="Arial"/>
          <w:noProof w:val="0"/>
          <w:sz w:val="28"/>
          <w:szCs w:val="28"/>
        </w:rPr>
      </w:pPr>
      <w:r>
        <w:rPr>
          <w:rFonts w:hint="cs" w:ascii="Arial" w:hAnsi="Arial"/>
          <w:noProof w:val="0"/>
          <w:sz w:val="28"/>
          <w:szCs w:val="28"/>
          <w:rtl/>
        </w:rPr>
        <w:t>לאור כל האמור לעיל, אני מורה על מחיקת העתירה ללא צו להוצאות.</w:t>
      </w:r>
    </w:p>
    <w:p w:rsidR="0062190E" w:rsidP="00DD4364" w:rsidRDefault="0062190E">
      <w:pPr>
        <w:pStyle w:val="ad"/>
        <w:numPr>
          <w:ilvl w:val="0"/>
          <w:numId w:val="1"/>
        </w:numPr>
        <w:spacing w:after="120" w:line="360" w:lineRule="auto"/>
        <w:jc w:val="both"/>
        <w:rPr>
          <w:rFonts w:ascii="Arial" w:hAnsi="Arial"/>
          <w:noProof w:val="0"/>
          <w:sz w:val="28"/>
          <w:szCs w:val="28"/>
        </w:rPr>
      </w:pPr>
      <w:r>
        <w:rPr>
          <w:rFonts w:hint="cs" w:ascii="Arial" w:hAnsi="Arial"/>
          <w:noProof w:val="0"/>
          <w:sz w:val="28"/>
          <w:szCs w:val="28"/>
          <w:rtl/>
        </w:rPr>
        <w:t>החזר אגרה בהתאם ובכפוף לתקנות.</w:t>
      </w:r>
    </w:p>
    <w:p w:rsidR="0062190E" w:rsidP="0062190E" w:rsidRDefault="0062190E">
      <w:pPr>
        <w:spacing w:after="120" w:line="360" w:lineRule="auto"/>
        <w:jc w:val="both"/>
        <w:rPr>
          <w:rFonts w:ascii="Arial" w:hAnsi="Arial"/>
          <w:noProof w:val="0"/>
          <w:sz w:val="28"/>
          <w:szCs w:val="28"/>
          <w:rtl/>
        </w:rPr>
      </w:pPr>
    </w:p>
    <w:p w:rsidRPr="0062190E" w:rsidR="0062190E" w:rsidP="0062190E" w:rsidRDefault="0062190E">
      <w:pPr>
        <w:spacing w:after="120" w:line="360" w:lineRule="auto"/>
        <w:jc w:val="both"/>
        <w:rPr>
          <w:rFonts w:ascii="Arial" w:hAnsi="Arial"/>
          <w:noProof w:val="0"/>
          <w:sz w:val="28"/>
          <w:szCs w:val="28"/>
          <w:rtl/>
        </w:rPr>
      </w:pPr>
      <w:r>
        <w:rPr>
          <w:rFonts w:hint="cs" w:ascii="Arial" w:hAnsi="Arial"/>
          <w:noProof w:val="0"/>
          <w:sz w:val="28"/>
          <w:szCs w:val="28"/>
          <w:rtl/>
        </w:rPr>
        <w:t xml:space="preserve">המזכירות תשלח העתק מפסק הדין לצדדים. </w:t>
      </w:r>
    </w:p>
    <w:p w:rsidRPr="00C06F7C" w:rsidR="00694556" w:rsidP="00F548E0" w:rsidRDefault="00694556">
      <w:pPr>
        <w:spacing w:after="120" w:line="360" w:lineRule="auto"/>
        <w:jc w:val="both"/>
        <w:rPr>
          <w:rFonts w:ascii="Arial" w:hAnsi="Arial"/>
          <w:noProof w:val="0"/>
          <w:sz w:val="28"/>
          <w:szCs w:val="28"/>
          <w:rtl/>
        </w:rPr>
      </w:pPr>
    </w:p>
    <w:p w:rsidRPr="00C06F7C" w:rsidR="00694556" w:rsidRDefault="00005C8B">
      <w:pPr>
        <w:spacing w:line="360" w:lineRule="auto"/>
        <w:jc w:val="both"/>
        <w:rPr>
          <w:rFonts w:ascii="Arial" w:hAnsi="Arial"/>
          <w:noProof w:val="0"/>
          <w:sz w:val="28"/>
          <w:szCs w:val="28"/>
          <w:rtl/>
        </w:rPr>
      </w:pPr>
      <w:r w:rsidRPr="00C06F7C">
        <w:rPr>
          <w:rFonts w:ascii="Arial" w:hAnsi="Arial"/>
          <w:noProof w:val="0"/>
          <w:sz w:val="28"/>
          <w:szCs w:val="28"/>
          <w:rtl/>
        </w:rPr>
        <w:t xml:space="preserve">ניתן היום,  </w:t>
      </w:r>
      <w:sdt>
        <w:sdtPr>
          <w:rPr>
            <w:sz w:val="28"/>
            <w:szCs w:val="28"/>
            <w:rtl/>
          </w:rPr>
          <w:alias w:val="1455"/>
          <w:tag w:val="1455"/>
          <w:id w:val="242217728"/>
          <w:text w:multiLine="1"/>
        </w:sdtPr>
        <w:sdtEndPr/>
        <w:sdtContent>
          <w:r>
            <w:rPr>
              <w:rFonts w:ascii="Arial" w:hAnsi="Arial"/>
              <w:noProof w:val="0"/>
              <w:sz w:val="28"/>
              <w:szCs w:val="28"/>
              <w:rtl/>
            </w:rPr>
            <w:t>כ"ז ניסן תשע"ח</w:t>
          </w:r>
        </w:sdtContent>
      </w:sdt>
      <w:r w:rsidRPr="00C06F7C">
        <w:rPr>
          <w:rFonts w:ascii="Arial" w:hAnsi="Arial"/>
          <w:noProof w:val="0"/>
          <w:sz w:val="28"/>
          <w:szCs w:val="28"/>
          <w:rtl/>
        </w:rPr>
        <w:t xml:space="preserve">, </w:t>
      </w:r>
      <w:sdt>
        <w:sdtPr>
          <w:rPr>
            <w:sz w:val="28"/>
            <w:szCs w:val="28"/>
            <w:rtl/>
          </w:rPr>
          <w:alias w:val="1456"/>
          <w:tag w:val="1456"/>
          <w:id w:val="-1101635932"/>
          <w:text w:multiLine="1"/>
        </w:sdtPr>
        <w:sdtEndPr/>
        <w:sdtContent>
          <w:r>
            <w:rPr>
              <w:rFonts w:ascii="Arial" w:hAnsi="Arial"/>
              <w:noProof w:val="0"/>
              <w:sz w:val="28"/>
              <w:szCs w:val="28"/>
              <w:rtl/>
            </w:rPr>
            <w:t>12 אפריל 2018</w:t>
          </w:r>
        </w:sdtContent>
      </w:sdt>
      <w:r w:rsidRPr="00C06F7C">
        <w:rPr>
          <w:rFonts w:ascii="Arial" w:hAnsi="Arial"/>
          <w:noProof w:val="0"/>
          <w:sz w:val="28"/>
          <w:szCs w:val="28"/>
          <w:rtl/>
        </w:rPr>
        <w:t>, בהעדר הצדדים.</w:t>
      </w:r>
    </w:p>
    <w:p w:rsidRPr="00C06F7C" w:rsidR="005B0F49" w:rsidP="00C06F7C" w:rsidRDefault="005B0F49">
      <w:pPr>
        <w:spacing w:line="360" w:lineRule="auto"/>
        <w:jc w:val="right"/>
        <w:rPr>
          <w:rFonts w:ascii="Arial" w:hAnsi="Arial"/>
          <w:noProof w:val="0"/>
          <w:sz w:val="28"/>
          <w:szCs w:val="28"/>
          <w:rtl/>
        </w:rPr>
      </w:pPr>
      <w:r w:rsidRPr="00C06F7C">
        <w:rPr>
          <w:rFonts w:hint="cs" w:ascii="Arial" w:hAnsi="Arial"/>
          <w:noProof w:val="0"/>
          <w:sz w:val="28"/>
          <w:szCs w:val="28"/>
          <w:rtl/>
        </w:rPr>
        <w:tab/>
      </w:r>
      <w:r w:rsidRPr="00C06F7C">
        <w:rPr>
          <w:rFonts w:hint="cs" w:ascii="Arial" w:hAnsi="Arial"/>
          <w:noProof w:val="0"/>
          <w:sz w:val="28"/>
          <w:szCs w:val="28"/>
          <w:rtl/>
        </w:rPr>
        <w:tab/>
      </w:r>
      <w:r w:rsidRPr="00C06F7C">
        <w:rPr>
          <w:rFonts w:hint="cs" w:ascii="Arial" w:hAnsi="Arial"/>
          <w:noProof w:val="0"/>
          <w:sz w:val="28"/>
          <w:szCs w:val="28"/>
          <w:rtl/>
        </w:rPr>
        <w:tab/>
      </w:r>
      <w:r w:rsidRPr="00C06F7C">
        <w:rPr>
          <w:rFonts w:hint="cs" w:ascii="Arial" w:hAnsi="Arial"/>
          <w:noProof w:val="0"/>
          <w:sz w:val="28"/>
          <w:szCs w:val="28"/>
          <w:rtl/>
        </w:rPr>
        <w:tab/>
      </w:r>
      <w:r w:rsidRPr="00C06F7C">
        <w:rPr>
          <w:rFonts w:hint="cs" w:ascii="Arial" w:hAnsi="Arial"/>
          <w:noProof w:val="0"/>
          <w:sz w:val="28"/>
          <w:szCs w:val="28"/>
          <w:rtl/>
        </w:rPr>
        <w:tab/>
      </w:r>
      <w:r w:rsidRPr="00C06F7C" w:rsidR="00633C4F">
        <w:rPr>
          <w:rFonts w:ascii="Arial" w:hAnsi="Arial"/>
          <w:noProof w:val="0"/>
          <w:sz w:val="28"/>
          <w:szCs w:val="28"/>
          <w:rtl/>
        </w:rPr>
        <w:tab/>
      </w:r>
      <w:sdt>
        <w:sdtPr>
          <w:rPr>
            <w:rFonts w:hint="cs" w:ascii="Arial" w:hAnsi="Arial"/>
            <w:noProof w:val="0"/>
            <w:sz w:val="28"/>
            <w:szCs w:val="28"/>
            <w:rtl/>
          </w:rPr>
          <w:alias w:val="2045"/>
          <w:tag w:val="2045"/>
          <w:id w:val="1736736771"/>
          <w:placeholder>
            <w:docPart w:val="03459962B6984C23A2D5882F7D086C2E"/>
          </w:placeholder>
          <w:showingPlcHdr/>
          <w:text w:multiLine="1"/>
        </w:sdtPr>
        <w:sdtEndPr/>
        <w:sdtContent/>
      </w:sdt>
      <w:r w:rsidRPr="00C06F7C">
        <w:rPr>
          <w:rFonts w:hint="cs" w:ascii="Arial" w:hAnsi="Arial"/>
          <w:noProof w:val="0"/>
          <w:sz w:val="28"/>
          <w:szCs w:val="28"/>
          <w:rtl/>
        </w:rPr>
        <w:tab/>
      </w:r>
      <w:r w:rsidRPr="00C06F7C">
        <w:rPr>
          <w:rFonts w:hint="cs" w:ascii="Arial" w:hAnsi="Arial"/>
          <w:noProof w:val="0"/>
          <w:sz w:val="28"/>
          <w:szCs w:val="28"/>
          <w:rtl/>
        </w:rPr>
        <w:tab/>
      </w:r>
      <w:r w:rsidRPr="00C06F7C" w:rsidR="00633C4F">
        <w:rPr>
          <w:rFonts w:ascii="Arial" w:hAnsi="Arial"/>
          <w:noProof w:val="0"/>
          <w:sz w:val="28"/>
          <w:szCs w:val="28"/>
          <w:rtl/>
        </w:rPr>
        <w:t xml:space="preserve"> </w:t>
      </w:r>
    </w:p>
    <w:p w:rsidRPr="00C06F7C" w:rsidR="00694556" w:rsidP="00C06F7C" w:rsidRDefault="00FA37BE">
      <w:pPr>
        <w:spacing w:line="360" w:lineRule="auto"/>
        <w:ind w:left="3600" w:firstLine="720"/>
        <w:jc w:val="right"/>
        <w:rPr>
          <w:rFonts w:ascii="Arial" w:hAnsi="Arial"/>
          <w:noProof w:val="0"/>
          <w:sz w:val="28"/>
          <w:szCs w:val="28"/>
          <w:rtl/>
        </w:rPr>
      </w:pPr>
      <w:sdt>
        <w:sdtPr>
          <w:alias w:val="MergeField"/>
          <w:tag w:val="1237"/>
        </w:sdtPr>
        <w:sdtContent>
          <w:p>
            <w:r>
              <w:drawing>
                <wp:inline distT="0" distB="0" distL="0" distR="0" wp14:editId="50D07946">
                  <wp:extent cx="1549908" cy="4892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f46b03235984a8e" cstate="print">
                            <a:extLst>
                              <a:ext uri="{28A0092B-C50C-407E-A947-70E740481C1C}"/>
                            </a:extLst>
                          </a:blip>
                          <a:stretch>
                            <a:fillRect/>
                          </a:stretch>
                        </pic:blipFill>
                        <pic:spPr>
                          <a:xfrm>
                            <a:off x="0" y="0"/>
                            <a:ext cx="1549908" cy="489204"/>
                          </a:xfrm>
                          <a:prstGeom prst="rect">
                            <a:avLst/>
                          </a:prstGeom>
                        </pic:spPr>
                      </pic:pic>
                    </a:graphicData>
                  </a:graphic>
                </wp:inline>
              </w:drawing>
            </w:r>
          </w:p>
        </w:sdtContent>
      </w:sdt>
    </w:p>
    <w:p w:rsidRPr="00C06F7C" w:rsidR="00694556" w:rsidP="00C06F7C" w:rsidRDefault="00694556">
      <w:pPr>
        <w:spacing w:line="360" w:lineRule="auto"/>
        <w:jc w:val="right"/>
        <w:rPr>
          <w:rFonts w:ascii="Arial" w:hAnsi="Arial"/>
          <w:noProof w:val="0"/>
          <w:sz w:val="28"/>
          <w:szCs w:val="28"/>
          <w:rtl/>
        </w:rPr>
      </w:pPr>
    </w:p>
    <w:p w:rsidR="00694556" w:rsidRDefault="00694556">
      <w:pPr>
        <w:spacing w:line="360" w:lineRule="auto"/>
        <w:jc w:val="both"/>
        <w:rPr>
          <w:rFonts w:ascii="Arial" w:hAnsi="Arial"/>
          <w:noProof w:val="0"/>
          <w:rtl/>
        </w:rPr>
      </w:pPr>
    </w:p>
    <w:sectPr w:rsidR="00694556"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FA37BE">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FA37BE">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A37BE">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5DD70561" wp14:editId="1CF64098">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המשפט המחוזי בתל אביב - יפו בשבתו כבית-משפט לעניינים מנהליים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CD0055" w:rsidR="00694556">
      <w:trPr>
        <w:trHeight w:val="337"/>
        <w:jc w:val="center"/>
      </w:trPr>
      <w:tc>
        <w:tcPr>
          <w:tcW w:w="8721" w:type="dxa"/>
          <w:gridSpan w:val="2"/>
        </w:tcPr>
        <w:p w:rsidRPr="00CD0055" w:rsidR="00694556" w:rsidRDefault="00FA37BE">
          <w:pPr>
            <w:rPr>
              <w:b/>
              <w:bCs/>
              <w:noProof w:val="0"/>
              <w:sz w:val="26"/>
              <w:szCs w:val="26"/>
              <w:rtl/>
            </w:rPr>
          </w:pPr>
          <w:sdt>
            <w:sdtPr>
              <w:rPr>
                <w:b/>
                <w:bCs/>
                <w:noProof w:val="0"/>
                <w:sz w:val="26"/>
                <w:szCs w:val="26"/>
                <w:rtl/>
              </w:rPr>
              <w:alias w:val="1170"/>
              <w:tag w:val="1170"/>
              <w:id w:val="299038016"/>
              <w:text w:multiLine="1"/>
            </w:sdtPr>
            <w:sdtEndPr/>
            <w:sdtContent>
              <w:r w:rsidR="000B2E97">
                <w:rPr>
                  <w:b/>
                  <w:bCs/>
                  <w:noProof w:val="0"/>
                  <w:sz w:val="26"/>
                  <w:szCs w:val="26"/>
                  <w:rtl/>
                </w:rPr>
                <w:t>עת"מ</w:t>
              </w:r>
            </w:sdtContent>
          </w:sdt>
          <w:r w:rsidRPr="00CD0055"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0B2E97">
                <w:rPr>
                  <w:b/>
                  <w:bCs/>
                  <w:noProof w:val="0"/>
                  <w:sz w:val="26"/>
                  <w:szCs w:val="26"/>
                  <w:rtl/>
                </w:rPr>
                <w:t>59147-03-18</w:t>
              </w:r>
            </w:sdtContent>
          </w:sdt>
          <w:r w:rsidRPr="00CD0055"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0B2E97">
                <w:rPr>
                  <w:b/>
                  <w:bCs/>
                  <w:noProof w:val="0"/>
                  <w:sz w:val="26"/>
                  <w:szCs w:val="26"/>
                  <w:rtl/>
                </w:rPr>
                <w:t>וולמר נ' משרד הפנים</w:t>
              </w:r>
            </w:sdtContent>
          </w:sdt>
        </w:p>
        <w:p w:rsidRPr="00CD0055" w:rsidR="00694556" w:rsidRDefault="00694556">
          <w:pPr>
            <w:rPr>
              <w:b/>
              <w:bCs/>
              <w:noProof w:val="0"/>
              <w:sz w:val="26"/>
              <w:szCs w:val="26"/>
              <w:rtl/>
            </w:rPr>
          </w:pPr>
        </w:p>
        <w:p w:rsidRPr="00CD0055" w:rsidR="00957C90" w:rsidP="000B2E97" w:rsidRDefault="00957C90">
          <w:pPr>
            <w:rPr>
              <w:b/>
              <w:bCs/>
              <w:noProof w:val="0"/>
              <w:sz w:val="26"/>
              <w:szCs w:val="26"/>
              <w:rtl/>
            </w:rPr>
          </w:pPr>
          <w:r w:rsidRPr="00CD0055">
            <w:rPr>
              <w:rFonts w:hint="cs"/>
              <w:b/>
              <w:bCs/>
              <w:noProof w:val="0"/>
              <w:sz w:val="26"/>
              <w:szCs w:val="26"/>
              <w:rtl/>
            </w:rPr>
            <w:t xml:space="preserve"> </w:t>
          </w:r>
        </w:p>
      </w:tc>
    </w:tr>
  </w:tbl>
  <w:p w:rsidRPr="00CD0055" w:rsidR="00694556" w:rsidRDefault="00694556">
    <w:pPr>
      <w:pStyle w:val="a3"/>
      <w:rPr>
        <w:noProof w:val="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15F5"/>
    <w:multiLevelType w:val="hybridMultilevel"/>
    <w:tmpl w:val="927C2816"/>
    <w:lvl w:ilvl="0" w:tplc="1C10FB1A">
      <w:start w:val="1"/>
      <w:numFmt w:val="decimal"/>
      <w:lvlText w:val="%1."/>
      <w:lvlJc w:val="left"/>
      <w:pPr>
        <w:ind w:left="360" w:hanging="360"/>
      </w:pPr>
      <w:rPr>
        <w:rFonts w:cs="Times New Roman"/>
      </w:rPr>
    </w:lvl>
    <w:lvl w:ilvl="1" w:tplc="AACCCA88">
      <w:start w:val="1"/>
      <w:numFmt w:val="hebrew1"/>
      <w:lvlText w:val="%2."/>
      <w:lvlJc w:val="center"/>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565133C0"/>
    <w:multiLevelType w:val="hybridMultilevel"/>
    <w:tmpl w:val="3A34278E"/>
    <w:lvl w:ilvl="0" w:tplc="E0E67956">
      <w:start w:val="1"/>
      <w:numFmt w:val="decimal"/>
      <w:lvlText w:val="%1."/>
      <w:lvlJc w:val="left"/>
      <w:pPr>
        <w:ind w:left="360" w:hanging="360"/>
      </w:pPr>
      <w:rPr>
        <w:b w:val="0"/>
        <w:bCs w:val="0"/>
        <w:lang w:val="en-US"/>
      </w:rPr>
    </w:lvl>
    <w:lvl w:ilvl="1" w:tplc="04090013">
      <w:start w:val="1"/>
      <w:numFmt w:val="hebrew1"/>
      <w:lvlText w:val="%2."/>
      <w:lvlJc w:val="center"/>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7C39717D"/>
    <w:multiLevelType w:val="hybridMultilevel"/>
    <w:tmpl w:val="25C6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957F2"/>
    <w:rsid w:val="000B2E97"/>
    <w:rsid w:val="000D4A02"/>
    <w:rsid w:val="001072A9"/>
    <w:rsid w:val="00121F97"/>
    <w:rsid w:val="001277D7"/>
    <w:rsid w:val="00132017"/>
    <w:rsid w:val="0014234E"/>
    <w:rsid w:val="00145A87"/>
    <w:rsid w:val="001C4003"/>
    <w:rsid w:val="001D06D8"/>
    <w:rsid w:val="001F5474"/>
    <w:rsid w:val="002352F7"/>
    <w:rsid w:val="00295DD1"/>
    <w:rsid w:val="00381D3A"/>
    <w:rsid w:val="003823DA"/>
    <w:rsid w:val="0043595F"/>
    <w:rsid w:val="0047645A"/>
    <w:rsid w:val="004D49A3"/>
    <w:rsid w:val="004E6E3C"/>
    <w:rsid w:val="005124F1"/>
    <w:rsid w:val="00530BAD"/>
    <w:rsid w:val="00541598"/>
    <w:rsid w:val="00547DB7"/>
    <w:rsid w:val="00567324"/>
    <w:rsid w:val="005B0F49"/>
    <w:rsid w:val="005C7EC6"/>
    <w:rsid w:val="005D4BDB"/>
    <w:rsid w:val="0062190E"/>
    <w:rsid w:val="00622BAA"/>
    <w:rsid w:val="00625C89"/>
    <w:rsid w:val="00633C4F"/>
    <w:rsid w:val="00671BD5"/>
    <w:rsid w:val="006805C1"/>
    <w:rsid w:val="006816EC"/>
    <w:rsid w:val="00694556"/>
    <w:rsid w:val="006E1A53"/>
    <w:rsid w:val="007056AA"/>
    <w:rsid w:val="00711DF0"/>
    <w:rsid w:val="00744F41"/>
    <w:rsid w:val="007A24FE"/>
    <w:rsid w:val="007A35AA"/>
    <w:rsid w:val="007F1048"/>
    <w:rsid w:val="00820005"/>
    <w:rsid w:val="0083107C"/>
    <w:rsid w:val="00846D27"/>
    <w:rsid w:val="008610A7"/>
    <w:rsid w:val="008E1332"/>
    <w:rsid w:val="00903896"/>
    <w:rsid w:val="00927813"/>
    <w:rsid w:val="00944D13"/>
    <w:rsid w:val="00957C90"/>
    <w:rsid w:val="009E0263"/>
    <w:rsid w:val="00A0260A"/>
    <w:rsid w:val="00A267CF"/>
    <w:rsid w:val="00A43458"/>
    <w:rsid w:val="00A57476"/>
    <w:rsid w:val="00AC4E19"/>
    <w:rsid w:val="00AF1ED6"/>
    <w:rsid w:val="00B32C61"/>
    <w:rsid w:val="00B368FE"/>
    <w:rsid w:val="00B80CBD"/>
    <w:rsid w:val="00BC3369"/>
    <w:rsid w:val="00BF77EE"/>
    <w:rsid w:val="00C06F7C"/>
    <w:rsid w:val="00C2446A"/>
    <w:rsid w:val="00C32E0F"/>
    <w:rsid w:val="00C42BF9"/>
    <w:rsid w:val="00C83E56"/>
    <w:rsid w:val="00CD0055"/>
    <w:rsid w:val="00D319B3"/>
    <w:rsid w:val="00D53924"/>
    <w:rsid w:val="00D60849"/>
    <w:rsid w:val="00D96D8C"/>
    <w:rsid w:val="00DD337E"/>
    <w:rsid w:val="00DD4364"/>
    <w:rsid w:val="00E00B6F"/>
    <w:rsid w:val="00E50B33"/>
    <w:rsid w:val="00E54642"/>
    <w:rsid w:val="00E97908"/>
    <w:rsid w:val="00EF3ED0"/>
    <w:rsid w:val="00F17E56"/>
    <w:rsid w:val="00F548E0"/>
    <w:rsid w:val="00FA37BE"/>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31117208"/>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F5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bf46b03235984a8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301</Words>
  <Characters>1508</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קובי ורדי</cp:lastModifiedBy>
  <cp:revision>49</cp:revision>
  <dcterms:created xsi:type="dcterms:W3CDTF">2012-08-05T21:29:00Z</dcterms:created>
  <dcterms:modified xsi:type="dcterms:W3CDTF">2018-04-12T07:04:00Z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