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ג'ויה סקפה שפירא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F455BE" w:rsidRDefault="00A6393D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מאשימה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782875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A6393D" w:rsidRDefault="00782875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נאשמ</w:t>
                </w:r>
                <w:r w:rsidR="00A6393D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782875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סמאח עיאש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F455BE" w:rsidRDefault="00F455BE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F455BE" w:rsidRDefault="00F455BE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Pr="00DE1E7D" w:rsidR="00694556">
        <w:trPr>
          <w:jc w:val="center"/>
        </w:trPr>
        <w:tc>
          <w:tcPr>
            <w:tcW w:w="8820" w:type="dxa"/>
            <w:gridSpan w:val="3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1"/>
      <w:bookmarkEnd w:id="1"/>
    </w:p>
    <w:p w:rsidR="00A6393D" w:rsidP="00A6393D" w:rsidRDefault="00A6393D">
      <w:pPr>
        <w:spacing w:line="360" w:lineRule="auto"/>
        <w:jc w:val="both"/>
        <w:rPr>
          <w:rFonts w:ascii="Arial" w:hAnsi="Arial"/>
          <w:noProof w:val="0"/>
        </w:rPr>
      </w:pPr>
      <w:r>
        <w:rPr>
          <w:rFonts w:hint="cs" w:ascii="Arial" w:hAnsi="Arial"/>
          <w:noProof w:val="0"/>
          <w:rtl/>
        </w:rPr>
        <w:t>הקראת כתב אישום ודיון מקדמי יתקיימו ביום 10.6.18 בשעה 9:00.</w:t>
      </w:r>
    </w:p>
    <w:p w:rsidR="00A6393D" w:rsidP="00A6393D" w:rsidRDefault="00A6393D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המזכירות תודיע לצדדים ותזמן מתורגמן לשפה הערבית.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782875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095500" cy="742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98b70c835a743d8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782875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782875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82875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782875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ת"פ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18264-04-18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עיאש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</w:rPr>
                <w:t>131590/2017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82875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6393D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D1166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455BE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798b70c835a743d8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6B2FA6" w:rsidP="006B2FA6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6B2FA6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2FA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6B2FA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52</Words>
  <Characters>265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ג'ויה סקפה שפירא</cp:lastModifiedBy>
  <cp:revision>117</cp:revision>
  <dcterms:created xsi:type="dcterms:W3CDTF">2012-08-06T05:16:00Z</dcterms:created>
  <dcterms:modified xsi:type="dcterms:W3CDTF">2018-04-12T07:34:00Z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