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Pr="00FA4EAF" w:rsidR="0094424E">
        <w:trPr>
          <w:trHeight w:val="295"/>
          <w:jc w:val="center"/>
        </w:trPr>
        <w:tc>
          <w:tcPr>
            <w:tcW w:w="5049" w:type="dxa"/>
            <w:gridSpan w:val="3"/>
          </w:tcPr>
          <w:p w:rsidRPr="00FA4EAF" w:rsidR="0094424E" w:rsidRDefault="0094424E">
            <w:pPr>
              <w:rPr>
                <w:rFonts w:ascii="Arial" w:hAnsi="Arial"/>
                <w:b/>
                <w:bCs/>
                <w:noProof w:val="0"/>
                <w:sz w:val="26"/>
                <w:szCs w:val="26"/>
                <w:rtl/>
              </w:rPr>
            </w:pPr>
            <w:r w:rsidRPr="00FA4EAF">
              <w:rPr>
                <w:sz w:val="26"/>
                <w:szCs w:val="26"/>
                <w:rtl/>
              </w:rPr>
              <w:t xml:space="preserve"> </w:t>
            </w:r>
          </w:p>
        </w:tc>
        <w:tc>
          <w:tcPr>
            <w:tcW w:w="3771" w:type="dxa"/>
          </w:tcPr>
          <w:p w:rsidRPr="00FA4EAF" w:rsidR="0094424E" w:rsidP="00896889" w:rsidRDefault="0094424E">
            <w:pPr>
              <w:rPr>
                <w:rFonts w:ascii="Arial" w:hAnsi="Arial"/>
                <w:b/>
                <w:bCs/>
                <w:noProof w:val="0"/>
                <w:sz w:val="26"/>
                <w:szCs w:val="26"/>
                <w:rtl/>
              </w:rPr>
            </w:pPr>
            <w:r w:rsidRPr="00FA4EAF">
              <w:rPr>
                <w:rFonts w:ascii="Arial" w:hAnsi="Arial"/>
                <w:b/>
                <w:bCs/>
                <w:noProof w:val="0"/>
                <w:sz w:val="26"/>
                <w:szCs w:val="26"/>
                <w:rtl/>
              </w:rPr>
              <w:t>מספר בקשה:</w:t>
            </w:r>
            <w:sdt>
              <w:sdtPr>
                <w:rPr>
                  <w:sz w:val="26"/>
                  <w:szCs w:val="26"/>
                  <w:rtl/>
                </w:rPr>
                <w:alias w:val="1193"/>
                <w:tag w:val="1193"/>
                <w:id w:val="-636028727"/>
                <w:text w:multiLine="1"/>
              </w:sdtPr>
              <w:sdtEndPr/>
              <w:sdtContent>
                <w:r>
                  <w:rPr>
                    <w:rFonts w:ascii="Arial" w:hAnsi="Arial"/>
                    <w:b/>
                    <w:bCs/>
                    <w:noProof w:val="0"/>
                    <w:sz w:val="26"/>
                    <w:szCs w:val="26"/>
                    <w:rtl/>
                  </w:rPr>
                  <w:t>1</w:t>
                </w:r>
              </w:sdtContent>
            </w:sdt>
          </w:p>
        </w:tc>
      </w:tr>
      <w:tr w:rsidRPr="00FA4EAF" w:rsidR="0094424E">
        <w:trPr>
          <w:jc w:val="center"/>
        </w:trPr>
        <w:tc>
          <w:tcPr>
            <w:tcW w:w="743" w:type="dxa"/>
          </w:tcPr>
          <w:p w:rsidRPr="00FA4EAF" w:rsidR="0094424E" w:rsidP="00E962E3" w:rsidRDefault="00D74378">
            <w:pPr>
              <w:jc w:val="both"/>
              <w:rPr>
                <w:rFonts w:ascii="Arial" w:hAnsi="Arial"/>
                <w:b/>
                <w:bCs/>
                <w:sz w:val="26"/>
                <w:szCs w:val="26"/>
                <w:rtl/>
              </w:rPr>
            </w:pPr>
            <w:r>
              <w:rPr>
                <w:rFonts w:hint="cs" w:ascii="Arial" w:hAnsi="Arial"/>
                <w:b/>
                <w:bCs/>
                <w:sz w:val="26"/>
                <w:szCs w:val="26"/>
                <w:rtl/>
              </w:rPr>
              <w:t>ל</w:t>
            </w:r>
            <w:r w:rsidRPr="00FA4EAF" w:rsidR="0094424E">
              <w:rPr>
                <w:rFonts w:ascii="Arial" w:hAnsi="Arial"/>
                <w:b/>
                <w:bCs/>
                <w:sz w:val="26"/>
                <w:szCs w:val="26"/>
                <w:rtl/>
              </w:rPr>
              <w:t xml:space="preserve">פני </w:t>
            </w:r>
          </w:p>
        </w:tc>
        <w:tc>
          <w:tcPr>
            <w:tcW w:w="8077" w:type="dxa"/>
            <w:gridSpan w:val="3"/>
          </w:tcPr>
          <w:p w:rsidRPr="00FA4EAF" w:rsidR="0094424E" w:rsidRDefault="000529D2">
            <w:pPr>
              <w:rPr>
                <w:rFonts w:ascii="Arial" w:hAnsi="Arial"/>
                <w:b/>
                <w:bCs/>
                <w:sz w:val="26"/>
                <w:szCs w:val="26"/>
                <w:rtl/>
              </w:rPr>
            </w:pPr>
            <w:r w:rsidRPr="00FA4EAF">
              <w:rPr>
                <w:rFonts w:hint="cs" w:ascii="Arial" w:hAnsi="Arial"/>
                <w:b/>
                <w:bCs/>
                <w:sz w:val="26"/>
                <w:szCs w:val="26"/>
                <w:rtl/>
              </w:rPr>
              <w:t>כבוד</w:t>
            </w:r>
            <w:r w:rsidRPr="00FA4EAF" w:rsidR="0094424E">
              <w:rPr>
                <w:rFonts w:hint="cs" w:ascii="Arial" w:hAnsi="Arial"/>
                <w:b/>
                <w:bCs/>
                <w:sz w:val="26"/>
                <w:szCs w:val="26"/>
                <w:rtl/>
              </w:rPr>
              <w:t xml:space="preserve"> ה</w:t>
            </w:r>
            <w:sdt>
              <w:sdtPr>
                <w:rPr>
                  <w:sz w:val="26"/>
                  <w:szCs w:val="26"/>
                  <w:rtl/>
                </w:rPr>
                <w:alias w:val="1574"/>
                <w:tag w:val="1574"/>
                <w:id w:val="414602899"/>
                <w:text w:multiLine="1"/>
              </w:sdtPr>
              <w:sdtEndPr/>
              <w:sdtContent>
                <w:r>
                  <w:rPr>
                    <w:rFonts w:ascii="Arial" w:hAnsi="Arial"/>
                    <w:b/>
                    <w:bCs/>
                    <w:sz w:val="26"/>
                    <w:szCs w:val="26"/>
                    <w:rtl/>
                  </w:rPr>
                  <w:t>שופטת</w:t>
                </w:r>
              </w:sdtContent>
            </w:sdt>
            <w:r w:rsidRPr="00FA4EAF" w:rsidR="0094424E">
              <w:rPr>
                <w:rFonts w:hint="cs" w:ascii="Arial" w:hAnsi="Arial"/>
                <w:b/>
                <w:bCs/>
                <w:sz w:val="26"/>
                <w:szCs w:val="26"/>
                <w:rtl/>
              </w:rPr>
              <w:t xml:space="preserve">  </w:t>
            </w:r>
            <w:sdt>
              <w:sdtPr>
                <w:rPr>
                  <w:sz w:val="26"/>
                  <w:szCs w:val="26"/>
                  <w:rtl/>
                </w:rPr>
                <w:alias w:val="1573"/>
                <w:tag w:val="1573"/>
                <w:id w:val="-1751030614"/>
                <w:text w:multiLine="1"/>
              </w:sdtPr>
              <w:sdtEndPr/>
              <w:sdtContent>
                <w:r>
                  <w:rPr>
                    <w:rFonts w:ascii="Arial" w:hAnsi="Arial"/>
                    <w:b/>
                    <w:bCs/>
                    <w:sz w:val="26"/>
                    <w:szCs w:val="26"/>
                    <w:rtl/>
                  </w:rPr>
                  <w:t>עינת רביד</w:t>
                </w:r>
              </w:sdtContent>
            </w:sdt>
          </w:p>
          <w:p w:rsidRPr="00FA4EAF" w:rsidR="0094424E" w:rsidRDefault="0094424E">
            <w:pPr>
              <w:rPr>
                <w:rFonts w:ascii="Arial" w:hAnsi="Arial" w:cs="FrankRuehl"/>
                <w:sz w:val="26"/>
                <w:szCs w:val="26"/>
                <w:highlight w:val="yellow"/>
              </w:rPr>
            </w:pPr>
          </w:p>
        </w:tc>
      </w:tr>
      <w:tr w:rsidRPr="00FA4EAF" w:rsidR="0094424E" w:rsidTr="00465D36">
        <w:trPr>
          <w:jc w:val="center"/>
        </w:trPr>
        <w:tc>
          <w:tcPr>
            <w:tcW w:w="3249" w:type="dxa"/>
            <w:gridSpan w:val="2"/>
          </w:tcPr>
          <w:p w:rsidRPr="00FA4EAF" w:rsidR="0094424E" w:rsidP="00465D36" w:rsidRDefault="0094424E">
            <w:pPr>
              <w:rPr>
                <w:rFonts w:ascii="Arial" w:hAnsi="Arial"/>
                <w:b/>
                <w:bCs/>
                <w:noProof w:val="0"/>
                <w:sz w:val="26"/>
                <w:szCs w:val="26"/>
              </w:rPr>
            </w:pPr>
          </w:p>
          <w:sdt>
            <w:sdtPr>
              <w:rPr>
                <w:sz w:val="26"/>
                <w:szCs w:val="26"/>
                <w:rtl/>
              </w:rPr>
              <w:alias w:val="1180"/>
              <w:tag w:val="1180"/>
              <w:id w:val="637458750"/>
              <w:text w:multiLine="1"/>
            </w:sdtPr>
            <w:sdtEndPr/>
            <w:sdtContent>
              <w:p w:rsidR="005E5D6C" w:rsidP="00B61E3C" w:rsidRDefault="00722744">
                <w:pPr>
                  <w:rPr>
                    <w:rFonts w:ascii="Arial" w:hAnsi="Arial"/>
                    <w:b/>
                    <w:bCs/>
                    <w:noProof w:val="0"/>
                    <w:sz w:val="26"/>
                    <w:szCs w:val="26"/>
                    <w:rtl/>
                  </w:rPr>
                </w:pPr>
                <w:r>
                  <w:rPr>
                    <w:rFonts w:ascii="Arial" w:hAnsi="Arial"/>
                    <w:b/>
                    <w:bCs/>
                    <w:noProof w:val="0"/>
                    <w:sz w:val="26"/>
                    <w:szCs w:val="26"/>
                    <w:rtl/>
                  </w:rPr>
                  <w:t>מבקש</w:t>
                </w:r>
                <w:r w:rsidR="00B61E3C">
                  <w:rPr>
                    <w:rFonts w:hint="cs" w:ascii="Arial" w:hAnsi="Arial"/>
                    <w:b/>
                    <w:bCs/>
                    <w:noProof w:val="0"/>
                    <w:sz w:val="26"/>
                    <w:szCs w:val="26"/>
                    <w:rtl/>
                  </w:rPr>
                  <w:t>ת</w:t>
                </w:r>
              </w:p>
            </w:sdtContent>
          </w:sdt>
        </w:tc>
        <w:tc>
          <w:tcPr>
            <w:tcW w:w="5571" w:type="dxa"/>
            <w:gridSpan w:val="2"/>
          </w:tcPr>
          <w:p w:rsidRPr="00FA4EAF" w:rsidR="0094424E" w:rsidRDefault="0094424E">
            <w:pPr>
              <w:rPr>
                <w:rFonts w:ascii="Arial" w:hAnsi="Arial"/>
                <w:b/>
                <w:bCs/>
                <w:noProof w:val="0"/>
                <w:sz w:val="26"/>
                <w:szCs w:val="26"/>
                <w:rtl/>
              </w:rPr>
            </w:pPr>
          </w:p>
          <w:p w:rsidR="00B61E3C" w:rsidP="00B61E3C" w:rsidRDefault="00840C7B">
            <w:pPr>
              <w:rPr>
                <w:sz w:val="26"/>
                <w:szCs w:val="26"/>
                <w:rtl/>
              </w:rPr>
            </w:pPr>
            <w:sdt>
              <w:sdtPr>
                <w:rPr>
                  <w:sz w:val="26"/>
                  <w:szCs w:val="26"/>
                  <w:rtl/>
                </w:rPr>
                <w:alias w:val="1486"/>
                <w:tag w:val="1486"/>
                <w:id w:val="-309872140"/>
                <w:text w:multiLine="1"/>
              </w:sdtPr>
              <w:sdtEndPr/>
              <w:sdtContent>
                <w:r w:rsidR="00B61E3C">
                  <w:rPr>
                    <w:rFonts w:ascii="Arial" w:hAnsi="Arial"/>
                    <w:b/>
                    <w:bCs/>
                    <w:noProof w:val="0"/>
                    <w:sz w:val="26"/>
                    <w:szCs w:val="26"/>
                    <w:rtl/>
                  </w:rPr>
                  <w:t>המאגר הישראלי לביטוחי רכב "הפול"</w:t>
                </w:r>
              </w:sdtContent>
            </w:sdt>
          </w:p>
          <w:p w:rsidRPr="00FA4EAF" w:rsidR="0094424E" w:rsidP="00B61E3C" w:rsidRDefault="00B61E3C">
            <w:pPr>
              <w:rPr>
                <w:b/>
                <w:bCs/>
                <w:noProof w:val="0"/>
                <w:sz w:val="26"/>
                <w:szCs w:val="26"/>
              </w:rPr>
            </w:pPr>
            <w:r>
              <w:rPr>
                <w:rFonts w:hint="cs"/>
                <w:sz w:val="26"/>
                <w:szCs w:val="26"/>
                <w:rtl/>
              </w:rPr>
              <w:t xml:space="preserve"> </w:t>
            </w:r>
            <w:r w:rsidR="001D3441">
              <w:rPr>
                <w:rFonts w:hint="cs"/>
                <w:sz w:val="26"/>
                <w:szCs w:val="26"/>
                <w:rtl/>
              </w:rPr>
              <w:t>ע"י ב"כ עו"ד</w:t>
            </w:r>
            <w:r>
              <w:rPr>
                <w:rFonts w:hint="cs"/>
                <w:b/>
                <w:bCs/>
                <w:noProof w:val="0"/>
                <w:sz w:val="26"/>
                <w:szCs w:val="26"/>
                <w:rtl/>
              </w:rPr>
              <w:t xml:space="preserve"> בן שלמה </w:t>
            </w:r>
          </w:p>
        </w:tc>
      </w:tr>
      <w:tr w:rsidRPr="00FA4EAF" w:rsidR="0094424E">
        <w:trPr>
          <w:jc w:val="center"/>
        </w:trPr>
        <w:tc>
          <w:tcPr>
            <w:tcW w:w="8820" w:type="dxa"/>
            <w:gridSpan w:val="4"/>
          </w:tcPr>
          <w:p w:rsidRPr="00B61E3C" w:rsidR="0094424E" w:rsidRDefault="0094424E">
            <w:pPr>
              <w:rPr>
                <w:rFonts w:ascii="Arial" w:hAnsi="Arial"/>
                <w:b/>
                <w:bCs/>
                <w:noProof w:val="0"/>
                <w:sz w:val="26"/>
                <w:szCs w:val="26"/>
                <w:rtl/>
              </w:rPr>
            </w:pPr>
          </w:p>
          <w:p w:rsidRPr="00FA4EAF" w:rsidR="0094424E" w:rsidRDefault="0094424E">
            <w:pPr>
              <w:jc w:val="center"/>
              <w:rPr>
                <w:rFonts w:ascii="Arial" w:hAnsi="Arial"/>
                <w:b/>
                <w:bCs/>
                <w:noProof w:val="0"/>
                <w:sz w:val="26"/>
                <w:szCs w:val="26"/>
                <w:rtl/>
              </w:rPr>
            </w:pPr>
            <w:r w:rsidRPr="00FA4EAF">
              <w:rPr>
                <w:rFonts w:ascii="Arial" w:hAnsi="Arial"/>
                <w:b/>
                <w:bCs/>
                <w:noProof w:val="0"/>
                <w:sz w:val="26"/>
                <w:szCs w:val="26"/>
                <w:rtl/>
              </w:rPr>
              <w:t>נגד</w:t>
            </w:r>
          </w:p>
          <w:p w:rsidRPr="00FA4EAF" w:rsidR="0094424E" w:rsidRDefault="0094424E">
            <w:pPr>
              <w:rPr>
                <w:rFonts w:ascii="Arial" w:hAnsi="Arial"/>
                <w:b/>
                <w:bCs/>
                <w:noProof w:val="0"/>
                <w:sz w:val="26"/>
                <w:szCs w:val="26"/>
              </w:rPr>
            </w:pPr>
          </w:p>
        </w:tc>
      </w:tr>
      <w:tr w:rsidRPr="00FA4EAF" w:rsidR="0094424E">
        <w:trPr>
          <w:jc w:val="center"/>
        </w:trPr>
        <w:tc>
          <w:tcPr>
            <w:tcW w:w="3249" w:type="dxa"/>
            <w:gridSpan w:val="2"/>
          </w:tcPr>
          <w:p w:rsidRPr="00FA4EAF" w:rsidR="0094424E" w:rsidRDefault="0094424E">
            <w:pPr>
              <w:rPr>
                <w:rFonts w:ascii="Arial" w:hAnsi="Arial"/>
                <w:b/>
                <w:bCs/>
                <w:noProof w:val="0"/>
                <w:sz w:val="26"/>
                <w:szCs w:val="26"/>
                <w:rtl/>
              </w:rPr>
            </w:pPr>
          </w:p>
          <w:p w:rsidRPr="00FA4EAF" w:rsidR="0094424E" w:rsidP="00B61E3C" w:rsidRDefault="00840C7B">
            <w:pPr>
              <w:rPr>
                <w:rFonts w:ascii="Arial" w:hAnsi="Arial"/>
                <w:b/>
                <w:bCs/>
                <w:noProof w:val="0"/>
                <w:sz w:val="26"/>
                <w:szCs w:val="26"/>
              </w:rPr>
            </w:pPr>
            <w:sdt>
              <w:sdtPr>
                <w:rPr>
                  <w:sz w:val="26"/>
                  <w:szCs w:val="26"/>
                  <w:rtl/>
                </w:rPr>
                <w:alias w:val="1184"/>
                <w:tag w:val="1184"/>
                <w:id w:val="-340621022"/>
                <w:text w:multiLine="1"/>
              </w:sdtPr>
              <w:sdtEndPr/>
              <w:sdtContent>
                <w:r w:rsidR="00B95A71">
                  <w:rPr>
                    <w:rFonts w:ascii="Arial" w:hAnsi="Arial"/>
                    <w:b/>
                    <w:bCs/>
                    <w:noProof w:val="0"/>
                    <w:sz w:val="26"/>
                    <w:szCs w:val="26"/>
                    <w:rtl/>
                  </w:rPr>
                  <w:t>משיב</w:t>
                </w:r>
                <w:r w:rsidR="00B61E3C">
                  <w:rPr>
                    <w:rFonts w:hint="cs" w:ascii="Arial" w:hAnsi="Arial"/>
                    <w:b/>
                    <w:bCs/>
                    <w:noProof w:val="0"/>
                    <w:sz w:val="26"/>
                    <w:szCs w:val="26"/>
                    <w:rtl/>
                  </w:rPr>
                  <w:t>ה</w:t>
                </w:r>
              </w:sdtContent>
            </w:sdt>
          </w:p>
        </w:tc>
        <w:tc>
          <w:tcPr>
            <w:tcW w:w="5571" w:type="dxa"/>
            <w:gridSpan w:val="2"/>
          </w:tcPr>
          <w:p w:rsidR="00B61E3C" w:rsidP="00B61E3C" w:rsidRDefault="00840C7B">
            <w:pPr>
              <w:rPr>
                <w:sz w:val="26"/>
                <w:szCs w:val="26"/>
                <w:rtl/>
              </w:rPr>
            </w:pPr>
            <w:sdt>
              <w:sdtPr>
                <w:rPr>
                  <w:sz w:val="26"/>
                  <w:szCs w:val="26"/>
                  <w:rtl/>
                </w:rPr>
                <w:alias w:val="1478"/>
                <w:tag w:val="1478"/>
                <w:id w:val="-2076122985"/>
                <w:text w:multiLine="1"/>
              </w:sdtPr>
              <w:sdtEndPr/>
              <w:sdtContent>
                <w:r w:rsidR="00B61E3C">
                  <w:rPr>
                    <w:rFonts w:ascii="Arial" w:hAnsi="Arial"/>
                    <w:b/>
                    <w:bCs/>
                    <w:noProof w:val="0"/>
                    <w:sz w:val="26"/>
                    <w:szCs w:val="26"/>
                    <w:rtl/>
                  </w:rPr>
                  <w:br/>
                </w:r>
                <w:r w:rsidR="00B61E3C">
                  <w:rPr>
                    <w:rFonts w:hint="cs" w:ascii="Arial" w:hAnsi="Arial"/>
                    <w:b/>
                    <w:bCs/>
                    <w:noProof w:val="0"/>
                    <w:sz w:val="26"/>
                    <w:szCs w:val="26"/>
                    <w:rtl/>
                  </w:rPr>
                  <w:t>א.ש.</w:t>
                </w:r>
              </w:sdtContent>
            </w:sdt>
          </w:p>
          <w:p w:rsidRPr="00FA4EAF" w:rsidR="0094424E" w:rsidRDefault="001D3441">
            <w:pPr>
              <w:rPr>
                <w:b/>
                <w:bCs/>
                <w:noProof w:val="0"/>
                <w:sz w:val="26"/>
                <w:szCs w:val="26"/>
                <w:rtl/>
              </w:rPr>
            </w:pPr>
            <w:r>
              <w:rPr>
                <w:rFonts w:hint="cs"/>
                <w:sz w:val="26"/>
                <w:szCs w:val="26"/>
                <w:rtl/>
              </w:rPr>
              <w:t>ע"י ב"כ עו"ד</w:t>
            </w:r>
            <w:r w:rsidR="00B61E3C">
              <w:rPr>
                <w:rFonts w:hint="cs"/>
                <w:b/>
                <w:bCs/>
                <w:noProof w:val="0"/>
                <w:sz w:val="26"/>
                <w:szCs w:val="26"/>
                <w:rtl/>
              </w:rPr>
              <w:t xml:space="preserve"> סמוגורה</w:t>
            </w:r>
          </w:p>
        </w:tc>
      </w:tr>
      <w:tr w:rsidRPr="00FA4EAF" w:rsidR="004C17EE" w:rsidTr="00D620FD">
        <w:trPr>
          <w:jc w:val="center"/>
        </w:trPr>
        <w:tc>
          <w:tcPr>
            <w:tcW w:w="8820" w:type="dxa"/>
            <w:gridSpan w:val="4"/>
          </w:tcPr>
          <w:p w:rsidR="005E5D6C" w:rsidRDefault="005E5D6C">
            <w:pPr>
              <w:rPr>
                <w:rFonts w:ascii="Arial" w:hAnsi="Arial"/>
                <w:b/>
                <w:bCs/>
                <w:noProof w:val="0"/>
                <w:sz w:val="26"/>
                <w:szCs w:val="26"/>
                <w:rtl/>
              </w:rPr>
            </w:pPr>
          </w:p>
        </w:tc>
      </w:tr>
    </w:tbl>
    <w:p w:rsidR="0094424E" w:rsidP="0094424E" w:rsidRDefault="0094424E">
      <w:pPr>
        <w:rPr>
          <w:rtl/>
        </w:rPr>
      </w:pPr>
    </w:p>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694556" w:rsidP="009659B2" w:rsidRDefault="00B61E3C">
      <w:pPr>
        <w:spacing w:before="120" w:after="120" w:line="360" w:lineRule="auto"/>
        <w:jc w:val="both"/>
        <w:rPr>
          <w:rFonts w:ascii="Arial" w:hAnsi="Arial"/>
          <w:noProof w:val="0"/>
          <w:rtl/>
        </w:rPr>
      </w:pPr>
      <w:bookmarkStart w:name="NGCSBookmark" w:id="0"/>
      <w:bookmarkEnd w:id="0"/>
      <w:r>
        <w:rPr>
          <w:rFonts w:hint="cs" w:ascii="Arial" w:hAnsi="Arial"/>
          <w:noProof w:val="0"/>
          <w:rtl/>
        </w:rPr>
        <w:t xml:space="preserve">החלטה זו עניינה בבקשת המבקשת לעיכוב ביצוע פסק דינו של בית משפט השלום בהרצליה, כבוד השופט עמיעד רט, מיום </w:t>
      </w:r>
      <w:r w:rsidR="008F24E9">
        <w:rPr>
          <w:rFonts w:hint="cs" w:ascii="Arial" w:hAnsi="Arial"/>
          <w:noProof w:val="0"/>
          <w:rtl/>
        </w:rPr>
        <w:t xml:space="preserve">25.2.18 בת"א 33307-12-14, במסגרתו נפסק למשיב פיצוי כספי, לאחר ניכויי מל"ל, בסך של 209,111 ₪ בתוספת הוצאות ושכר טרחת עו"ד, וזאת בהתאם לחוק הפיצויים לנפגעי תאונות דרכים </w:t>
      </w:r>
      <w:r w:rsidR="000C4805">
        <w:rPr>
          <w:rFonts w:hint="cs" w:ascii="Arial" w:hAnsi="Arial"/>
          <w:noProof w:val="0"/>
          <w:rtl/>
        </w:rPr>
        <w:t xml:space="preserve">תשל"ה-1975 (להלן: </w:t>
      </w:r>
      <w:r w:rsidRPr="000C4805" w:rsidR="000C4805">
        <w:rPr>
          <w:rFonts w:hint="cs" w:ascii="Arial" w:hAnsi="Arial"/>
          <w:b/>
          <w:bCs/>
          <w:noProof w:val="0"/>
          <w:rtl/>
        </w:rPr>
        <w:t>החוק</w:t>
      </w:r>
      <w:r w:rsidR="000C4805">
        <w:rPr>
          <w:rFonts w:hint="cs" w:ascii="Arial" w:hAnsi="Arial"/>
          <w:noProof w:val="0"/>
          <w:rtl/>
        </w:rPr>
        <w:t>)</w:t>
      </w:r>
      <w:r w:rsidR="008F24E9">
        <w:rPr>
          <w:rFonts w:hint="cs" w:ascii="Arial" w:hAnsi="Arial"/>
          <w:noProof w:val="0"/>
          <w:rtl/>
        </w:rPr>
        <w:t xml:space="preserve"> .</w:t>
      </w:r>
    </w:p>
    <w:p w:rsidRPr="000C4805" w:rsidR="008F24E9" w:rsidP="000C4805" w:rsidRDefault="008F24E9">
      <w:pPr>
        <w:spacing w:before="120" w:after="120" w:line="360" w:lineRule="auto"/>
        <w:jc w:val="both"/>
        <w:rPr>
          <w:rFonts w:ascii="Arial" w:hAnsi="Arial"/>
          <w:b/>
          <w:bCs/>
          <w:noProof w:val="0"/>
          <w:u w:val="single"/>
          <w:rtl/>
        </w:rPr>
      </w:pPr>
      <w:r w:rsidRPr="000C4805">
        <w:rPr>
          <w:rFonts w:hint="cs" w:ascii="Arial" w:hAnsi="Arial"/>
          <w:b/>
          <w:bCs/>
          <w:noProof w:val="0"/>
          <w:u w:val="single"/>
          <w:rtl/>
        </w:rPr>
        <w:t xml:space="preserve">רקע ותמצית פסק הדין </w:t>
      </w:r>
    </w:p>
    <w:p w:rsidRPr="000C4805" w:rsidR="008F24E9" w:rsidP="000C4805" w:rsidRDefault="008F24E9">
      <w:pPr>
        <w:pStyle w:val="ad"/>
        <w:numPr>
          <w:ilvl w:val="0"/>
          <w:numId w:val="2"/>
        </w:numPr>
        <w:spacing w:before="120" w:after="120" w:line="360" w:lineRule="auto"/>
        <w:contextualSpacing w:val="0"/>
        <w:jc w:val="both"/>
        <w:rPr>
          <w:rFonts w:ascii="Arial" w:hAnsi="Arial"/>
          <w:noProof w:val="0"/>
          <w:rtl/>
        </w:rPr>
      </w:pPr>
      <w:r w:rsidRPr="000C4805">
        <w:rPr>
          <w:rFonts w:hint="cs" w:ascii="Arial" w:hAnsi="Arial"/>
          <w:noProof w:val="0"/>
          <w:rtl/>
        </w:rPr>
        <w:t>המשיב</w:t>
      </w:r>
      <w:r w:rsidRPr="000C4805" w:rsidR="000C4805">
        <w:rPr>
          <w:rFonts w:hint="cs" w:ascii="Arial" w:hAnsi="Arial"/>
          <w:noProof w:val="0"/>
          <w:rtl/>
        </w:rPr>
        <w:t xml:space="preserve">, יליד 1963, </w:t>
      </w:r>
      <w:r w:rsidRPr="000C4805">
        <w:rPr>
          <w:rFonts w:hint="cs" w:ascii="Arial" w:hAnsi="Arial"/>
          <w:noProof w:val="0"/>
          <w:rtl/>
        </w:rPr>
        <w:t xml:space="preserve">הגיש תביעה להכיר בתאונה מיום 11.4.14 </w:t>
      </w:r>
      <w:r w:rsidRPr="000C4805" w:rsidR="00A439F7">
        <w:rPr>
          <w:rFonts w:hint="cs" w:ascii="Arial" w:hAnsi="Arial"/>
          <w:noProof w:val="0"/>
          <w:rtl/>
        </w:rPr>
        <w:t>כ</w:t>
      </w:r>
      <w:r w:rsidRPr="000C4805" w:rsidR="00AA7518">
        <w:rPr>
          <w:rFonts w:hint="cs" w:ascii="Arial" w:hAnsi="Arial"/>
          <w:noProof w:val="0"/>
          <w:rtl/>
        </w:rPr>
        <w:t xml:space="preserve">תאונת דרכים על פי החוק. </w:t>
      </w:r>
      <w:r w:rsidRPr="000C4805" w:rsidR="000C4805">
        <w:rPr>
          <w:rFonts w:hint="cs" w:ascii="Arial" w:hAnsi="Arial"/>
          <w:noProof w:val="0"/>
          <w:rtl/>
        </w:rPr>
        <w:t xml:space="preserve">בתאונה זו נפגע המשיב עת רכב על קטנוע. כתוצאה מהתאונה אובחנו אצל המשיב שברים בטיביה ובראש הפיבולה ברגל שמאל. </w:t>
      </w:r>
    </w:p>
    <w:p w:rsidRPr="000C4805" w:rsidR="00AA7518" w:rsidP="004B45EC" w:rsidRDefault="00AA7518">
      <w:pPr>
        <w:pStyle w:val="ad"/>
        <w:numPr>
          <w:ilvl w:val="0"/>
          <w:numId w:val="2"/>
        </w:numPr>
        <w:spacing w:before="120" w:after="120" w:line="360" w:lineRule="auto"/>
        <w:contextualSpacing w:val="0"/>
        <w:jc w:val="both"/>
        <w:rPr>
          <w:rFonts w:ascii="Arial" w:hAnsi="Arial"/>
          <w:noProof w:val="0"/>
          <w:rtl/>
        </w:rPr>
      </w:pPr>
      <w:r w:rsidRPr="000C4805">
        <w:rPr>
          <w:rFonts w:hint="cs" w:ascii="Arial" w:hAnsi="Arial"/>
          <w:noProof w:val="0"/>
          <w:rtl/>
        </w:rPr>
        <w:t>בית המשפט קיבל את טענת המשיב כי נפגע בתאונת דרכים ו</w:t>
      </w:r>
      <w:r w:rsidRPr="000C4805" w:rsidR="000C4805">
        <w:rPr>
          <w:rFonts w:hint="cs" w:ascii="Arial" w:hAnsi="Arial"/>
          <w:noProof w:val="0"/>
          <w:rtl/>
        </w:rPr>
        <w:t xml:space="preserve">דחה את טענות המבקשת בדבר הכחשת עצם קרות התאונה. </w:t>
      </w:r>
    </w:p>
    <w:p w:rsidRPr="000C4805" w:rsidR="00AA7518" w:rsidP="004B45EC" w:rsidRDefault="00AA7518">
      <w:pPr>
        <w:pStyle w:val="ad"/>
        <w:numPr>
          <w:ilvl w:val="0"/>
          <w:numId w:val="2"/>
        </w:numPr>
        <w:spacing w:before="120" w:after="120" w:line="360" w:lineRule="auto"/>
        <w:contextualSpacing w:val="0"/>
        <w:jc w:val="both"/>
        <w:rPr>
          <w:rFonts w:ascii="Arial" w:hAnsi="Arial"/>
          <w:noProof w:val="0"/>
          <w:rtl/>
        </w:rPr>
      </w:pPr>
      <w:r w:rsidRPr="000C4805">
        <w:rPr>
          <w:rFonts w:hint="cs" w:ascii="Arial" w:hAnsi="Arial"/>
          <w:noProof w:val="0"/>
          <w:rtl/>
        </w:rPr>
        <w:t xml:space="preserve">בתיק מונו מומחים מטעם בית המשפט בתחום הפסיכיאטרי והאורתופדי. בגין נכות פסיכיאטרית נקבעה למשיב נכות זמנית של 10% מיום התאונה ולמשך 3 חודשים, </w:t>
      </w:r>
      <w:r w:rsidR="004B45EC">
        <w:rPr>
          <w:rFonts w:hint="cs" w:ascii="Arial" w:hAnsi="Arial"/>
          <w:noProof w:val="0"/>
          <w:rtl/>
        </w:rPr>
        <w:t>ו</w:t>
      </w:r>
      <w:r w:rsidRPr="000C4805">
        <w:rPr>
          <w:rFonts w:hint="cs" w:ascii="Arial" w:hAnsi="Arial"/>
          <w:noProof w:val="0"/>
          <w:rtl/>
        </w:rPr>
        <w:t xml:space="preserve">נכות </w:t>
      </w:r>
      <w:r w:rsidR="004B45EC">
        <w:rPr>
          <w:rFonts w:hint="cs" w:ascii="Arial" w:hAnsi="Arial"/>
          <w:noProof w:val="0"/>
          <w:rtl/>
        </w:rPr>
        <w:t xml:space="preserve">קבועה </w:t>
      </w:r>
      <w:r w:rsidRPr="000C4805">
        <w:rPr>
          <w:rFonts w:hint="cs" w:ascii="Arial" w:hAnsi="Arial"/>
          <w:noProof w:val="0"/>
          <w:rtl/>
        </w:rPr>
        <w:t xml:space="preserve">של 5% בגין התפתחות הפרעת הסתגלות שבאה לידי ביטוי בתסמיני חרדה, דיכאון ופוסט טראומה. </w:t>
      </w:r>
    </w:p>
    <w:p w:rsidRPr="000C4805" w:rsidR="00AA7518" w:rsidP="004B45EC" w:rsidRDefault="00AA7518">
      <w:pPr>
        <w:pStyle w:val="ad"/>
        <w:numPr>
          <w:ilvl w:val="0"/>
          <w:numId w:val="2"/>
        </w:numPr>
        <w:spacing w:before="120" w:after="120" w:line="360" w:lineRule="auto"/>
        <w:contextualSpacing w:val="0"/>
        <w:jc w:val="both"/>
        <w:rPr>
          <w:rFonts w:ascii="Arial" w:hAnsi="Arial"/>
          <w:noProof w:val="0"/>
          <w:rtl/>
        </w:rPr>
      </w:pPr>
      <w:r w:rsidRPr="000C4805">
        <w:rPr>
          <w:rFonts w:hint="cs" w:ascii="Arial" w:hAnsi="Arial"/>
          <w:noProof w:val="0"/>
          <w:rtl/>
        </w:rPr>
        <w:t xml:space="preserve">המומחה האורתופדי קבע למשיב נכות לצמיתות בשיעור של 5% בגין הגבלה קלה בתנועת קרסול שמאל בגין השבר שאירע לו. וכן קבע למשיב נכות זמנית של 100% לשלושה חודשים ונכות זמנית נוספת בשיעור 30% לחודשיים נוספים. המומחים לא זומנו לחקירה. </w:t>
      </w:r>
    </w:p>
    <w:p w:rsidRPr="000C4805" w:rsidR="000C4805" w:rsidP="004B45EC" w:rsidRDefault="000C4805">
      <w:pPr>
        <w:pStyle w:val="ad"/>
        <w:numPr>
          <w:ilvl w:val="0"/>
          <w:numId w:val="2"/>
        </w:numPr>
        <w:spacing w:before="120" w:after="120" w:line="360" w:lineRule="auto"/>
        <w:contextualSpacing w:val="0"/>
        <w:jc w:val="both"/>
        <w:rPr>
          <w:rFonts w:ascii="Calibri" w:hAnsi="Calibri"/>
          <w:noProof w:val="0"/>
          <w:rtl/>
        </w:rPr>
      </w:pPr>
      <w:r w:rsidRPr="000C4805">
        <w:rPr>
          <w:rFonts w:hint="cs" w:ascii="Arial" w:hAnsi="Arial"/>
          <w:noProof w:val="0"/>
          <w:rtl/>
        </w:rPr>
        <w:t xml:space="preserve">בפסק הדין קיבל בית המשפט את טענתו של המשיב לפיה היה בתקופת אי כושר רצופה במשך 20 חודשים רצופים, וזאת נגד דעתו החולקת של המומחה האורתופדי אשר קבע למשיב נכויות </w:t>
      </w:r>
      <w:r w:rsidRPr="000C4805">
        <w:rPr>
          <w:rFonts w:hint="cs" w:ascii="Arial" w:hAnsi="Arial"/>
          <w:noProof w:val="0"/>
          <w:rtl/>
        </w:rPr>
        <w:lastRenderedPageBreak/>
        <w:t xml:space="preserve">זמניות קצרות באופן משמעותי. לעניין זה ציין בית המשפט כי יש למשיב אישורי כושר רצופים מיום התאונה ועד ליום 31.12.15, מהם עולות הנחיות מפורשות </w:t>
      </w:r>
      <w:r w:rsidRPr="000C4805">
        <w:rPr>
          <w:rFonts w:hint="eastAsia" w:ascii="Calibri" w:hAnsi="Calibri"/>
          <w:noProof w:val="0"/>
          <w:rtl/>
        </w:rPr>
        <w:t>ורצופות</w:t>
      </w:r>
      <w:r w:rsidRPr="000C4805">
        <w:rPr>
          <w:rFonts w:ascii="Calibri" w:hAnsi="Calibri"/>
          <w:noProof w:val="0"/>
          <w:rtl/>
        </w:rPr>
        <w:t xml:space="preserve"> </w:t>
      </w:r>
      <w:r w:rsidRPr="000C4805">
        <w:rPr>
          <w:rFonts w:hint="eastAsia" w:ascii="Calibri" w:hAnsi="Calibri"/>
          <w:noProof w:val="0"/>
          <w:rtl/>
        </w:rPr>
        <w:t>לחופשות</w:t>
      </w:r>
      <w:r w:rsidRPr="000C4805">
        <w:rPr>
          <w:rFonts w:ascii="Calibri" w:hAnsi="Calibri"/>
          <w:noProof w:val="0"/>
          <w:rtl/>
        </w:rPr>
        <w:t xml:space="preserve"> </w:t>
      </w:r>
      <w:r w:rsidRPr="000C4805">
        <w:rPr>
          <w:rFonts w:hint="eastAsia" w:ascii="Calibri" w:hAnsi="Calibri"/>
          <w:noProof w:val="0"/>
          <w:rtl/>
        </w:rPr>
        <w:t>מחלה</w:t>
      </w:r>
      <w:r w:rsidRPr="000C4805">
        <w:rPr>
          <w:rFonts w:ascii="Calibri" w:hAnsi="Calibri"/>
          <w:noProof w:val="0"/>
          <w:rtl/>
        </w:rPr>
        <w:t xml:space="preserve">, </w:t>
      </w:r>
      <w:r w:rsidRPr="000C4805">
        <w:rPr>
          <w:rFonts w:hint="eastAsia" w:ascii="Calibri" w:hAnsi="Calibri"/>
          <w:noProof w:val="0"/>
          <w:rtl/>
        </w:rPr>
        <w:t>ביקורות</w:t>
      </w:r>
      <w:r w:rsidRPr="000C4805">
        <w:rPr>
          <w:rFonts w:ascii="Calibri" w:hAnsi="Calibri"/>
          <w:noProof w:val="0"/>
          <w:rtl/>
        </w:rPr>
        <w:t xml:space="preserve"> </w:t>
      </w:r>
      <w:r w:rsidRPr="000C4805">
        <w:rPr>
          <w:rFonts w:hint="eastAsia" w:ascii="Calibri" w:hAnsi="Calibri"/>
          <w:noProof w:val="0"/>
          <w:rtl/>
        </w:rPr>
        <w:t>והפניות</w:t>
      </w:r>
      <w:r w:rsidRPr="000C4805">
        <w:rPr>
          <w:rFonts w:ascii="Calibri" w:hAnsi="Calibri"/>
          <w:noProof w:val="0"/>
          <w:rtl/>
        </w:rPr>
        <w:t xml:space="preserve"> </w:t>
      </w:r>
      <w:r w:rsidRPr="000C4805">
        <w:rPr>
          <w:rFonts w:hint="cs" w:ascii="Calibri" w:hAnsi="Calibri"/>
          <w:noProof w:val="0"/>
          <w:rtl/>
        </w:rPr>
        <w:t xml:space="preserve">רבות </w:t>
      </w:r>
      <w:r w:rsidRPr="000C4805">
        <w:rPr>
          <w:rFonts w:hint="eastAsia" w:ascii="Calibri" w:hAnsi="Calibri"/>
          <w:noProof w:val="0"/>
          <w:rtl/>
        </w:rPr>
        <w:t>לטיפולי</w:t>
      </w:r>
      <w:r w:rsidRPr="000C4805">
        <w:rPr>
          <w:rFonts w:ascii="Calibri" w:hAnsi="Calibri"/>
          <w:noProof w:val="0"/>
          <w:rtl/>
        </w:rPr>
        <w:t xml:space="preserve"> </w:t>
      </w:r>
      <w:r w:rsidRPr="000C4805">
        <w:rPr>
          <w:rFonts w:hint="eastAsia" w:ascii="Calibri" w:hAnsi="Calibri"/>
          <w:noProof w:val="0"/>
          <w:rtl/>
        </w:rPr>
        <w:t>פיזיותרפיה</w:t>
      </w:r>
      <w:r w:rsidRPr="000C4805">
        <w:rPr>
          <w:rFonts w:hint="cs" w:ascii="Calibri" w:hAnsi="Calibri"/>
          <w:noProof w:val="0"/>
          <w:rtl/>
        </w:rPr>
        <w:t xml:space="preserve"> ומרפאת כאב</w:t>
      </w:r>
      <w:r w:rsidRPr="000C4805">
        <w:rPr>
          <w:rFonts w:ascii="Calibri" w:hAnsi="Calibri"/>
          <w:noProof w:val="0"/>
          <w:rtl/>
        </w:rPr>
        <w:t xml:space="preserve">. </w:t>
      </w:r>
      <w:r w:rsidRPr="000C4805">
        <w:rPr>
          <w:rFonts w:hint="cs" w:ascii="Calibri" w:hAnsi="Calibri"/>
          <w:noProof w:val="0"/>
          <w:rtl/>
        </w:rPr>
        <w:t xml:space="preserve">לעניין זה הוסיף בית המשפט כי </w:t>
      </w:r>
      <w:r w:rsidRPr="000C4805">
        <w:rPr>
          <w:rFonts w:hint="eastAsia" w:ascii="Calibri" w:hAnsi="Calibri"/>
          <w:noProof w:val="0"/>
          <w:rtl/>
        </w:rPr>
        <w:t>מלבד</w:t>
      </w:r>
      <w:r w:rsidRPr="000C4805">
        <w:rPr>
          <w:rFonts w:ascii="Calibri" w:hAnsi="Calibri"/>
          <w:noProof w:val="0"/>
          <w:rtl/>
        </w:rPr>
        <w:t xml:space="preserve"> </w:t>
      </w:r>
      <w:r w:rsidRPr="000C4805">
        <w:rPr>
          <w:rFonts w:hint="eastAsia" w:ascii="Calibri" w:hAnsi="Calibri"/>
          <w:noProof w:val="0"/>
          <w:rtl/>
        </w:rPr>
        <w:t>הבעייתיות</w:t>
      </w:r>
      <w:r w:rsidRPr="000C4805">
        <w:rPr>
          <w:rFonts w:ascii="Calibri" w:hAnsi="Calibri"/>
          <w:noProof w:val="0"/>
          <w:rtl/>
        </w:rPr>
        <w:t xml:space="preserve"> </w:t>
      </w:r>
      <w:r w:rsidRPr="000C4805">
        <w:rPr>
          <w:rFonts w:hint="eastAsia" w:ascii="Calibri" w:hAnsi="Calibri"/>
          <w:noProof w:val="0"/>
          <w:rtl/>
        </w:rPr>
        <w:t>בעובדה</w:t>
      </w:r>
      <w:r w:rsidRPr="000C4805">
        <w:rPr>
          <w:rFonts w:ascii="Calibri" w:hAnsi="Calibri"/>
          <w:noProof w:val="0"/>
          <w:rtl/>
        </w:rPr>
        <w:t xml:space="preserve"> </w:t>
      </w:r>
      <w:r w:rsidRPr="000C4805">
        <w:rPr>
          <w:rFonts w:hint="eastAsia" w:ascii="Calibri" w:hAnsi="Calibri"/>
          <w:noProof w:val="0"/>
          <w:rtl/>
        </w:rPr>
        <w:t>שמומחה</w:t>
      </w:r>
      <w:r w:rsidRPr="000C4805">
        <w:rPr>
          <w:rFonts w:ascii="Calibri" w:hAnsi="Calibri"/>
          <w:noProof w:val="0"/>
          <w:rtl/>
        </w:rPr>
        <w:t xml:space="preserve"> </w:t>
      </w:r>
      <w:r w:rsidRPr="000C4805">
        <w:rPr>
          <w:rFonts w:hint="eastAsia" w:ascii="Calibri" w:hAnsi="Calibri"/>
          <w:noProof w:val="0"/>
          <w:rtl/>
        </w:rPr>
        <w:t>בית</w:t>
      </w:r>
      <w:r w:rsidRPr="000C4805">
        <w:rPr>
          <w:rFonts w:ascii="Calibri" w:hAnsi="Calibri"/>
          <w:noProof w:val="0"/>
          <w:rtl/>
        </w:rPr>
        <w:t xml:space="preserve"> </w:t>
      </w:r>
      <w:r w:rsidRPr="000C4805">
        <w:rPr>
          <w:rFonts w:hint="eastAsia" w:ascii="Calibri" w:hAnsi="Calibri"/>
          <w:noProof w:val="0"/>
          <w:rtl/>
        </w:rPr>
        <w:t>המשפט</w:t>
      </w:r>
      <w:r w:rsidRPr="000C4805">
        <w:rPr>
          <w:rFonts w:ascii="Calibri" w:hAnsi="Calibri"/>
          <w:noProof w:val="0"/>
          <w:rtl/>
        </w:rPr>
        <w:t xml:space="preserve"> </w:t>
      </w:r>
      <w:r w:rsidRPr="000C4805">
        <w:rPr>
          <w:rFonts w:hint="eastAsia" w:ascii="Calibri" w:hAnsi="Calibri"/>
          <w:noProof w:val="0"/>
          <w:rtl/>
        </w:rPr>
        <w:t>קבע</w:t>
      </w:r>
      <w:r w:rsidRPr="000C4805">
        <w:rPr>
          <w:rFonts w:ascii="Calibri" w:hAnsi="Calibri"/>
          <w:noProof w:val="0"/>
          <w:rtl/>
        </w:rPr>
        <w:t xml:space="preserve"> </w:t>
      </w:r>
      <w:r w:rsidRPr="000C4805">
        <w:rPr>
          <w:rFonts w:hint="eastAsia" w:ascii="Calibri" w:hAnsi="Calibri"/>
          <w:noProof w:val="0"/>
          <w:rtl/>
        </w:rPr>
        <w:t>אי</w:t>
      </w:r>
      <w:r w:rsidRPr="000C4805">
        <w:rPr>
          <w:rFonts w:ascii="Calibri" w:hAnsi="Calibri"/>
          <w:noProof w:val="0"/>
          <w:rtl/>
        </w:rPr>
        <w:t xml:space="preserve"> </w:t>
      </w:r>
      <w:r w:rsidRPr="000C4805">
        <w:rPr>
          <w:rFonts w:hint="eastAsia" w:ascii="Calibri" w:hAnsi="Calibri"/>
          <w:noProof w:val="0"/>
          <w:rtl/>
        </w:rPr>
        <w:t>כושר</w:t>
      </w:r>
      <w:r w:rsidRPr="000C4805">
        <w:rPr>
          <w:rFonts w:ascii="Calibri" w:hAnsi="Calibri"/>
          <w:noProof w:val="0"/>
          <w:rtl/>
        </w:rPr>
        <w:t xml:space="preserve"> </w:t>
      </w:r>
      <w:r w:rsidRPr="000C4805">
        <w:rPr>
          <w:rFonts w:hint="eastAsia" w:ascii="Calibri" w:hAnsi="Calibri"/>
          <w:noProof w:val="0"/>
          <w:rtl/>
        </w:rPr>
        <w:t>מלא</w:t>
      </w:r>
      <w:r w:rsidRPr="000C4805">
        <w:rPr>
          <w:rFonts w:ascii="Calibri" w:hAnsi="Calibri"/>
          <w:noProof w:val="0"/>
          <w:rtl/>
        </w:rPr>
        <w:t xml:space="preserve"> </w:t>
      </w:r>
      <w:r w:rsidRPr="000C4805">
        <w:rPr>
          <w:rFonts w:hint="eastAsia" w:ascii="Calibri" w:hAnsi="Calibri"/>
          <w:noProof w:val="0"/>
          <w:rtl/>
        </w:rPr>
        <w:t>לתקופה</w:t>
      </w:r>
      <w:r w:rsidRPr="000C4805">
        <w:rPr>
          <w:rFonts w:ascii="Calibri" w:hAnsi="Calibri"/>
          <w:noProof w:val="0"/>
          <w:rtl/>
        </w:rPr>
        <w:t xml:space="preserve"> </w:t>
      </w:r>
      <w:r w:rsidRPr="000C4805">
        <w:rPr>
          <w:rFonts w:hint="eastAsia" w:ascii="Calibri" w:hAnsi="Calibri"/>
          <w:noProof w:val="0"/>
          <w:rtl/>
        </w:rPr>
        <w:t>של</w:t>
      </w:r>
      <w:r w:rsidRPr="000C4805">
        <w:rPr>
          <w:rFonts w:ascii="Calibri" w:hAnsi="Calibri"/>
          <w:noProof w:val="0"/>
          <w:rtl/>
        </w:rPr>
        <w:t xml:space="preserve"> 3 </w:t>
      </w:r>
      <w:r w:rsidRPr="000C4805">
        <w:rPr>
          <w:rFonts w:hint="eastAsia" w:ascii="Calibri" w:hAnsi="Calibri"/>
          <w:noProof w:val="0"/>
          <w:rtl/>
        </w:rPr>
        <w:t>חודשים</w:t>
      </w:r>
      <w:r w:rsidRPr="000C4805">
        <w:rPr>
          <w:rFonts w:ascii="Calibri" w:hAnsi="Calibri"/>
          <w:noProof w:val="0"/>
          <w:rtl/>
        </w:rPr>
        <w:t xml:space="preserve"> </w:t>
      </w:r>
      <w:r w:rsidRPr="000C4805">
        <w:rPr>
          <w:rFonts w:hint="eastAsia" w:ascii="Calibri" w:hAnsi="Calibri"/>
          <w:noProof w:val="0"/>
          <w:rtl/>
        </w:rPr>
        <w:t>בלבד</w:t>
      </w:r>
      <w:r w:rsidRPr="000C4805">
        <w:rPr>
          <w:rFonts w:ascii="Calibri" w:hAnsi="Calibri"/>
          <w:noProof w:val="0"/>
          <w:rtl/>
        </w:rPr>
        <w:t xml:space="preserve"> </w:t>
      </w:r>
      <w:r w:rsidRPr="000C4805">
        <w:rPr>
          <w:rFonts w:hint="eastAsia" w:ascii="Calibri" w:hAnsi="Calibri"/>
          <w:noProof w:val="0"/>
          <w:rtl/>
        </w:rPr>
        <w:t>בעוד</w:t>
      </w:r>
      <w:r w:rsidRPr="000C4805">
        <w:rPr>
          <w:rFonts w:ascii="Calibri" w:hAnsi="Calibri"/>
          <w:noProof w:val="0"/>
          <w:rtl/>
        </w:rPr>
        <w:t xml:space="preserve"> </w:t>
      </w:r>
      <w:r w:rsidRPr="000C4805">
        <w:rPr>
          <w:rFonts w:hint="eastAsia" w:ascii="Calibri" w:hAnsi="Calibri"/>
          <w:noProof w:val="0"/>
          <w:rtl/>
        </w:rPr>
        <w:t>הגבס</w:t>
      </w:r>
      <w:r w:rsidRPr="000C4805">
        <w:rPr>
          <w:rFonts w:ascii="Calibri" w:hAnsi="Calibri"/>
          <w:noProof w:val="0"/>
          <w:rtl/>
        </w:rPr>
        <w:t xml:space="preserve"> </w:t>
      </w:r>
      <w:r w:rsidRPr="000C4805">
        <w:rPr>
          <w:rFonts w:hint="eastAsia" w:ascii="Calibri" w:hAnsi="Calibri"/>
          <w:noProof w:val="0"/>
          <w:rtl/>
        </w:rPr>
        <w:t>הוסר</w:t>
      </w:r>
      <w:r w:rsidRPr="000C4805">
        <w:rPr>
          <w:rFonts w:ascii="Calibri" w:hAnsi="Calibri"/>
          <w:noProof w:val="0"/>
          <w:rtl/>
        </w:rPr>
        <w:t xml:space="preserve"> </w:t>
      </w:r>
      <w:r w:rsidRPr="000C4805">
        <w:rPr>
          <w:rFonts w:hint="eastAsia" w:ascii="Calibri" w:hAnsi="Calibri"/>
          <w:noProof w:val="0"/>
          <w:rtl/>
        </w:rPr>
        <w:t>מרגלו</w:t>
      </w:r>
      <w:r w:rsidRPr="000C4805">
        <w:rPr>
          <w:rFonts w:ascii="Calibri" w:hAnsi="Calibri"/>
          <w:noProof w:val="0"/>
          <w:rtl/>
        </w:rPr>
        <w:t xml:space="preserve"> </w:t>
      </w:r>
      <w:r w:rsidRPr="000C4805">
        <w:rPr>
          <w:rFonts w:hint="eastAsia" w:ascii="Calibri" w:hAnsi="Calibri"/>
          <w:noProof w:val="0"/>
          <w:rtl/>
        </w:rPr>
        <w:t>של</w:t>
      </w:r>
      <w:r w:rsidRPr="000C4805">
        <w:rPr>
          <w:rFonts w:ascii="Calibri" w:hAnsi="Calibri"/>
          <w:noProof w:val="0"/>
          <w:rtl/>
        </w:rPr>
        <w:t xml:space="preserve"> </w:t>
      </w:r>
      <w:r w:rsidRPr="000C4805">
        <w:rPr>
          <w:rFonts w:hint="eastAsia" w:ascii="Calibri" w:hAnsi="Calibri"/>
          <w:noProof w:val="0"/>
          <w:rtl/>
        </w:rPr>
        <w:t>התובע</w:t>
      </w:r>
      <w:r w:rsidRPr="000C4805">
        <w:rPr>
          <w:rFonts w:ascii="Calibri" w:hAnsi="Calibri"/>
          <w:noProof w:val="0"/>
          <w:rtl/>
        </w:rPr>
        <w:t xml:space="preserve"> </w:t>
      </w:r>
      <w:r w:rsidRPr="000C4805">
        <w:rPr>
          <w:rFonts w:hint="eastAsia" w:ascii="Calibri" w:hAnsi="Calibri"/>
          <w:noProof w:val="0"/>
          <w:rtl/>
        </w:rPr>
        <w:t>רק</w:t>
      </w:r>
      <w:r w:rsidRPr="000C4805">
        <w:rPr>
          <w:rFonts w:ascii="Calibri" w:hAnsi="Calibri"/>
          <w:noProof w:val="0"/>
          <w:rtl/>
        </w:rPr>
        <w:t xml:space="preserve"> </w:t>
      </w:r>
      <w:r w:rsidRPr="000C4805">
        <w:rPr>
          <w:rFonts w:hint="eastAsia" w:ascii="Calibri" w:hAnsi="Calibri"/>
          <w:noProof w:val="0"/>
          <w:rtl/>
        </w:rPr>
        <w:t>בחלוף</w:t>
      </w:r>
      <w:r w:rsidRPr="000C4805">
        <w:rPr>
          <w:rFonts w:ascii="Calibri" w:hAnsi="Calibri"/>
          <w:noProof w:val="0"/>
          <w:rtl/>
        </w:rPr>
        <w:t xml:space="preserve"> 4 </w:t>
      </w:r>
      <w:r w:rsidRPr="000C4805">
        <w:rPr>
          <w:rFonts w:hint="eastAsia" w:ascii="Calibri" w:hAnsi="Calibri"/>
          <w:noProof w:val="0"/>
          <w:rtl/>
        </w:rPr>
        <w:t>חודשים</w:t>
      </w:r>
      <w:r w:rsidRPr="000C4805">
        <w:rPr>
          <w:rFonts w:ascii="Calibri" w:hAnsi="Calibri"/>
          <w:noProof w:val="0"/>
          <w:rtl/>
        </w:rPr>
        <w:t xml:space="preserve"> </w:t>
      </w:r>
      <w:r w:rsidRPr="000C4805">
        <w:rPr>
          <w:rFonts w:hint="eastAsia" w:ascii="Calibri" w:hAnsi="Calibri"/>
          <w:noProof w:val="0"/>
          <w:rtl/>
        </w:rPr>
        <w:t>מהתאונה</w:t>
      </w:r>
      <w:r w:rsidRPr="000C4805">
        <w:rPr>
          <w:rFonts w:ascii="Calibri" w:hAnsi="Calibri"/>
          <w:noProof w:val="0"/>
          <w:rtl/>
        </w:rPr>
        <w:t xml:space="preserve"> </w:t>
      </w:r>
      <w:r w:rsidRPr="000C4805">
        <w:rPr>
          <w:rFonts w:hint="eastAsia" w:ascii="Calibri" w:hAnsi="Calibri"/>
          <w:noProof w:val="0"/>
          <w:rtl/>
        </w:rPr>
        <w:t>וגם</w:t>
      </w:r>
      <w:r w:rsidRPr="000C4805">
        <w:rPr>
          <w:rFonts w:ascii="Calibri" w:hAnsi="Calibri"/>
          <w:noProof w:val="0"/>
          <w:rtl/>
        </w:rPr>
        <w:t xml:space="preserve"> </w:t>
      </w:r>
      <w:r w:rsidRPr="000C4805">
        <w:rPr>
          <w:rFonts w:hint="eastAsia" w:ascii="Calibri" w:hAnsi="Calibri"/>
          <w:noProof w:val="0"/>
          <w:rtl/>
        </w:rPr>
        <w:t>אז</w:t>
      </w:r>
      <w:r w:rsidRPr="000C4805">
        <w:rPr>
          <w:rFonts w:ascii="Calibri" w:hAnsi="Calibri"/>
          <w:noProof w:val="0"/>
          <w:rtl/>
        </w:rPr>
        <w:t xml:space="preserve"> </w:t>
      </w:r>
      <w:r w:rsidRPr="000C4805">
        <w:rPr>
          <w:rFonts w:hint="eastAsia" w:ascii="Calibri" w:hAnsi="Calibri"/>
          <w:noProof w:val="0"/>
          <w:rtl/>
        </w:rPr>
        <w:t>נצטווה</w:t>
      </w:r>
      <w:r w:rsidRPr="000C4805">
        <w:rPr>
          <w:rFonts w:ascii="Calibri" w:hAnsi="Calibri"/>
          <w:noProof w:val="0"/>
          <w:rtl/>
        </w:rPr>
        <w:t xml:space="preserve"> </w:t>
      </w:r>
      <w:r w:rsidRPr="000C4805">
        <w:rPr>
          <w:rFonts w:hint="eastAsia" w:ascii="Calibri" w:hAnsi="Calibri"/>
          <w:noProof w:val="0"/>
          <w:rtl/>
        </w:rPr>
        <w:t>להתהלך</w:t>
      </w:r>
      <w:r w:rsidRPr="000C4805">
        <w:rPr>
          <w:rFonts w:ascii="Calibri" w:hAnsi="Calibri"/>
          <w:noProof w:val="0"/>
          <w:rtl/>
        </w:rPr>
        <w:t xml:space="preserve"> </w:t>
      </w:r>
      <w:r w:rsidRPr="000C4805">
        <w:rPr>
          <w:rFonts w:hint="eastAsia" w:ascii="Calibri" w:hAnsi="Calibri"/>
          <w:noProof w:val="0"/>
          <w:rtl/>
        </w:rPr>
        <w:t>עם</w:t>
      </w:r>
      <w:r w:rsidRPr="000C4805">
        <w:rPr>
          <w:rFonts w:ascii="Calibri" w:hAnsi="Calibri"/>
          <w:noProof w:val="0"/>
          <w:rtl/>
        </w:rPr>
        <w:t xml:space="preserve"> </w:t>
      </w:r>
      <w:r w:rsidRPr="000C4805">
        <w:rPr>
          <w:rFonts w:hint="eastAsia" w:ascii="Calibri" w:hAnsi="Calibri"/>
          <w:noProof w:val="0"/>
          <w:rtl/>
        </w:rPr>
        <w:t>קביים</w:t>
      </w:r>
      <w:r w:rsidRPr="000C4805">
        <w:rPr>
          <w:rFonts w:ascii="Calibri" w:hAnsi="Calibri"/>
          <w:noProof w:val="0"/>
          <w:rtl/>
        </w:rPr>
        <w:t xml:space="preserve">, </w:t>
      </w:r>
      <w:r w:rsidRPr="000C4805">
        <w:rPr>
          <w:rFonts w:hint="cs" w:ascii="Calibri" w:hAnsi="Calibri"/>
          <w:noProof w:val="0"/>
          <w:rtl/>
        </w:rPr>
        <w:t xml:space="preserve">לא נמצאה </w:t>
      </w:r>
      <w:r w:rsidRPr="000C4805">
        <w:rPr>
          <w:rFonts w:hint="eastAsia" w:ascii="Calibri" w:hAnsi="Calibri"/>
          <w:noProof w:val="0"/>
          <w:rtl/>
        </w:rPr>
        <w:t>בחוות</w:t>
      </w:r>
      <w:r w:rsidRPr="000C4805">
        <w:rPr>
          <w:rFonts w:ascii="Calibri" w:hAnsi="Calibri"/>
          <w:noProof w:val="0"/>
          <w:rtl/>
        </w:rPr>
        <w:t xml:space="preserve"> </w:t>
      </w:r>
      <w:r w:rsidRPr="000C4805">
        <w:rPr>
          <w:rFonts w:hint="eastAsia" w:ascii="Calibri" w:hAnsi="Calibri"/>
          <w:noProof w:val="0"/>
          <w:rtl/>
        </w:rPr>
        <w:t>דעתו</w:t>
      </w:r>
      <w:r w:rsidRPr="000C4805">
        <w:rPr>
          <w:rFonts w:ascii="Calibri" w:hAnsi="Calibri"/>
          <w:noProof w:val="0"/>
          <w:rtl/>
        </w:rPr>
        <w:t xml:space="preserve"> </w:t>
      </w:r>
      <w:r w:rsidRPr="000C4805">
        <w:rPr>
          <w:rFonts w:hint="cs" w:ascii="Calibri" w:hAnsi="Calibri"/>
          <w:noProof w:val="0"/>
          <w:rtl/>
        </w:rPr>
        <w:t xml:space="preserve">כל התייחסות </w:t>
      </w:r>
      <w:r w:rsidRPr="000C4805">
        <w:rPr>
          <w:rFonts w:hint="eastAsia" w:ascii="Calibri" w:hAnsi="Calibri"/>
          <w:noProof w:val="0"/>
          <w:rtl/>
        </w:rPr>
        <w:t>לשבר</w:t>
      </w:r>
      <w:r w:rsidRPr="000C4805">
        <w:rPr>
          <w:rFonts w:ascii="Calibri" w:hAnsi="Calibri"/>
          <w:noProof w:val="0"/>
          <w:rtl/>
        </w:rPr>
        <w:t xml:space="preserve"> </w:t>
      </w:r>
      <w:r w:rsidR="004B45EC">
        <w:rPr>
          <w:rFonts w:hint="cs" w:ascii="Calibri" w:hAnsi="Calibri"/>
          <w:noProof w:val="0"/>
          <w:rtl/>
        </w:rPr>
        <w:t xml:space="preserve">החוזר </w:t>
      </w:r>
      <w:r w:rsidRPr="000C4805">
        <w:rPr>
          <w:rFonts w:ascii="Calibri" w:hAnsi="Calibri"/>
          <w:noProof w:val="0"/>
          <w:rtl/>
        </w:rPr>
        <w:t xml:space="preserve"> </w:t>
      </w:r>
      <w:r w:rsidRPr="000C4805">
        <w:rPr>
          <w:rFonts w:hint="cs" w:ascii="Calibri" w:hAnsi="Calibri"/>
          <w:noProof w:val="0"/>
          <w:rtl/>
        </w:rPr>
        <w:t>(אשר נגרם למשיב ביום 1.4.15 במהלך ירידה לכביש</w:t>
      </w:r>
      <w:r w:rsidR="004B45EC">
        <w:rPr>
          <w:rFonts w:hint="cs" w:ascii="Calibri" w:hAnsi="Calibri"/>
          <w:noProof w:val="0"/>
          <w:rtl/>
        </w:rPr>
        <w:t>, שבר בשוק רגלו השמאלית, הרגל שנפגעה בתאונה מושא התביעה</w:t>
      </w:r>
      <w:r w:rsidRPr="000C4805">
        <w:rPr>
          <w:rFonts w:hint="cs" w:ascii="Calibri" w:hAnsi="Calibri"/>
          <w:noProof w:val="0"/>
          <w:rtl/>
        </w:rPr>
        <w:t xml:space="preserve">) </w:t>
      </w:r>
      <w:r w:rsidRPr="000C4805">
        <w:rPr>
          <w:rFonts w:hint="eastAsia" w:ascii="Calibri" w:hAnsi="Calibri"/>
          <w:noProof w:val="0"/>
          <w:rtl/>
        </w:rPr>
        <w:t>ולתקופת</w:t>
      </w:r>
      <w:r w:rsidRPr="000C4805">
        <w:rPr>
          <w:rFonts w:ascii="Calibri" w:hAnsi="Calibri"/>
          <w:noProof w:val="0"/>
          <w:rtl/>
        </w:rPr>
        <w:t xml:space="preserve"> </w:t>
      </w:r>
      <w:r w:rsidRPr="000C4805">
        <w:rPr>
          <w:rFonts w:hint="eastAsia" w:ascii="Calibri" w:hAnsi="Calibri"/>
          <w:noProof w:val="0"/>
          <w:rtl/>
        </w:rPr>
        <w:t>השיקום</w:t>
      </w:r>
      <w:r w:rsidRPr="000C4805">
        <w:rPr>
          <w:rFonts w:ascii="Calibri" w:hAnsi="Calibri"/>
          <w:noProof w:val="0"/>
          <w:rtl/>
        </w:rPr>
        <w:t xml:space="preserve"> </w:t>
      </w:r>
      <w:r w:rsidRPr="000C4805">
        <w:rPr>
          <w:rFonts w:hint="eastAsia" w:ascii="Calibri" w:hAnsi="Calibri"/>
          <w:noProof w:val="0"/>
          <w:rtl/>
        </w:rPr>
        <w:t>שנדרשה</w:t>
      </w:r>
      <w:r w:rsidRPr="000C4805">
        <w:rPr>
          <w:rFonts w:ascii="Calibri" w:hAnsi="Calibri"/>
          <w:noProof w:val="0"/>
          <w:rtl/>
        </w:rPr>
        <w:t xml:space="preserve"> </w:t>
      </w:r>
      <w:r w:rsidRPr="000C4805">
        <w:rPr>
          <w:rFonts w:hint="eastAsia" w:ascii="Calibri" w:hAnsi="Calibri"/>
          <w:noProof w:val="0"/>
          <w:rtl/>
        </w:rPr>
        <w:t>בעקבותיו</w:t>
      </w:r>
      <w:r w:rsidRPr="000C4805">
        <w:rPr>
          <w:rFonts w:ascii="Calibri" w:hAnsi="Calibri"/>
          <w:noProof w:val="0"/>
          <w:rtl/>
        </w:rPr>
        <w:t xml:space="preserve">. </w:t>
      </w:r>
      <w:r w:rsidRPr="000C4805">
        <w:rPr>
          <w:rFonts w:hint="cs" w:ascii="Calibri" w:hAnsi="Calibri"/>
          <w:noProof w:val="0"/>
          <w:rtl/>
        </w:rPr>
        <w:t xml:space="preserve">על כן קבע בית המשפט כי </w:t>
      </w:r>
      <w:r w:rsidRPr="000C4805">
        <w:rPr>
          <w:rFonts w:hint="eastAsia" w:ascii="Calibri" w:hAnsi="Calibri"/>
          <w:noProof w:val="0"/>
          <w:rtl/>
        </w:rPr>
        <w:t>המומחה</w:t>
      </w:r>
      <w:r w:rsidRPr="000C4805">
        <w:rPr>
          <w:rFonts w:ascii="Calibri" w:hAnsi="Calibri"/>
          <w:noProof w:val="0"/>
          <w:rtl/>
        </w:rPr>
        <w:t xml:space="preserve"> </w:t>
      </w:r>
      <w:r w:rsidRPr="000C4805">
        <w:rPr>
          <w:rFonts w:hint="eastAsia" w:ascii="Calibri" w:hAnsi="Calibri"/>
          <w:noProof w:val="0"/>
          <w:rtl/>
        </w:rPr>
        <w:t>הנכבד</w:t>
      </w:r>
      <w:r w:rsidRPr="000C4805">
        <w:rPr>
          <w:rFonts w:ascii="Calibri" w:hAnsi="Calibri"/>
          <w:noProof w:val="0"/>
          <w:rtl/>
        </w:rPr>
        <w:t xml:space="preserve"> </w:t>
      </w:r>
      <w:r w:rsidRPr="000C4805">
        <w:rPr>
          <w:rFonts w:hint="eastAsia" w:ascii="Calibri" w:hAnsi="Calibri"/>
          <w:noProof w:val="0"/>
          <w:rtl/>
        </w:rPr>
        <w:t>נקלע</w:t>
      </w:r>
      <w:r w:rsidRPr="000C4805">
        <w:rPr>
          <w:rFonts w:ascii="Calibri" w:hAnsi="Calibri"/>
          <w:noProof w:val="0"/>
          <w:rtl/>
        </w:rPr>
        <w:t xml:space="preserve"> </w:t>
      </w:r>
      <w:r w:rsidRPr="000C4805">
        <w:rPr>
          <w:rFonts w:hint="eastAsia" w:ascii="Calibri" w:hAnsi="Calibri"/>
          <w:noProof w:val="0"/>
          <w:rtl/>
        </w:rPr>
        <w:t>לכלל</w:t>
      </w:r>
      <w:r w:rsidRPr="000C4805">
        <w:rPr>
          <w:rFonts w:ascii="Calibri" w:hAnsi="Calibri"/>
          <w:noProof w:val="0"/>
          <w:rtl/>
        </w:rPr>
        <w:t xml:space="preserve"> </w:t>
      </w:r>
      <w:r w:rsidRPr="000C4805">
        <w:rPr>
          <w:rFonts w:hint="eastAsia" w:ascii="Calibri" w:hAnsi="Calibri"/>
          <w:noProof w:val="0"/>
          <w:rtl/>
        </w:rPr>
        <w:t>טעות</w:t>
      </w:r>
      <w:r w:rsidRPr="000C4805">
        <w:rPr>
          <w:rFonts w:ascii="Calibri" w:hAnsi="Calibri"/>
          <w:noProof w:val="0"/>
          <w:rtl/>
        </w:rPr>
        <w:t xml:space="preserve"> </w:t>
      </w:r>
      <w:r w:rsidRPr="000C4805">
        <w:rPr>
          <w:rFonts w:hint="eastAsia" w:ascii="Calibri" w:hAnsi="Calibri"/>
          <w:noProof w:val="0"/>
          <w:rtl/>
        </w:rPr>
        <w:t>בקביעותיו</w:t>
      </w:r>
      <w:r w:rsidRPr="000C4805">
        <w:rPr>
          <w:rFonts w:ascii="Calibri" w:hAnsi="Calibri"/>
          <w:noProof w:val="0"/>
          <w:rtl/>
        </w:rPr>
        <w:t xml:space="preserve"> </w:t>
      </w:r>
      <w:r w:rsidRPr="000C4805">
        <w:rPr>
          <w:rFonts w:hint="eastAsia" w:ascii="Calibri" w:hAnsi="Calibri"/>
          <w:noProof w:val="0"/>
          <w:rtl/>
        </w:rPr>
        <w:t>בתחום</w:t>
      </w:r>
      <w:r w:rsidRPr="000C4805">
        <w:rPr>
          <w:rFonts w:ascii="Calibri" w:hAnsi="Calibri"/>
          <w:noProof w:val="0"/>
          <w:rtl/>
        </w:rPr>
        <w:t xml:space="preserve"> </w:t>
      </w:r>
      <w:r w:rsidRPr="000C4805">
        <w:rPr>
          <w:rFonts w:hint="eastAsia" w:ascii="Calibri" w:hAnsi="Calibri"/>
          <w:noProof w:val="0"/>
          <w:rtl/>
        </w:rPr>
        <w:t>זה</w:t>
      </w:r>
      <w:r w:rsidRPr="000C4805">
        <w:rPr>
          <w:rFonts w:ascii="Calibri" w:hAnsi="Calibri"/>
          <w:noProof w:val="0"/>
          <w:rtl/>
        </w:rPr>
        <w:t xml:space="preserve"> </w:t>
      </w:r>
      <w:r w:rsidRPr="000C4805">
        <w:rPr>
          <w:rFonts w:hint="cs" w:ascii="Calibri" w:hAnsi="Calibri"/>
          <w:noProof w:val="0"/>
          <w:rtl/>
        </w:rPr>
        <w:t xml:space="preserve">והוא אינו יכול </w:t>
      </w:r>
      <w:r w:rsidRPr="000C4805">
        <w:rPr>
          <w:rFonts w:hint="eastAsia" w:ascii="Calibri" w:hAnsi="Calibri"/>
          <w:noProof w:val="0"/>
          <w:rtl/>
        </w:rPr>
        <w:t>לאמצן</w:t>
      </w:r>
      <w:r w:rsidRPr="000C4805">
        <w:rPr>
          <w:rFonts w:ascii="Calibri" w:hAnsi="Calibri"/>
          <w:noProof w:val="0"/>
          <w:rtl/>
        </w:rPr>
        <w:t xml:space="preserve">,  </w:t>
      </w:r>
      <w:r w:rsidRPr="000C4805">
        <w:rPr>
          <w:rFonts w:hint="cs" w:ascii="Calibri" w:hAnsi="Calibri"/>
          <w:noProof w:val="0"/>
          <w:rtl/>
        </w:rPr>
        <w:t xml:space="preserve">אף כי המומחה לא </w:t>
      </w:r>
      <w:r w:rsidRPr="000C4805">
        <w:rPr>
          <w:rFonts w:hint="eastAsia" w:ascii="Calibri" w:hAnsi="Calibri"/>
          <w:noProof w:val="0"/>
          <w:rtl/>
        </w:rPr>
        <w:t>נחקר</w:t>
      </w:r>
      <w:r w:rsidRPr="000C4805">
        <w:rPr>
          <w:rFonts w:ascii="Calibri" w:hAnsi="Calibri"/>
          <w:noProof w:val="0"/>
          <w:rtl/>
        </w:rPr>
        <w:t>.</w:t>
      </w:r>
    </w:p>
    <w:p w:rsidRPr="000C4805" w:rsidR="000C4805" w:rsidP="000C4805" w:rsidRDefault="000C4805">
      <w:pPr>
        <w:pStyle w:val="ad"/>
        <w:numPr>
          <w:ilvl w:val="0"/>
          <w:numId w:val="2"/>
        </w:numPr>
        <w:spacing w:before="120" w:after="120" w:line="360" w:lineRule="auto"/>
        <w:contextualSpacing w:val="0"/>
        <w:jc w:val="both"/>
        <w:rPr>
          <w:rFonts w:ascii="Calibri" w:hAnsi="Calibri"/>
          <w:noProof w:val="0"/>
          <w:rtl/>
        </w:rPr>
      </w:pPr>
      <w:r w:rsidRPr="000C4805">
        <w:rPr>
          <w:rFonts w:hint="cs" w:ascii="Calibri" w:hAnsi="Calibri"/>
          <w:noProof w:val="0"/>
          <w:rtl/>
        </w:rPr>
        <w:t xml:space="preserve">על כן פסק בית משפט למשיב בגין הפסד שכר לעבר לתקופה של 20 חודשים את הסך של 138,000 </w:t>
      </w:r>
      <w:r w:rsidRPr="000C4805">
        <w:rPr>
          <w:rFonts w:hint="eastAsia" w:ascii="Calibri" w:hAnsi="Calibri"/>
          <w:noProof w:val="0"/>
          <w:rtl/>
        </w:rPr>
        <w:t>₪</w:t>
      </w:r>
      <w:r w:rsidRPr="000C4805">
        <w:rPr>
          <w:rFonts w:hint="cs" w:ascii="Calibri" w:hAnsi="Calibri"/>
          <w:noProof w:val="0"/>
          <w:rtl/>
        </w:rPr>
        <w:t xml:space="preserve"> לפי הפסד חודשי של 6,900 </w:t>
      </w:r>
      <w:r w:rsidRPr="000C4805">
        <w:rPr>
          <w:rFonts w:hint="eastAsia" w:ascii="Calibri" w:hAnsi="Calibri"/>
          <w:noProof w:val="0"/>
          <w:rtl/>
        </w:rPr>
        <w:t>₪</w:t>
      </w:r>
      <w:r w:rsidRPr="000C4805">
        <w:rPr>
          <w:rFonts w:hint="cs" w:ascii="Calibri" w:hAnsi="Calibri"/>
          <w:noProof w:val="0"/>
          <w:rtl/>
        </w:rPr>
        <w:t xml:space="preserve">. בנוסף נפסק למשיב הפסד שכר של 5,400 </w:t>
      </w:r>
      <w:r w:rsidRPr="000C4805">
        <w:rPr>
          <w:rFonts w:hint="eastAsia" w:ascii="Calibri" w:hAnsi="Calibri"/>
          <w:noProof w:val="0"/>
          <w:rtl/>
        </w:rPr>
        <w:t>₪</w:t>
      </w:r>
      <w:r w:rsidRPr="000C4805">
        <w:rPr>
          <w:rFonts w:hint="cs" w:ascii="Calibri" w:hAnsi="Calibri"/>
          <w:noProof w:val="0"/>
          <w:rtl/>
        </w:rPr>
        <w:t xml:space="preserve"> בגין חודשים 12/2015- 02/2016. סך הכל סך של 143,400 </w:t>
      </w:r>
      <w:r w:rsidRPr="000C4805">
        <w:rPr>
          <w:rFonts w:hint="eastAsia" w:ascii="Calibri" w:hAnsi="Calibri"/>
          <w:noProof w:val="0"/>
          <w:rtl/>
        </w:rPr>
        <w:t>₪</w:t>
      </w:r>
      <w:r w:rsidRPr="000C4805">
        <w:rPr>
          <w:rFonts w:hint="cs" w:ascii="Calibri" w:hAnsi="Calibri"/>
          <w:noProof w:val="0"/>
          <w:rtl/>
        </w:rPr>
        <w:t xml:space="preserve"> בצירוף הפסדי פנסיה </w:t>
      </w:r>
      <w:r w:rsidRPr="000C4805">
        <w:rPr>
          <w:rFonts w:ascii="Calibri" w:hAnsi="Calibri"/>
          <w:noProof w:val="0"/>
          <w:rtl/>
        </w:rPr>
        <w:t>–</w:t>
      </w:r>
      <w:r w:rsidRPr="000C4805">
        <w:rPr>
          <w:rFonts w:hint="cs" w:ascii="Calibri" w:hAnsi="Calibri"/>
          <w:noProof w:val="0"/>
          <w:rtl/>
        </w:rPr>
        <w:t xml:space="preserve"> נפסק לעבר סך של 164,163 </w:t>
      </w:r>
      <w:r w:rsidRPr="000C4805">
        <w:rPr>
          <w:rFonts w:hint="eastAsia" w:ascii="Calibri" w:hAnsi="Calibri"/>
          <w:noProof w:val="0"/>
          <w:rtl/>
        </w:rPr>
        <w:t>₪</w:t>
      </w:r>
      <w:r w:rsidRPr="000C4805">
        <w:rPr>
          <w:rFonts w:hint="cs" w:ascii="Calibri" w:hAnsi="Calibri"/>
          <w:noProof w:val="0"/>
          <w:rtl/>
        </w:rPr>
        <w:t xml:space="preserve">. </w:t>
      </w:r>
    </w:p>
    <w:p w:rsidRPr="000C4805" w:rsidR="00694556" w:rsidP="000C4805" w:rsidRDefault="000C4805">
      <w:pPr>
        <w:pStyle w:val="ad"/>
        <w:numPr>
          <w:ilvl w:val="0"/>
          <w:numId w:val="2"/>
        </w:numPr>
        <w:spacing w:before="120" w:after="120" w:line="360" w:lineRule="auto"/>
        <w:contextualSpacing w:val="0"/>
        <w:jc w:val="both"/>
        <w:rPr>
          <w:rFonts w:ascii="Arial" w:hAnsi="Arial"/>
          <w:noProof w:val="0"/>
          <w:rtl/>
        </w:rPr>
      </w:pPr>
      <w:r w:rsidRPr="000C4805">
        <w:rPr>
          <w:rFonts w:hint="cs" w:ascii="Arial" w:hAnsi="Arial"/>
          <w:noProof w:val="0"/>
          <w:rtl/>
        </w:rPr>
        <w:t xml:space="preserve">בגין הפסדי השתכרות והפסדי פנסיה לעתיד קבע בית משפט כי נוכח תאונה נוספת אשר אירעה למשיב לאחר התאונה מושא התביעה, אשר הייתה חמורה באופן ממשי מהתאונה הראשונה ופגעה באותו איבר, מהווה </w:t>
      </w:r>
      <w:r w:rsidR="004B45EC">
        <w:rPr>
          <w:rFonts w:hint="cs" w:ascii="Arial" w:hAnsi="Arial"/>
          <w:noProof w:val="0"/>
          <w:rtl/>
        </w:rPr>
        <w:t>התאונה השנ</w:t>
      </w:r>
      <w:r w:rsidR="005C0C1C">
        <w:rPr>
          <w:rFonts w:hint="cs" w:ascii="Arial" w:hAnsi="Arial"/>
          <w:noProof w:val="0"/>
          <w:rtl/>
        </w:rPr>
        <w:t>י</w:t>
      </w:r>
      <w:r w:rsidR="004B45EC">
        <w:rPr>
          <w:rFonts w:hint="cs" w:ascii="Arial" w:hAnsi="Arial"/>
          <w:noProof w:val="0"/>
          <w:rtl/>
        </w:rPr>
        <w:t xml:space="preserve">יה </w:t>
      </w:r>
      <w:r w:rsidRPr="000C4805">
        <w:rPr>
          <w:rFonts w:hint="cs" w:ascii="Arial" w:hAnsi="Arial"/>
          <w:noProof w:val="0"/>
          <w:rtl/>
        </w:rPr>
        <w:t xml:space="preserve">ניתוק חלקי של הקשר הסיבתי בין נכותו </w:t>
      </w:r>
      <w:r w:rsidR="004B45EC">
        <w:rPr>
          <w:rFonts w:hint="cs" w:ascii="Arial" w:hAnsi="Arial"/>
          <w:noProof w:val="0"/>
          <w:rtl/>
        </w:rPr>
        <w:t xml:space="preserve">של המשיב </w:t>
      </w:r>
      <w:r w:rsidRPr="000C4805">
        <w:rPr>
          <w:rFonts w:hint="cs" w:ascii="Arial" w:hAnsi="Arial"/>
          <w:noProof w:val="0"/>
          <w:rtl/>
        </w:rPr>
        <w:t xml:space="preserve">לנזקיו לעתיד. יחד עם זאת ונוכח נכותו הנפשית בגין התאונה יש לפסוק לו הפסדי השתכרות ופנסיה לעתיד בסכום גלובאלי של 39,375 ₪. </w:t>
      </w:r>
    </w:p>
    <w:p w:rsidRPr="000C4805" w:rsidR="000C4805" w:rsidP="000C4805" w:rsidRDefault="000C4805">
      <w:pPr>
        <w:pStyle w:val="ad"/>
        <w:numPr>
          <w:ilvl w:val="0"/>
          <w:numId w:val="2"/>
        </w:numPr>
        <w:spacing w:before="120" w:after="120" w:line="360" w:lineRule="auto"/>
        <w:contextualSpacing w:val="0"/>
        <w:jc w:val="both"/>
        <w:rPr>
          <w:rFonts w:ascii="Arial" w:hAnsi="Arial"/>
          <w:noProof w:val="0"/>
          <w:rtl/>
        </w:rPr>
      </w:pPr>
      <w:r w:rsidRPr="000C4805">
        <w:rPr>
          <w:rFonts w:hint="cs" w:ascii="Arial" w:hAnsi="Arial"/>
          <w:noProof w:val="0"/>
          <w:rtl/>
        </w:rPr>
        <w:t xml:space="preserve">בגין הוצאות רפואיות ונסיעות נפסק למשיב סך של 20,000 ₪. בגין עזרת צד ג' לעבר ולעתיד, ובשים לב לתקופת אי הכושר הארוכה של המשיב, והפחיתה שהוכחה משכרה של אשתו, נפסק למשיב סך של 40,000 ₪. </w:t>
      </w:r>
    </w:p>
    <w:p w:rsidRPr="000C4805" w:rsidR="000C4805" w:rsidP="000C4805" w:rsidRDefault="000C4805">
      <w:pPr>
        <w:pStyle w:val="ad"/>
        <w:numPr>
          <w:ilvl w:val="0"/>
          <w:numId w:val="2"/>
        </w:numPr>
        <w:spacing w:before="120" w:after="120" w:line="360" w:lineRule="auto"/>
        <w:contextualSpacing w:val="0"/>
        <w:jc w:val="both"/>
        <w:rPr>
          <w:rFonts w:ascii="Arial" w:hAnsi="Arial"/>
          <w:noProof w:val="0"/>
          <w:rtl/>
        </w:rPr>
      </w:pPr>
      <w:r w:rsidRPr="000C4805">
        <w:rPr>
          <w:rFonts w:hint="cs" w:ascii="Arial" w:hAnsi="Arial"/>
          <w:noProof w:val="0"/>
          <w:rtl/>
        </w:rPr>
        <w:t xml:space="preserve">בגין כאב וסבל נפסק למשיב סך של 15,079 ₪. </w:t>
      </w:r>
    </w:p>
    <w:p w:rsidRPr="000C4805" w:rsidR="000C4805" w:rsidP="000C4805" w:rsidRDefault="000C4805">
      <w:pPr>
        <w:pStyle w:val="ad"/>
        <w:numPr>
          <w:ilvl w:val="0"/>
          <w:numId w:val="2"/>
        </w:numPr>
        <w:spacing w:before="120" w:after="120" w:line="360" w:lineRule="auto"/>
        <w:contextualSpacing w:val="0"/>
        <w:jc w:val="both"/>
        <w:rPr>
          <w:rFonts w:ascii="Arial" w:hAnsi="Arial"/>
          <w:noProof w:val="0"/>
          <w:rtl/>
        </w:rPr>
      </w:pPr>
      <w:r w:rsidRPr="000C4805">
        <w:rPr>
          <w:rFonts w:hint="cs" w:ascii="Arial" w:hAnsi="Arial"/>
          <w:noProof w:val="0"/>
          <w:rtl/>
        </w:rPr>
        <w:t xml:space="preserve">סה"כ נפסק למשיב סך של 278,617 ₪, כאשר מהם נוכו תגמולי מל"ל בסך של 69,506 ₪, כך שלאחר ניכויים על המבקשת לשלם למשיב סך </w:t>
      </w:r>
      <w:r w:rsidRPr="005844D1">
        <w:rPr>
          <w:rFonts w:hint="cs" w:ascii="Arial" w:hAnsi="Arial"/>
          <w:b/>
          <w:bCs/>
          <w:noProof w:val="0"/>
          <w:rtl/>
        </w:rPr>
        <w:t xml:space="preserve">של 209,111 ₪ </w:t>
      </w:r>
      <w:r w:rsidRPr="000C4805">
        <w:rPr>
          <w:rFonts w:hint="cs" w:ascii="Arial" w:hAnsi="Arial"/>
          <w:noProof w:val="0"/>
          <w:rtl/>
        </w:rPr>
        <w:t xml:space="preserve">בתוספת שכר טרחת עו"ד והוצאות. </w:t>
      </w:r>
    </w:p>
    <w:p w:rsidRPr="000C4805" w:rsidR="000C4805" w:rsidP="000C4805" w:rsidRDefault="000C4805">
      <w:pPr>
        <w:spacing w:before="120" w:after="120" w:line="360" w:lineRule="auto"/>
        <w:jc w:val="both"/>
        <w:rPr>
          <w:rFonts w:ascii="Arial" w:hAnsi="Arial"/>
          <w:b/>
          <w:bCs/>
          <w:noProof w:val="0"/>
          <w:u w:val="single"/>
          <w:rtl/>
        </w:rPr>
      </w:pPr>
      <w:r w:rsidRPr="000C4805">
        <w:rPr>
          <w:rFonts w:hint="cs" w:ascii="Arial" w:hAnsi="Arial"/>
          <w:b/>
          <w:bCs/>
          <w:noProof w:val="0"/>
          <w:u w:val="single"/>
          <w:rtl/>
        </w:rPr>
        <w:t xml:space="preserve">הבקשה לעיכוב ביצוע פסק דין </w:t>
      </w:r>
    </w:p>
    <w:p w:rsidRPr="000C4805" w:rsidR="000C4805" w:rsidP="004B45EC" w:rsidRDefault="000C4805">
      <w:pPr>
        <w:pStyle w:val="ad"/>
        <w:numPr>
          <w:ilvl w:val="0"/>
          <w:numId w:val="2"/>
        </w:numPr>
        <w:spacing w:before="120" w:after="120" w:line="360" w:lineRule="auto"/>
        <w:contextualSpacing w:val="0"/>
        <w:jc w:val="both"/>
        <w:rPr>
          <w:rFonts w:ascii="Arial" w:hAnsi="Arial"/>
          <w:noProof w:val="0"/>
          <w:rtl/>
        </w:rPr>
      </w:pPr>
      <w:r w:rsidRPr="000C4805">
        <w:rPr>
          <w:rFonts w:hint="cs" w:ascii="Arial" w:hAnsi="Arial"/>
          <w:noProof w:val="0"/>
          <w:rtl/>
        </w:rPr>
        <w:t xml:space="preserve">לטענת המבקשת טעה בית משפט קמא עת קבע כי כתוצאה מהתאונה היה המשיב באי כושר תקופה של 20 חודשים, שהיא תקופה ארוכה מזו שנקבעה על ידי מומחי בית משפט, וכאשר המשיב לא טרח לזמן המומחה לחקירה על חוות דעתו, </w:t>
      </w:r>
      <w:r w:rsidR="004B45EC">
        <w:rPr>
          <w:rFonts w:hint="cs" w:ascii="Arial" w:hAnsi="Arial"/>
          <w:noProof w:val="0"/>
          <w:rtl/>
        </w:rPr>
        <w:t xml:space="preserve">וכאשר המומחה אף </w:t>
      </w:r>
      <w:r w:rsidRPr="000C4805">
        <w:rPr>
          <w:rFonts w:hint="cs" w:ascii="Arial" w:hAnsi="Arial"/>
          <w:noProof w:val="0"/>
          <w:rtl/>
        </w:rPr>
        <w:t xml:space="preserve">חזר על עמדתו במסגרת שאלות הבהרה שנשלחו לו. על כן טוענת המבקשת כי שגה בית משפט עת פסק למשיב </w:t>
      </w:r>
      <w:r w:rsidRPr="000C4805">
        <w:rPr>
          <w:rFonts w:hint="cs" w:ascii="Arial" w:hAnsi="Arial"/>
          <w:noProof w:val="0"/>
          <w:rtl/>
        </w:rPr>
        <w:lastRenderedPageBreak/>
        <w:t xml:space="preserve">את שפסק בגין הפסדי השתכרות לעבר, קביעה אשר אינה מתיישבת עם הנכות הזמנית אשר נפסקה על ידי המומחה האורתופדי. </w:t>
      </w:r>
    </w:p>
    <w:p w:rsidRPr="000C4805" w:rsidR="000C4805" w:rsidP="000C4805" w:rsidRDefault="000C4805">
      <w:pPr>
        <w:pStyle w:val="ad"/>
        <w:numPr>
          <w:ilvl w:val="0"/>
          <w:numId w:val="2"/>
        </w:numPr>
        <w:spacing w:before="120" w:after="120" w:line="360" w:lineRule="auto"/>
        <w:contextualSpacing w:val="0"/>
        <w:jc w:val="both"/>
        <w:rPr>
          <w:rFonts w:ascii="Arial" w:hAnsi="Arial"/>
          <w:noProof w:val="0"/>
          <w:rtl/>
        </w:rPr>
      </w:pPr>
      <w:r w:rsidRPr="000C4805">
        <w:rPr>
          <w:rFonts w:hint="cs" w:ascii="Arial" w:hAnsi="Arial"/>
          <w:noProof w:val="0"/>
          <w:rtl/>
        </w:rPr>
        <w:t>עוד טוענת המבקשת כי שגה בית משפט בפסיקת 40,000 ₪ בגין עזרת הזולת אשר כוללים חישוב שגוי של פחיתה בשכרה של אשת המשיב.</w:t>
      </w:r>
    </w:p>
    <w:p w:rsidRPr="000C4805" w:rsidR="000C4805" w:rsidP="007E11A0" w:rsidRDefault="000C4805">
      <w:pPr>
        <w:pStyle w:val="ad"/>
        <w:numPr>
          <w:ilvl w:val="0"/>
          <w:numId w:val="2"/>
        </w:numPr>
        <w:spacing w:before="120" w:after="120" w:line="360" w:lineRule="auto"/>
        <w:contextualSpacing w:val="0"/>
        <w:jc w:val="both"/>
        <w:rPr>
          <w:rFonts w:ascii="Arial" w:hAnsi="Arial"/>
          <w:noProof w:val="0"/>
          <w:rtl/>
        </w:rPr>
      </w:pPr>
      <w:r w:rsidRPr="000C4805">
        <w:rPr>
          <w:rFonts w:hint="cs" w:ascii="Arial" w:hAnsi="Arial"/>
          <w:noProof w:val="0"/>
          <w:rtl/>
        </w:rPr>
        <w:t>לטענת המבקשת על פי הפסיקה גובה הסכום שנפסק לטובת נפגע מהווה שיקול בהערכת מידת הקושי בהשבתו במקרה בו יתקבל הערעור ופסק הדין ייהפך בערעור. על כן ונוכח סכום פסק הדין י</w:t>
      </w:r>
      <w:r w:rsidR="007E11A0">
        <w:rPr>
          <w:rFonts w:hint="cs" w:ascii="Arial" w:hAnsi="Arial"/>
          <w:noProof w:val="0"/>
          <w:rtl/>
        </w:rPr>
        <w:t>ת</w:t>
      </w:r>
      <w:r w:rsidRPr="000C4805">
        <w:rPr>
          <w:rFonts w:hint="cs" w:ascii="Arial" w:hAnsi="Arial"/>
          <w:noProof w:val="0"/>
          <w:rtl/>
        </w:rPr>
        <w:t>קשה המשיב בהשבת הכספים ה</w:t>
      </w:r>
      <w:r w:rsidR="007E11A0">
        <w:rPr>
          <w:rFonts w:hint="cs" w:ascii="Arial" w:hAnsi="Arial"/>
          <w:noProof w:val="0"/>
          <w:rtl/>
        </w:rPr>
        <w:t>יה</w:t>
      </w:r>
      <w:r w:rsidRPr="000C4805">
        <w:rPr>
          <w:rFonts w:hint="cs" w:ascii="Arial" w:hAnsi="Arial"/>
          <w:noProof w:val="0"/>
          <w:rtl/>
        </w:rPr>
        <w:t xml:space="preserve"> והמבקשת תזכה בערעור. </w:t>
      </w:r>
    </w:p>
    <w:p w:rsidR="000C4805" w:rsidP="000C4805" w:rsidRDefault="000C4805">
      <w:pPr>
        <w:pStyle w:val="ad"/>
        <w:numPr>
          <w:ilvl w:val="0"/>
          <w:numId w:val="2"/>
        </w:numPr>
        <w:spacing w:before="120" w:after="120" w:line="360" w:lineRule="auto"/>
        <w:contextualSpacing w:val="0"/>
        <w:jc w:val="both"/>
        <w:rPr>
          <w:rFonts w:ascii="Arial" w:hAnsi="Arial"/>
          <w:noProof w:val="0"/>
        </w:rPr>
      </w:pPr>
      <w:r w:rsidRPr="000C4805">
        <w:rPr>
          <w:rFonts w:hint="cs" w:ascii="Arial" w:hAnsi="Arial"/>
          <w:noProof w:val="0"/>
          <w:rtl/>
        </w:rPr>
        <w:t xml:space="preserve">בנסיבות אלו עותרת המבקשת לעיכוב סך של 150,000 ₪ בצירוף שכ"ט עו"ד, ובסך הכל לעכב סך של 172,815 ₪. </w:t>
      </w:r>
    </w:p>
    <w:p w:rsidRPr="000C4805" w:rsidR="000C4805" w:rsidP="000C4805" w:rsidRDefault="000C4805">
      <w:pPr>
        <w:spacing w:before="120" w:after="120" w:line="360" w:lineRule="auto"/>
        <w:jc w:val="both"/>
        <w:rPr>
          <w:rFonts w:ascii="Arial" w:hAnsi="Arial"/>
          <w:noProof w:val="0"/>
          <w:rtl/>
        </w:rPr>
      </w:pPr>
      <w:r w:rsidRPr="000C4805">
        <w:rPr>
          <w:rFonts w:hint="cs" w:ascii="Arial" w:hAnsi="Arial"/>
          <w:b/>
          <w:bCs/>
          <w:noProof w:val="0"/>
          <w:u w:val="single"/>
          <w:rtl/>
        </w:rPr>
        <w:t xml:space="preserve">תגובת המשיב </w:t>
      </w:r>
    </w:p>
    <w:p w:rsidRPr="000C4805" w:rsidR="000C4805" w:rsidP="000C4805" w:rsidRDefault="000C4805">
      <w:pPr>
        <w:pStyle w:val="ad"/>
        <w:numPr>
          <w:ilvl w:val="0"/>
          <w:numId w:val="2"/>
        </w:numPr>
        <w:spacing w:before="120" w:after="120" w:line="360" w:lineRule="auto"/>
        <w:contextualSpacing w:val="0"/>
        <w:jc w:val="both"/>
        <w:rPr>
          <w:rFonts w:ascii="Arial" w:hAnsi="Arial"/>
          <w:noProof w:val="0"/>
          <w:rtl/>
        </w:rPr>
      </w:pPr>
      <w:r w:rsidRPr="000C4805">
        <w:rPr>
          <w:rFonts w:hint="cs" w:ascii="Arial" w:hAnsi="Arial"/>
          <w:noProof w:val="0"/>
          <w:rtl/>
        </w:rPr>
        <w:t xml:space="preserve">לטענת המשיב יש לדחות הבקשה שכן המדובר בערעור אשר סיכוייו קלושים והטענות המועלות בו הועלו גם בסיכומי המבקשת ופסק הדין המנומק ניתן לאחר שהועלו. </w:t>
      </w:r>
    </w:p>
    <w:p w:rsidRPr="000C4805" w:rsidR="000C4805" w:rsidP="000C4805" w:rsidRDefault="000C4805">
      <w:pPr>
        <w:pStyle w:val="ad"/>
        <w:numPr>
          <w:ilvl w:val="0"/>
          <w:numId w:val="2"/>
        </w:numPr>
        <w:spacing w:before="120" w:after="120" w:line="360" w:lineRule="auto"/>
        <w:contextualSpacing w:val="0"/>
        <w:jc w:val="both"/>
        <w:rPr>
          <w:rFonts w:ascii="Arial" w:hAnsi="Arial"/>
          <w:noProof w:val="0"/>
          <w:rtl/>
        </w:rPr>
      </w:pPr>
      <w:r w:rsidRPr="000C4805">
        <w:rPr>
          <w:rFonts w:hint="cs" w:ascii="Arial" w:hAnsi="Arial"/>
          <w:noProof w:val="0"/>
          <w:rtl/>
        </w:rPr>
        <w:t xml:space="preserve">הסכומים שנפסקו בגין רכיב הפסדי שכר לעבר היו מבוססים על ראיות ומנומקים ביותר, ואילו ביתר רכיבי הפיצוי  היו הסכומים צנועים יותר ונמוכים מהמקובל. כך אף הפיצויים בגין עזרת הזולת והוצאות אשר נפסקו באופן גלובאלי ועל הצד הנמוך. </w:t>
      </w:r>
    </w:p>
    <w:p w:rsidRPr="000C4805" w:rsidR="000C4805" w:rsidP="000C4805" w:rsidRDefault="000C4805">
      <w:pPr>
        <w:pStyle w:val="ad"/>
        <w:numPr>
          <w:ilvl w:val="0"/>
          <w:numId w:val="2"/>
        </w:numPr>
        <w:spacing w:before="120" w:after="120" w:line="360" w:lineRule="auto"/>
        <w:contextualSpacing w:val="0"/>
        <w:jc w:val="both"/>
        <w:rPr>
          <w:rFonts w:ascii="Arial" w:hAnsi="Arial"/>
          <w:noProof w:val="0"/>
          <w:rtl/>
        </w:rPr>
      </w:pPr>
      <w:r w:rsidRPr="000C4805">
        <w:rPr>
          <w:rFonts w:hint="cs" w:ascii="Arial" w:hAnsi="Arial"/>
          <w:noProof w:val="0"/>
          <w:rtl/>
        </w:rPr>
        <w:t xml:space="preserve">עוד טוען המשיב כי הטענה כי אין בעיכוב כדי לפגוע במשיב אין בה ממש שכן בעקבות התאונה היה המשיב באי כושר מלא במשך 20 חודשים בהם לא התפרנס ונגרמו לו הפסדי שכר כמפורט בפסק הדין. </w:t>
      </w:r>
    </w:p>
    <w:p w:rsidRPr="000C4805" w:rsidR="000C4805" w:rsidP="000C4805" w:rsidRDefault="000C4805">
      <w:pPr>
        <w:pStyle w:val="ad"/>
        <w:numPr>
          <w:ilvl w:val="0"/>
          <w:numId w:val="2"/>
        </w:numPr>
        <w:spacing w:before="120" w:after="120" w:line="360" w:lineRule="auto"/>
        <w:contextualSpacing w:val="0"/>
        <w:jc w:val="both"/>
        <w:rPr>
          <w:rFonts w:ascii="Arial" w:hAnsi="Arial"/>
          <w:noProof w:val="0"/>
          <w:rtl/>
        </w:rPr>
      </w:pPr>
      <w:r w:rsidRPr="000C4805">
        <w:rPr>
          <w:rFonts w:hint="cs" w:ascii="Arial" w:hAnsi="Arial"/>
          <w:noProof w:val="0"/>
          <w:rtl/>
        </w:rPr>
        <w:t xml:space="preserve">באשר לטענת המבקשת לפיה יקשה עליה לגבות את הכספים חזרה נטען כי המדובר בטענות כלליות, וכי למשיב ורעייתו דירת מגורים בבעלותם עם משכנתא אשר אמורה להסתיים בשנים הקרובות. </w:t>
      </w:r>
    </w:p>
    <w:p w:rsidRPr="000C4805" w:rsidR="000C4805" w:rsidP="000C4805" w:rsidRDefault="000C4805">
      <w:pPr>
        <w:spacing w:before="120" w:after="120" w:line="360" w:lineRule="auto"/>
        <w:jc w:val="both"/>
        <w:rPr>
          <w:rFonts w:ascii="Arial" w:hAnsi="Arial"/>
          <w:b/>
          <w:bCs/>
          <w:noProof w:val="0"/>
          <w:u w:val="single"/>
          <w:rtl/>
        </w:rPr>
      </w:pPr>
      <w:r w:rsidRPr="000C4805">
        <w:rPr>
          <w:rFonts w:hint="cs" w:ascii="Arial" w:hAnsi="Arial"/>
          <w:b/>
          <w:bCs/>
          <w:noProof w:val="0"/>
          <w:u w:val="single"/>
          <w:rtl/>
        </w:rPr>
        <w:t xml:space="preserve">דיון והכרעה </w:t>
      </w:r>
    </w:p>
    <w:p w:rsidRPr="000C4805" w:rsidR="000C4805" w:rsidP="000C4805" w:rsidRDefault="000C4805">
      <w:pPr>
        <w:pStyle w:val="ad"/>
        <w:numPr>
          <w:ilvl w:val="0"/>
          <w:numId w:val="2"/>
        </w:numPr>
        <w:spacing w:before="120" w:after="120" w:line="360" w:lineRule="auto"/>
        <w:contextualSpacing w:val="0"/>
        <w:jc w:val="both"/>
        <w:rPr>
          <w:rFonts w:ascii="Arial" w:hAnsi="Arial"/>
          <w:noProof w:val="0"/>
        </w:rPr>
      </w:pPr>
      <w:r w:rsidRPr="000C4805">
        <w:rPr>
          <w:rFonts w:ascii="Arial" w:hAnsi="Arial"/>
          <w:noProof w:val="0"/>
          <w:rtl/>
        </w:rPr>
        <w:t xml:space="preserve">בהתאם להלכה הפסוקה בעל דין זכאי, ככלל, ליהנות מפירות זכייתו בסמוך לאחר מתן פסק-הדין, ואין בהגשת ערעור על פסק הדין כדי לעכב את ביצועו. הגישה במקרים מסוג זה נוטה, אפוא, שלא לעכב את הביצוע, להוציא מצבים חריגים ויוצאי דופן. החריג מתממש כאשר עולה בידו של מי שחויב בביצועו של פסק הדין לשכנע כי מתקיימים שני תנאים מצטברים: האחד, כי סיכויי הערעור להתקבל טובים, והשני, כי מאזן הנוחות נוטה באופן מובהק לטובתו, במובן זה שקיים חשש של ממש שאם המבקש יזכה בערעור הוא לא יוכל לגבות בחזרה את כספו (ראו  עא 5333/14 ‏ ‏ </w:t>
      </w:r>
      <w:r w:rsidRPr="000C4805">
        <w:rPr>
          <w:rFonts w:ascii="Arial" w:hAnsi="Arial"/>
          <w:b/>
          <w:bCs/>
          <w:noProof w:val="0"/>
          <w:rtl/>
        </w:rPr>
        <w:t>נאות חן הנדסה וייזום בע"מ נ' לזרוב אדמונד</w:t>
      </w:r>
      <w:r w:rsidRPr="000C4805">
        <w:rPr>
          <w:rFonts w:ascii="Arial" w:hAnsi="Arial"/>
          <w:noProof w:val="0"/>
          <w:rtl/>
        </w:rPr>
        <w:t>, מיום 13.1014, להלן: "</w:t>
      </w:r>
      <w:r w:rsidRPr="000C4805">
        <w:rPr>
          <w:rFonts w:ascii="Arial" w:hAnsi="Arial"/>
          <w:b/>
          <w:bCs/>
          <w:noProof w:val="0"/>
          <w:rtl/>
        </w:rPr>
        <w:t xml:space="preserve">ההחלטה בעניין נאות </w:t>
      </w:r>
      <w:r w:rsidRPr="000C4805">
        <w:rPr>
          <w:rFonts w:ascii="Arial" w:hAnsi="Arial"/>
          <w:b/>
          <w:bCs/>
          <w:noProof w:val="0"/>
          <w:rtl/>
        </w:rPr>
        <w:lastRenderedPageBreak/>
        <w:t>חן</w:t>
      </w:r>
      <w:r w:rsidRPr="000C4805">
        <w:rPr>
          <w:rFonts w:ascii="Arial" w:hAnsi="Arial"/>
          <w:noProof w:val="0"/>
          <w:rtl/>
        </w:rPr>
        <w:t xml:space="preserve">", וכן ספרו של אורי גורן, </w:t>
      </w:r>
      <w:r w:rsidRPr="000C4805">
        <w:rPr>
          <w:rFonts w:ascii="Arial" w:hAnsi="Arial"/>
          <w:b/>
          <w:bCs/>
          <w:noProof w:val="0"/>
          <w:rtl/>
        </w:rPr>
        <w:t>סוגיות בסדר דין אזרחי</w:t>
      </w:r>
      <w:r w:rsidRPr="000C4805">
        <w:rPr>
          <w:rFonts w:ascii="Arial" w:hAnsi="Arial"/>
          <w:noProof w:val="0"/>
          <w:rtl/>
        </w:rPr>
        <w:t xml:space="preserve">, 675 (מהדורה עשירית, 2009). בין שני השיקולים הנ"ל מתקיים יחס של מעין "כלים שלובים", או "מקבילית כוחות", משמע, ככל שסיכויי הערעור נראים מוצקים יותר, כך ניתן להקל בדרישה שמאזן הנוחות ינוע לכיוון המבקש, ולהפך, כאשר המדובר בתנאים מצטברים. </w:t>
      </w:r>
    </w:p>
    <w:p w:rsidRPr="000C4805" w:rsidR="000C4805" w:rsidP="000C4805" w:rsidRDefault="000C4805">
      <w:pPr>
        <w:pStyle w:val="ad"/>
        <w:numPr>
          <w:ilvl w:val="0"/>
          <w:numId w:val="2"/>
        </w:numPr>
        <w:spacing w:before="120" w:after="120" w:line="360" w:lineRule="auto"/>
        <w:contextualSpacing w:val="0"/>
        <w:jc w:val="both"/>
        <w:rPr>
          <w:rFonts w:ascii="Arial" w:hAnsi="Arial"/>
          <w:noProof w:val="0"/>
          <w:rtl/>
        </w:rPr>
      </w:pPr>
      <w:r w:rsidRPr="000C4805">
        <w:rPr>
          <w:rFonts w:ascii="Arial" w:hAnsi="Arial"/>
          <w:noProof w:val="0"/>
          <w:rtl/>
        </w:rPr>
        <w:t xml:space="preserve">באשר לעיכוב ביצוע של פסק דין כספי, על מבקש העיכוב, לשכנע כי קיים חשש ממשי שהוא לא יוכל לגבות בחזרה את הכספים שישולמו על ידו מכוח פסק הדין, באם ערעורו יתקבל. לעניין זה אין די בהעלאת טענות בעלמא, אלא יש לפרט באופן ממצה, תוך הנחת תשתית עובדתית מספקת, מהו הבסיס ממנו ניתן ללמוד על היעדר היכולת הכלכלית להשיב את הכסף (ראו ההחלטה בעניין נאות חן). </w:t>
      </w:r>
    </w:p>
    <w:p w:rsidR="000C4805" w:rsidP="000C4805" w:rsidRDefault="000C4805">
      <w:pPr>
        <w:pStyle w:val="ad"/>
        <w:numPr>
          <w:ilvl w:val="0"/>
          <w:numId w:val="2"/>
        </w:numPr>
        <w:spacing w:before="120" w:after="120" w:line="360" w:lineRule="auto"/>
        <w:contextualSpacing w:val="0"/>
        <w:jc w:val="both"/>
        <w:rPr>
          <w:rFonts w:ascii="Arial" w:hAnsi="Arial"/>
          <w:noProof w:val="0"/>
        </w:rPr>
      </w:pPr>
      <w:r w:rsidRPr="000C4805">
        <w:rPr>
          <w:rFonts w:ascii="Arial" w:hAnsi="Arial"/>
          <w:noProof w:val="0"/>
          <w:rtl/>
        </w:rPr>
        <w:t xml:space="preserve">במקרה הנדון המדובר בפסק דין כספי, כאשר הנחת המוצא היא שניתן יהיה להשיב את המצב לקדמותו ככל שהערעור יתקבל, ורק במקרים בהם עלה בידי מבקש העיכוב להציג ראיות משכנעות על כך שיהיה קושי לגבות חזרה את סכום הפסק יהיה מקום להורות על עיכוב ביצוע פסק הדין. </w:t>
      </w:r>
    </w:p>
    <w:p w:rsidR="003563DC" w:rsidP="000C4805" w:rsidRDefault="003563DC">
      <w:pPr>
        <w:pStyle w:val="ad"/>
        <w:numPr>
          <w:ilvl w:val="0"/>
          <w:numId w:val="2"/>
        </w:numPr>
        <w:spacing w:before="120" w:after="120" w:line="360" w:lineRule="auto"/>
        <w:contextualSpacing w:val="0"/>
        <w:jc w:val="both"/>
        <w:rPr>
          <w:rFonts w:ascii="Arial" w:hAnsi="Arial"/>
          <w:noProof w:val="0"/>
        </w:rPr>
      </w:pPr>
      <w:r>
        <w:rPr>
          <w:rFonts w:hint="cs" w:ascii="Arial" w:hAnsi="Arial"/>
          <w:noProof w:val="0"/>
          <w:rtl/>
        </w:rPr>
        <w:t xml:space="preserve">לאחר עיון בטענות הצדדים אני קובעת כי יש לדחות הבקשה. </w:t>
      </w:r>
    </w:p>
    <w:p w:rsidRPr="004B45EC" w:rsidR="003563DC" w:rsidP="004B45EC" w:rsidRDefault="003563DC">
      <w:pPr>
        <w:pStyle w:val="ad"/>
        <w:numPr>
          <w:ilvl w:val="0"/>
          <w:numId w:val="2"/>
        </w:numPr>
        <w:spacing w:before="120" w:after="120" w:line="360" w:lineRule="auto"/>
        <w:contextualSpacing w:val="0"/>
        <w:jc w:val="both"/>
        <w:rPr>
          <w:rFonts w:ascii="Arial" w:hAnsi="Arial"/>
          <w:noProof w:val="0"/>
        </w:rPr>
      </w:pPr>
      <w:r w:rsidRPr="004B45EC">
        <w:rPr>
          <w:rFonts w:hint="cs" w:ascii="Arial" w:hAnsi="Arial"/>
          <w:noProof w:val="0"/>
          <w:rtl/>
        </w:rPr>
        <w:t>לא השתכנעתי מטענת המבקשת באשר לקושי בהשבת המצב לקדמותו, שעה שטענה זו נטענה באופן כללי</w:t>
      </w:r>
      <w:r w:rsidRPr="004B45EC" w:rsidR="004B45EC">
        <w:rPr>
          <w:rFonts w:hint="cs" w:ascii="Arial" w:hAnsi="Arial"/>
          <w:noProof w:val="0"/>
          <w:rtl/>
        </w:rPr>
        <w:t xml:space="preserve"> כלפי המשיב</w:t>
      </w:r>
      <w:r w:rsidR="00165CEE">
        <w:rPr>
          <w:rFonts w:hint="cs" w:ascii="Arial" w:hAnsi="Arial"/>
          <w:noProof w:val="0"/>
          <w:rtl/>
        </w:rPr>
        <w:t>, ללא שהועלה כל טענה ממשית בדבר מצבו הכלכלי ומניעת השבת המצב לקדמותו</w:t>
      </w:r>
      <w:r w:rsidRPr="004B45EC" w:rsidR="004B45EC">
        <w:rPr>
          <w:rFonts w:hint="cs" w:ascii="Arial" w:hAnsi="Arial"/>
          <w:noProof w:val="0"/>
          <w:rtl/>
        </w:rPr>
        <w:t xml:space="preserve">. </w:t>
      </w:r>
      <w:r w:rsidRPr="004B45EC">
        <w:rPr>
          <w:rFonts w:hint="cs" w:ascii="Arial" w:hAnsi="Arial"/>
          <w:noProof w:val="0"/>
          <w:rtl/>
        </w:rPr>
        <w:t xml:space="preserve">אף הסכומים שנפסקו לטובת המשיב, אף כי הם סכומים מכובדים, אינם עולים כדי הסכומים בגינם יש להצדיק עיכוב ביצוע </w:t>
      </w:r>
      <w:r w:rsidR="004B45EC">
        <w:rPr>
          <w:rFonts w:hint="cs" w:ascii="Arial" w:hAnsi="Arial"/>
          <w:noProof w:val="0"/>
          <w:rtl/>
        </w:rPr>
        <w:t>אך בשל שיעורם,  ו</w:t>
      </w:r>
      <w:r w:rsidRPr="004B45EC">
        <w:rPr>
          <w:rFonts w:hint="cs" w:ascii="Arial" w:hAnsi="Arial"/>
          <w:noProof w:val="0"/>
          <w:rtl/>
        </w:rPr>
        <w:t xml:space="preserve">ללא בחינת מצבו </w:t>
      </w:r>
      <w:r w:rsidR="004B45EC">
        <w:rPr>
          <w:rFonts w:hint="cs" w:ascii="Arial" w:hAnsi="Arial"/>
          <w:noProof w:val="0"/>
          <w:rtl/>
        </w:rPr>
        <w:t xml:space="preserve">הכלכלי הפרטני </w:t>
      </w:r>
      <w:r w:rsidRPr="004B45EC">
        <w:rPr>
          <w:rFonts w:hint="cs" w:ascii="Arial" w:hAnsi="Arial"/>
          <w:noProof w:val="0"/>
          <w:rtl/>
        </w:rPr>
        <w:t xml:space="preserve">של המשיב. </w:t>
      </w:r>
      <w:r w:rsidR="0066351F">
        <w:rPr>
          <w:rFonts w:hint="cs" w:ascii="Arial" w:hAnsi="Arial"/>
          <w:noProof w:val="0"/>
          <w:rtl/>
        </w:rPr>
        <w:t xml:space="preserve">לעניין זה יש להוסיף כי לעיתים מעכב בית משפט סכומי פיצוי בתביעות נזיקין עת הפיצוי המעוכב הוא פיצוי לעתיד, שאז הפגיעה בגין העיכוב היא פחותה, בעוד שבענייננו עיקר טענותיה של המבקשת הן ביחס להפסד השתכרות לעבר, אשר וודאי שיש בעיכובו כדי לפגוע במשיב. </w:t>
      </w:r>
    </w:p>
    <w:p w:rsidR="003563DC" w:rsidP="000C4805" w:rsidRDefault="003563DC">
      <w:pPr>
        <w:pStyle w:val="ad"/>
        <w:numPr>
          <w:ilvl w:val="0"/>
          <w:numId w:val="2"/>
        </w:numPr>
        <w:spacing w:before="120" w:after="120" w:line="360" w:lineRule="auto"/>
        <w:contextualSpacing w:val="0"/>
        <w:jc w:val="both"/>
        <w:rPr>
          <w:rFonts w:ascii="Arial" w:hAnsi="Arial"/>
          <w:noProof w:val="0"/>
        </w:rPr>
      </w:pPr>
      <w:r>
        <w:rPr>
          <w:rFonts w:hint="cs" w:ascii="Arial" w:hAnsi="Arial"/>
          <w:noProof w:val="0"/>
          <w:rtl/>
        </w:rPr>
        <w:t xml:space="preserve">באשר לסיכויי הערעור, אזי ואף כי בשלב זה בית משפט אינו נדרש להכריע בשאלה זו, עולה כי בבחינת סיכויי הערעור אין המדובר בערעור אשר יש בו כדי להצדיק עיכוב ביצועו של פסק הדין. </w:t>
      </w:r>
    </w:p>
    <w:p w:rsidR="003563DC" w:rsidP="000C4805" w:rsidRDefault="003563DC">
      <w:pPr>
        <w:pStyle w:val="ad"/>
        <w:numPr>
          <w:ilvl w:val="0"/>
          <w:numId w:val="2"/>
        </w:numPr>
        <w:spacing w:before="120" w:after="120" w:line="360" w:lineRule="auto"/>
        <w:contextualSpacing w:val="0"/>
        <w:jc w:val="both"/>
        <w:rPr>
          <w:rFonts w:ascii="Arial" w:hAnsi="Arial"/>
          <w:noProof w:val="0"/>
        </w:rPr>
      </w:pPr>
      <w:r>
        <w:rPr>
          <w:rFonts w:hint="cs" w:ascii="Arial" w:hAnsi="Arial"/>
          <w:noProof w:val="0"/>
          <w:rtl/>
        </w:rPr>
        <w:t>על כן הבקשה נדחית.</w:t>
      </w:r>
    </w:p>
    <w:p w:rsidR="003563DC" w:rsidP="000C4805" w:rsidRDefault="003563DC">
      <w:pPr>
        <w:pStyle w:val="ad"/>
        <w:numPr>
          <w:ilvl w:val="0"/>
          <w:numId w:val="2"/>
        </w:numPr>
        <w:spacing w:before="120" w:after="120" w:line="360" w:lineRule="auto"/>
        <w:contextualSpacing w:val="0"/>
        <w:jc w:val="both"/>
        <w:rPr>
          <w:rFonts w:ascii="Arial" w:hAnsi="Arial"/>
          <w:noProof w:val="0"/>
        </w:rPr>
      </w:pPr>
      <w:r>
        <w:rPr>
          <w:rFonts w:hint="cs" w:ascii="Arial" w:hAnsi="Arial"/>
          <w:noProof w:val="0"/>
          <w:rtl/>
        </w:rPr>
        <w:t xml:space="preserve">המבקשת תשלם למשיב הוצאות הבקשה בסך של 3,000 ₪. </w:t>
      </w:r>
    </w:p>
    <w:p w:rsidR="00694556" w:rsidRDefault="00694556">
      <w:pPr>
        <w:spacing w:line="360" w:lineRule="auto"/>
        <w:jc w:val="both"/>
        <w:rPr>
          <w:rFonts w:ascii="Arial" w:hAnsi="Arial"/>
          <w:noProof w:val="0"/>
          <w:rtl/>
        </w:rPr>
      </w:pPr>
    </w:p>
    <w:p w:rsidR="00694556" w:rsidP="00722744"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hint="cs" w:ascii="Arial" w:hAnsi="Arial"/>
              <w:noProof w:val="0"/>
              <w:rtl/>
            </w:rPr>
            <w:t>11 אפריל 2018</w:t>
          </w:r>
        </w:sdtContent>
      </w:sdt>
      <w:r w:rsidR="00005C8B">
        <w:rPr>
          <w:rFonts w:ascii="Arial" w:hAnsi="Arial"/>
          <w:noProof w:val="0"/>
          <w:rtl/>
        </w:rPr>
        <w:t>, בהעדר הצדדים.</w:t>
      </w:r>
    </w:p>
    <w:p w:rsidR="00C43648" w:rsidP="00BD6531" w:rsidRDefault="00840C7B">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bookmarkStart w:name="_GoBack" w:id="1"/>
      <w:bookmarkEnd w:id="1"/>
      <w:sdt>
        <w:sdtPr>
          <w:alias w:val="MergeField"/>
          <w:tag w:val="1237"/>
        </w:sdtPr>
        <w:sdtContent>
          <w:p>
            <w:r>
              <w:drawing>
                <wp:inline distT="0" distB="0" distL="0" distR="0" wp14:editId="50D07946">
                  <wp:extent cx="1304925"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33890019bd048bb" cstate="print">
                            <a:extLst>
                              <a:ext uri="{28A0092B-C50C-407E-A947-70E740481C1C}"/>
                            </a:extLst>
                          </a:blip>
                          <a:stretch>
                            <a:fillRect/>
                          </a:stretch>
                        </pic:blipFill>
                        <pic:spPr>
                          <a:xfrm>
                            <a:off x="0" y="0"/>
                            <a:ext cx="1304925" cy="742950"/>
                          </a:xfrm>
                          <a:prstGeom prst="rect">
                            <a:avLst/>
                          </a:prstGeom>
                        </pic:spPr>
                      </pic:pic>
                    </a:graphicData>
                  </a:graphic>
                </wp:inline>
              </w:drawing>
            </w:r>
          </w:p>
        </w:sdtContent>
      </w:sdt>
    </w:p>
    <w:sectPr w:rsidR="00694556" w:rsidSect="003840F9">
      <w:headerReference w:type="default" r:id="rId10"/>
      <w:footerReference w:type="default" r:id="rId11"/>
      <w:pgSz w:w="11907" w:h="16840" w:code="9"/>
      <w:pgMar w:top="454" w:right="1701" w:bottom="85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840C7B">
      <w:rPr>
        <w:rStyle w:val="ab"/>
        <w:rFonts w:cs="Times New Roman"/>
        <w:rtl/>
      </w:rPr>
      <w:t>4</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840C7B">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40C7B">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5D3BA177" wp14:editId="53AE422C">
          <wp:extent cx="374015" cy="469265"/>
          <wp:effectExtent l="0" t="0" r="6985" b="6985"/>
          <wp:docPr id="3"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B95A71">
      <w:trPr>
        <w:trHeight w:val="993" w:hRule="exact"/>
        <w:jc w:val="center"/>
      </w:trPr>
      <w:sdt>
        <w:sdtPr>
          <w:rPr>
            <w:rFonts w:ascii="Tahoma" w:hAnsi="Tahoma"/>
            <w:b/>
            <w:bCs/>
            <w:color w:val="000080"/>
            <w:sz w:val="32"/>
            <w:szCs w:val="32"/>
            <w:rtl/>
          </w:rPr>
          <w:alias w:val="1174"/>
          <w:tag w:val="1174"/>
          <w:id w:val="-1779624611"/>
          <w:text w:multiLine="1"/>
        </w:sdtPr>
        <w:sdtEndPr/>
        <w:sdtContent>
          <w:tc>
            <w:tcPr>
              <w:tcW w:w="8721" w:type="dxa"/>
              <w:gridSpan w:val="2"/>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המשפט המחוזי בתל אביב - יפו בשבתו כבית-משפט לערעורים אזרחיים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FA4EAF" w:rsidR="00694556">
      <w:trPr>
        <w:trHeight w:val="337"/>
        <w:jc w:val="center"/>
      </w:trPr>
      <w:tc>
        <w:tcPr>
          <w:tcW w:w="8721" w:type="dxa"/>
          <w:gridSpan w:val="2"/>
        </w:tcPr>
        <w:p w:rsidRPr="00FA4EAF" w:rsidR="007D45E3" w:rsidP="00B61E3C" w:rsidRDefault="00840C7B">
          <w:pPr>
            <w:rPr>
              <w:b/>
              <w:bCs/>
              <w:noProof w:val="0"/>
              <w:sz w:val="26"/>
              <w:szCs w:val="26"/>
              <w:rtl/>
            </w:rPr>
          </w:pPr>
          <w:sdt>
            <w:sdtPr>
              <w:rPr>
                <w:sz w:val="26"/>
                <w:szCs w:val="26"/>
                <w:rtl/>
              </w:rPr>
              <w:alias w:val="1170"/>
              <w:tag w:val="1170"/>
              <w:id w:val="-454871280"/>
              <w:text w:multiLine="1"/>
            </w:sdtPr>
            <w:sdtEndPr/>
            <w:sdtContent>
              <w:r w:rsidR="00B95A71">
                <w:rPr>
                  <w:b/>
                  <w:bCs/>
                  <w:noProof w:val="0"/>
                  <w:sz w:val="26"/>
                  <w:szCs w:val="26"/>
                  <w:rtl/>
                </w:rPr>
                <w:t>ע"א</w:t>
              </w:r>
            </w:sdtContent>
          </w:sdt>
          <w:r w:rsidRPr="00FA4EAF" w:rsidR="00005C8B">
            <w:rPr>
              <w:b/>
              <w:bCs/>
              <w:noProof w:val="0"/>
              <w:sz w:val="26"/>
              <w:szCs w:val="26"/>
              <w:rtl/>
            </w:rPr>
            <w:t xml:space="preserve"> </w:t>
          </w:r>
          <w:sdt>
            <w:sdtPr>
              <w:rPr>
                <w:sz w:val="26"/>
                <w:szCs w:val="26"/>
                <w:rtl/>
              </w:rPr>
              <w:alias w:val="1171"/>
              <w:tag w:val="1171"/>
              <w:id w:val="-1595927814"/>
              <w:text w:multiLine="1"/>
            </w:sdtPr>
            <w:sdtEndPr/>
            <w:sdtContent>
              <w:r w:rsidR="00B95A71">
                <w:rPr>
                  <w:b/>
                  <w:bCs/>
                  <w:noProof w:val="0"/>
                  <w:sz w:val="26"/>
                  <w:szCs w:val="26"/>
                  <w:rtl/>
                </w:rPr>
                <w:t>66019-03-18</w:t>
              </w:r>
            </w:sdtContent>
          </w:sdt>
          <w:r w:rsidRPr="00FA4EAF" w:rsidR="00005C8B">
            <w:rPr>
              <w:b/>
              <w:bCs/>
              <w:noProof w:val="0"/>
              <w:sz w:val="26"/>
              <w:szCs w:val="26"/>
              <w:rtl/>
            </w:rPr>
            <w:t xml:space="preserve"> </w:t>
          </w:r>
          <w:sdt>
            <w:sdtPr>
              <w:rPr>
                <w:sz w:val="26"/>
                <w:szCs w:val="26"/>
                <w:rtl/>
              </w:rPr>
              <w:alias w:val="1172"/>
              <w:tag w:val="1172"/>
              <w:id w:val="1552428465"/>
              <w:text w:multiLine="1"/>
            </w:sdtPr>
            <w:sdtEndPr/>
            <w:sdtContent>
              <w:r w:rsidR="00B95A71">
                <w:rPr>
                  <w:b/>
                  <w:bCs/>
                  <w:noProof w:val="0"/>
                  <w:sz w:val="26"/>
                  <w:szCs w:val="26"/>
                  <w:rtl/>
                </w:rPr>
                <w:t xml:space="preserve">המאגר הישראלי לביטוחי רכב "הפול" נ' </w:t>
              </w:r>
              <w:r w:rsidR="00B61E3C">
                <w:rPr>
                  <w:rFonts w:hint="cs"/>
                  <w:b/>
                  <w:bCs/>
                  <w:noProof w:val="0"/>
                  <w:sz w:val="26"/>
                  <w:szCs w:val="26"/>
                  <w:rtl/>
                </w:rPr>
                <w:t xml:space="preserve">מ. </w:t>
              </w:r>
            </w:sdtContent>
          </w:sdt>
        </w:p>
        <w:p w:rsidRPr="00FA4EAF" w:rsidR="007D45E3" w:rsidP="007D45E3" w:rsidRDefault="007D45E3">
          <w:pPr>
            <w:rPr>
              <w:b/>
              <w:bCs/>
              <w:noProof w:val="0"/>
              <w:sz w:val="26"/>
              <w:szCs w:val="26"/>
              <w:rtl/>
            </w:rPr>
          </w:pPr>
        </w:p>
        <w:p w:rsidRPr="00FA4EAF" w:rsidR="008D10B2" w:rsidP="009B4939" w:rsidRDefault="007D45E3">
          <w:pPr>
            <w:rPr>
              <w:sz w:val="26"/>
              <w:szCs w:val="26"/>
              <w:rtl/>
            </w:rPr>
          </w:pPr>
          <w:r w:rsidRPr="00FA4EAF">
            <w:rPr>
              <w:rFonts w:hint="cs"/>
              <w:sz w:val="26"/>
              <w:szCs w:val="26"/>
              <w:rtl/>
            </w:rPr>
            <w:t xml:space="preserve">                                                                  </w:t>
          </w:r>
          <w:r w:rsidRPr="00FA4EAF">
            <w:rPr>
              <w:sz w:val="26"/>
              <w:szCs w:val="26"/>
              <w:rtl/>
            </w:rPr>
            <w:t xml:space="preserve"> </w:t>
          </w:r>
          <w:r w:rsidRPr="00FA4EAF" w:rsidR="001173C6">
            <w:rPr>
              <w:sz w:val="26"/>
              <w:szCs w:val="26"/>
              <w:rtl/>
            </w:rPr>
            <w:t xml:space="preserve"> </w:t>
          </w:r>
        </w:p>
      </w:tc>
    </w:tr>
  </w:tbl>
  <w:p w:rsidRPr="00FA4EAF" w:rsidR="00694556" w:rsidRDefault="00694556">
    <w:pPr>
      <w:pStyle w:val="a3"/>
      <w:rPr>
        <w:noProof w:val="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504C6"/>
    <w:multiLevelType w:val="hybridMultilevel"/>
    <w:tmpl w:val="BB925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08840D0"/>
    <w:multiLevelType w:val="hybridMultilevel"/>
    <w:tmpl w:val="64C8E2E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1490"/>
    <o:shapelayout v:ext="edit">
      <o:idmap v:ext="edit" data="18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C4805"/>
    <w:rsid w:val="000E0DD2"/>
    <w:rsid w:val="000E3AF1"/>
    <w:rsid w:val="000F0BC8"/>
    <w:rsid w:val="000F0DD6"/>
    <w:rsid w:val="00107E6D"/>
    <w:rsid w:val="0011194C"/>
    <w:rsid w:val="0011424C"/>
    <w:rsid w:val="001173C6"/>
    <w:rsid w:val="001367BC"/>
    <w:rsid w:val="00144D2A"/>
    <w:rsid w:val="0014653E"/>
    <w:rsid w:val="00165CEE"/>
    <w:rsid w:val="00180519"/>
    <w:rsid w:val="00191C82"/>
    <w:rsid w:val="001C3FD7"/>
    <w:rsid w:val="001C4003"/>
    <w:rsid w:val="001D3441"/>
    <w:rsid w:val="001D4DBF"/>
    <w:rsid w:val="001E75CA"/>
    <w:rsid w:val="002265FF"/>
    <w:rsid w:val="00271B56"/>
    <w:rsid w:val="00291593"/>
    <w:rsid w:val="002C344E"/>
    <w:rsid w:val="002E75E9"/>
    <w:rsid w:val="00307A6A"/>
    <w:rsid w:val="00307C40"/>
    <w:rsid w:val="00320433"/>
    <w:rsid w:val="003230C7"/>
    <w:rsid w:val="00327E50"/>
    <w:rsid w:val="0033597A"/>
    <w:rsid w:val="00343D89"/>
    <w:rsid w:val="003563DC"/>
    <w:rsid w:val="00362612"/>
    <w:rsid w:val="0036743F"/>
    <w:rsid w:val="003715DD"/>
    <w:rsid w:val="003763AB"/>
    <w:rsid w:val="003823E0"/>
    <w:rsid w:val="003840F9"/>
    <w:rsid w:val="003A4521"/>
    <w:rsid w:val="003D1C8C"/>
    <w:rsid w:val="0040096C"/>
    <w:rsid w:val="00414F1F"/>
    <w:rsid w:val="0043125D"/>
    <w:rsid w:val="0043502B"/>
    <w:rsid w:val="004443AC"/>
    <w:rsid w:val="00451E28"/>
    <w:rsid w:val="00462C62"/>
    <w:rsid w:val="00465D36"/>
    <w:rsid w:val="004B45EC"/>
    <w:rsid w:val="004C17EE"/>
    <w:rsid w:val="004C4BDF"/>
    <w:rsid w:val="004D1187"/>
    <w:rsid w:val="004D3AA0"/>
    <w:rsid w:val="004E1987"/>
    <w:rsid w:val="004E2E15"/>
    <w:rsid w:val="004E6E3C"/>
    <w:rsid w:val="00520898"/>
    <w:rsid w:val="00523621"/>
    <w:rsid w:val="00524986"/>
    <w:rsid w:val="005268F6"/>
    <w:rsid w:val="00534284"/>
    <w:rsid w:val="0054494A"/>
    <w:rsid w:val="00547DB7"/>
    <w:rsid w:val="00560D82"/>
    <w:rsid w:val="005844D1"/>
    <w:rsid w:val="005C0C1C"/>
    <w:rsid w:val="005E328A"/>
    <w:rsid w:val="005E5D6C"/>
    <w:rsid w:val="005F4F09"/>
    <w:rsid w:val="0061431B"/>
    <w:rsid w:val="00617CEE"/>
    <w:rsid w:val="00622BAA"/>
    <w:rsid w:val="006306CF"/>
    <w:rsid w:val="00644E9A"/>
    <w:rsid w:val="0066351F"/>
    <w:rsid w:val="00671BD5"/>
    <w:rsid w:val="006805C1"/>
    <w:rsid w:val="00686C21"/>
    <w:rsid w:val="006931C1"/>
    <w:rsid w:val="00694556"/>
    <w:rsid w:val="006C30C5"/>
    <w:rsid w:val="006D3B31"/>
    <w:rsid w:val="006E0D96"/>
    <w:rsid w:val="006E1A53"/>
    <w:rsid w:val="006F56E6"/>
    <w:rsid w:val="00704EDA"/>
    <w:rsid w:val="00721122"/>
    <w:rsid w:val="00722744"/>
    <w:rsid w:val="00744B1C"/>
    <w:rsid w:val="00753019"/>
    <w:rsid w:val="00754801"/>
    <w:rsid w:val="007854C8"/>
    <w:rsid w:val="00795365"/>
    <w:rsid w:val="007A351D"/>
    <w:rsid w:val="007B7765"/>
    <w:rsid w:val="007C5BDD"/>
    <w:rsid w:val="007D45E3"/>
    <w:rsid w:val="007E11A0"/>
    <w:rsid w:val="007E6115"/>
    <w:rsid w:val="007F4609"/>
    <w:rsid w:val="008176A1"/>
    <w:rsid w:val="00820005"/>
    <w:rsid w:val="00840C7B"/>
    <w:rsid w:val="00844318"/>
    <w:rsid w:val="00863F5D"/>
    <w:rsid w:val="00870890"/>
    <w:rsid w:val="00873602"/>
    <w:rsid w:val="00875D12"/>
    <w:rsid w:val="008800CD"/>
    <w:rsid w:val="0088479D"/>
    <w:rsid w:val="00894299"/>
    <w:rsid w:val="00896889"/>
    <w:rsid w:val="008C5714"/>
    <w:rsid w:val="008D10B2"/>
    <w:rsid w:val="008F24E9"/>
    <w:rsid w:val="00903896"/>
    <w:rsid w:val="00906F3D"/>
    <w:rsid w:val="0094424E"/>
    <w:rsid w:val="00955642"/>
    <w:rsid w:val="009622DF"/>
    <w:rsid w:val="009659B2"/>
    <w:rsid w:val="00967DFF"/>
    <w:rsid w:val="00994341"/>
    <w:rsid w:val="009B4939"/>
    <w:rsid w:val="009D1A48"/>
    <w:rsid w:val="009E1CE7"/>
    <w:rsid w:val="009E4EA5"/>
    <w:rsid w:val="009F164B"/>
    <w:rsid w:val="009F323C"/>
    <w:rsid w:val="00A3392B"/>
    <w:rsid w:val="00A439F7"/>
    <w:rsid w:val="00A94B64"/>
    <w:rsid w:val="00AA3229"/>
    <w:rsid w:val="00AA7518"/>
    <w:rsid w:val="00AA7596"/>
    <w:rsid w:val="00AB5E52"/>
    <w:rsid w:val="00AC3B02"/>
    <w:rsid w:val="00AC3B7B"/>
    <w:rsid w:val="00AC5209"/>
    <w:rsid w:val="00AD00A6"/>
    <w:rsid w:val="00AE729E"/>
    <w:rsid w:val="00AE7752"/>
    <w:rsid w:val="00AF7FDA"/>
    <w:rsid w:val="00B229E7"/>
    <w:rsid w:val="00B379C7"/>
    <w:rsid w:val="00B5356E"/>
    <w:rsid w:val="00B61E3C"/>
    <w:rsid w:val="00B809AD"/>
    <w:rsid w:val="00B80CBD"/>
    <w:rsid w:val="00B86096"/>
    <w:rsid w:val="00B95A71"/>
    <w:rsid w:val="00B964D9"/>
    <w:rsid w:val="00BA0A7C"/>
    <w:rsid w:val="00BA517C"/>
    <w:rsid w:val="00BB3D05"/>
    <w:rsid w:val="00BB73BE"/>
    <w:rsid w:val="00BC2D89"/>
    <w:rsid w:val="00BD6531"/>
    <w:rsid w:val="00BE05B2"/>
    <w:rsid w:val="00BF1908"/>
    <w:rsid w:val="00BF7F3B"/>
    <w:rsid w:val="00C22D93"/>
    <w:rsid w:val="00C31120"/>
    <w:rsid w:val="00C34482"/>
    <w:rsid w:val="00C43648"/>
    <w:rsid w:val="00C50A9F"/>
    <w:rsid w:val="00C53EB8"/>
    <w:rsid w:val="00C642FA"/>
    <w:rsid w:val="00C65565"/>
    <w:rsid w:val="00CC7622"/>
    <w:rsid w:val="00CD608F"/>
    <w:rsid w:val="00D27982"/>
    <w:rsid w:val="00D33B86"/>
    <w:rsid w:val="00D53924"/>
    <w:rsid w:val="00D55D0C"/>
    <w:rsid w:val="00D627CF"/>
    <w:rsid w:val="00D74378"/>
    <w:rsid w:val="00D96D8C"/>
    <w:rsid w:val="00DA6649"/>
    <w:rsid w:val="00DC1259"/>
    <w:rsid w:val="00DC1BD2"/>
    <w:rsid w:val="00DC2571"/>
    <w:rsid w:val="00DC487C"/>
    <w:rsid w:val="00DE6BF6"/>
    <w:rsid w:val="00E1068A"/>
    <w:rsid w:val="00E25884"/>
    <w:rsid w:val="00E25B55"/>
    <w:rsid w:val="00E31C2B"/>
    <w:rsid w:val="00E37181"/>
    <w:rsid w:val="00E5426A"/>
    <w:rsid w:val="00E54642"/>
    <w:rsid w:val="00E75C46"/>
    <w:rsid w:val="00E80CBE"/>
    <w:rsid w:val="00E962E3"/>
    <w:rsid w:val="00EB6C79"/>
    <w:rsid w:val="00EC37E9"/>
    <w:rsid w:val="00F06995"/>
    <w:rsid w:val="00F13623"/>
    <w:rsid w:val="00F44D1D"/>
    <w:rsid w:val="00F84B6D"/>
    <w:rsid w:val="00FA4EAF"/>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1490"/>
    <o:shapelayout v:ext="edit">
      <o:idmap v:ext="edit" data="1"/>
    </o:shapelayout>
  </w:shapeDefaults>
  <w:decimalSymbol w:val="."/>
  <w:listSeparator w:val=","/>
  <w14:docId w14:val="5D97CCDC"/>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0C4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c33890019bd048b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E1A82" w:rsidP="003E1A82">
          <w:pPr>
            <w:pStyle w:val="E460D38E05664FF79D4EFF282EF8EC9918"/>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2E734C"/>
    <w:rsid w:val="00334638"/>
    <w:rsid w:val="00345C9D"/>
    <w:rsid w:val="003E1A82"/>
    <w:rsid w:val="0048651F"/>
    <w:rsid w:val="00556D67"/>
    <w:rsid w:val="00793995"/>
    <w:rsid w:val="007C6F98"/>
    <w:rsid w:val="007E254A"/>
    <w:rsid w:val="008B4366"/>
    <w:rsid w:val="009133C7"/>
    <w:rsid w:val="009178E4"/>
    <w:rsid w:val="00961B27"/>
    <w:rsid w:val="00AA7CE3"/>
    <w:rsid w:val="00B91FA3"/>
    <w:rsid w:val="00C96C06"/>
    <w:rsid w:val="00E31BF6"/>
    <w:rsid w:val="00E81DB1"/>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1A82"/>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4</Pages>
  <Words>1186</Words>
  <Characters>5933</Characters>
  <Application>Microsoft Office Word</Application>
  <DocSecurity>0</DocSecurity>
  <Lines>49</Lines>
  <Paragraphs>14</Paragraphs>
  <ScaleCrop>false</ScaleCrop>
  <Company>Microsoft Corporation</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עינת רביד</cp:lastModifiedBy>
  <cp:revision>144</cp:revision>
  <cp:lastPrinted>2018-04-11T04:49:00Z</cp:lastPrinted>
  <dcterms:created xsi:type="dcterms:W3CDTF">2012-08-06T05:16:00Z</dcterms:created>
  <dcterms:modified xsi:type="dcterms:W3CDTF">2018-04-11T17:36:00Z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