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r>
              <w:rPr>
                <w:rFonts w:ascii="Arial" w:hAnsi="Arial"/>
                <w:b/>
                <w:bCs/>
                <w:rtl/>
              </w:rPr>
              <w:t>שופט בדימוס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r>
              <w:rPr>
                <w:rFonts w:ascii="Arial" w:hAnsi="Arial"/>
                <w:b/>
                <w:bCs/>
                <w:rtl/>
              </w:rPr>
              <w:t>הרווי גרובס</w:t>
            </w:r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43403F" w:rsidRDefault="00263EB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התובע</w:t>
            </w:r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אברהם אגמי</w:t>
            </w:r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263EBD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ה</w:t>
            </w:r>
            <w:r w:rsidR="00D36A71">
              <w:rPr>
                <w:rFonts w:hint="cs"/>
                <w:b/>
                <w:bCs/>
                <w:noProof w:val="0"/>
                <w:sz w:val="28"/>
                <w:rtl/>
              </w:rPr>
              <w:t>נתבעים</w:t>
            </w:r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1</w:t>
            </w:r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r>
              <w:rPr>
                <w:rFonts w:hint="cs"/>
                <w:b/>
                <w:bCs/>
                <w:noProof w:val="0"/>
                <w:sz w:val="28"/>
                <w:rtl/>
              </w:rPr>
              <w:t>רמי שבירו הנדסה בניה והשקעות בע"מ</w:t>
            </w:r>
          </w:p>
          <w:p w:rsidR="006816EC" w:rsidRDefault="00D36A71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2</w:t>
            </w:r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r>
              <w:rPr>
                <w:rFonts w:hint="cs"/>
                <w:b/>
                <w:bCs/>
                <w:noProof w:val="0"/>
                <w:sz w:val="28"/>
                <w:rtl/>
              </w:rPr>
              <w:t>דוגית בעמ</w:t>
            </w:r>
          </w:p>
        </w:tc>
      </w:tr>
    </w:tbl>
    <w:p w:rsidR="006816EC" w:rsidP="003823DA" w:rsidRDefault="006816EC">
      <w:pPr>
        <w:suppressLineNumbers/>
        <w:rPr>
          <w:rtl/>
        </w:rPr>
      </w:pPr>
    </w:p>
    <w:p w:rsidR="00263EBD" w:rsidP="003823DA" w:rsidRDefault="00263EBD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63EBD" w:rsidP="00F73F7C" w:rsidRDefault="00F73F7C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hint="cs" w:ascii="Arial" w:hAnsi="Arial"/>
          <w:noProof w:val="0"/>
          <w:rtl/>
        </w:rPr>
        <w:tab/>
        <w:t>התובע</w:t>
      </w:r>
      <w:r w:rsidR="00045187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 רכש דירה מאת הנתבעת 1 ובמסגרת חוזה הרכישה שילם מספר תשלומים עבור חיבור הדירה לאספקת גז. אולם לטענתו, הנתבעת 2, שהיא מספקת גז לבניין דרש</w:t>
      </w:r>
      <w:r w:rsidR="00045187">
        <w:rPr>
          <w:rFonts w:hint="cs" w:ascii="Arial" w:hAnsi="Arial"/>
          <w:noProof w:val="0"/>
          <w:rtl/>
        </w:rPr>
        <w:t xml:space="preserve">ה </w:t>
      </w:r>
      <w:r>
        <w:rPr>
          <w:rFonts w:hint="cs" w:ascii="Arial" w:hAnsi="Arial"/>
          <w:noProof w:val="0"/>
          <w:rtl/>
        </w:rPr>
        <w:t xml:space="preserve"> סכומים נוספים או כפולים בגין החיבור. כך שהתובע נאלץ לשלם פעמיים.</w:t>
      </w:r>
    </w:p>
    <w:p w:rsidR="00F73F7C" w:rsidP="00F73F7C" w:rsidRDefault="00F73F7C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F73F7C" w:rsidP="00F73F7C" w:rsidRDefault="00F73F7C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לטענת התובע חובתה של הנתבעת </w:t>
      </w:r>
      <w:r w:rsidR="00045187">
        <w:rPr>
          <w:rFonts w:hint="cs" w:ascii="Arial" w:hAnsi="Arial"/>
          <w:noProof w:val="0"/>
          <w:rtl/>
        </w:rPr>
        <w:t xml:space="preserve">1 </w:t>
      </w:r>
      <w:r>
        <w:rPr>
          <w:rFonts w:hint="cs" w:ascii="Arial" w:hAnsi="Arial"/>
          <w:noProof w:val="0"/>
          <w:rtl/>
        </w:rPr>
        <w:t xml:space="preserve">הייתה למסור את </w:t>
      </w:r>
      <w:r w:rsidR="00E51EDB">
        <w:rPr>
          <w:rFonts w:hint="cs" w:ascii="Arial" w:hAnsi="Arial"/>
          <w:noProof w:val="0"/>
          <w:rtl/>
        </w:rPr>
        <w:t>הדירה</w:t>
      </w:r>
      <w:r w:rsidR="007C14B5">
        <w:rPr>
          <w:rFonts w:hint="cs" w:ascii="Arial" w:hAnsi="Arial"/>
          <w:noProof w:val="0"/>
          <w:rtl/>
        </w:rPr>
        <w:t xml:space="preserve"> לידיו עם תשתיות מתאימות למים, חשמל וגז.</w:t>
      </w:r>
      <w:r w:rsidR="00E51EDB">
        <w:rPr>
          <w:rFonts w:hint="cs" w:ascii="Arial" w:hAnsi="Arial"/>
          <w:noProof w:val="0"/>
          <w:rtl/>
        </w:rPr>
        <w:t xml:space="preserve"> הנתבעת 2 לא אמורה לגבות כספים עבור תשתית הגז.</w:t>
      </w:r>
    </w:p>
    <w:p w:rsidR="00E51EDB" w:rsidP="00F73F7C" w:rsidRDefault="00E51E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E51EDB" w:rsidP="00F73F7C" w:rsidRDefault="00E51E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כאשר התובע התבקש לשלם לנתבעת 2 סכום של 1,720 ₪ הוא ד</w:t>
      </w:r>
      <w:r w:rsidR="00045187">
        <w:rPr>
          <w:rFonts w:hint="cs" w:ascii="Arial" w:hAnsi="Arial"/>
          <w:noProof w:val="0"/>
          <w:rtl/>
        </w:rPr>
        <w:t>ר</w:t>
      </w:r>
      <w:r>
        <w:rPr>
          <w:rFonts w:hint="cs" w:ascii="Arial" w:hAnsi="Arial"/>
          <w:noProof w:val="0"/>
          <w:rtl/>
        </w:rPr>
        <w:t>ש פרטי הסכום.</w:t>
      </w:r>
    </w:p>
    <w:p w:rsidR="00E51EDB" w:rsidP="00F73F7C" w:rsidRDefault="00E51E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E51EDB" w:rsidP="00F73F7C" w:rsidRDefault="00E51E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תשובת הנתבעת 2 </w:t>
      </w:r>
      <w:r w:rsidR="007C14B5">
        <w:rPr>
          <w:rFonts w:hint="cs" w:ascii="Arial" w:hAnsi="Arial"/>
          <w:noProof w:val="0"/>
          <w:rtl/>
        </w:rPr>
        <w:t>היית</w:t>
      </w:r>
      <w:r w:rsidR="007C14B5">
        <w:rPr>
          <w:rFonts w:hint="eastAsia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כדלקמן:</w:t>
      </w:r>
    </w:p>
    <w:p w:rsidR="00E51EDB" w:rsidP="00F73F7C" w:rsidRDefault="00E51EDB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E51EDB" w:rsidP="00E51EDB" w:rsidRDefault="00E51E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>
        <w:rPr>
          <w:rFonts w:hint="cs" w:ascii="Arial" w:hAnsi="Arial"/>
          <w:noProof w:val="0"/>
          <w:rtl/>
        </w:rPr>
        <w:tab/>
        <w:t>1,46</w:t>
      </w:r>
      <w:r w:rsidR="007C14B5">
        <w:rPr>
          <w:rFonts w:hint="cs" w:ascii="Arial" w:hAnsi="Arial"/>
          <w:noProof w:val="0"/>
          <w:rtl/>
        </w:rPr>
        <w:t xml:space="preserve">3 ₪ עבור: חיבור מונה, חיבור כרים </w:t>
      </w:r>
      <w:r>
        <w:rPr>
          <w:rFonts w:hint="cs" w:ascii="Arial" w:hAnsi="Arial"/>
          <w:noProof w:val="0"/>
          <w:rtl/>
        </w:rPr>
        <w:t xml:space="preserve"> ובדיקה ועבור חלק יחסי ברכוש המשותף (סע</w:t>
      </w:r>
      <w:r w:rsidR="007C14B5">
        <w:rPr>
          <w:rFonts w:hint="cs" w:ascii="Arial" w:hAnsi="Arial"/>
          <w:noProof w:val="0"/>
          <w:rtl/>
        </w:rPr>
        <w:t>פות ברזים ראשיים צמתים, בכל. קומה</w:t>
      </w:r>
      <w:r>
        <w:rPr>
          <w:rFonts w:hint="cs" w:ascii="Arial" w:hAnsi="Arial"/>
          <w:noProof w:val="0"/>
          <w:rtl/>
        </w:rPr>
        <w:t>)</w:t>
      </w:r>
    </w:p>
    <w:p w:rsidR="00E51EDB" w:rsidP="00E51EDB" w:rsidRDefault="00E51EDB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 w:rsidR="00EB6950">
        <w:rPr>
          <w:rFonts w:ascii="Arial" w:hAnsi="Arial"/>
          <w:noProof w:val="0"/>
          <w:rtl/>
        </w:rPr>
        <w:tab/>
      </w:r>
      <w:r w:rsidR="00EB6950">
        <w:rPr>
          <w:rFonts w:hint="cs" w:ascii="Arial" w:hAnsi="Arial"/>
          <w:noProof w:val="0"/>
          <w:rtl/>
        </w:rPr>
        <w:t>עבור תשתית צינורות גז גריל למרפסת 440.</w:t>
      </w:r>
    </w:p>
    <w:p w:rsidR="00EB6950" w:rsidP="00E51EDB" w:rsidRDefault="00EB695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</w:r>
      <w:r w:rsidR="007C14B5">
        <w:rPr>
          <w:rFonts w:hint="cs" w:ascii="Arial" w:hAnsi="Arial"/>
          <w:noProof w:val="0"/>
          <w:rtl/>
        </w:rPr>
        <w:t>פיקדו</w:t>
      </w:r>
      <w:r w:rsidR="007C14B5">
        <w:rPr>
          <w:rFonts w:hint="eastAsia" w:ascii="Arial" w:hAnsi="Arial"/>
          <w:noProof w:val="0"/>
          <w:rtl/>
        </w:rPr>
        <w:t>ן</w:t>
      </w:r>
      <w:r>
        <w:rPr>
          <w:rFonts w:hint="cs" w:ascii="Arial" w:hAnsi="Arial"/>
          <w:noProof w:val="0"/>
          <w:rtl/>
        </w:rPr>
        <w:t xml:space="preserve"> למונה 67 ₪.</w:t>
      </w:r>
    </w:p>
    <w:p w:rsidR="00EB6950" w:rsidP="00E51EDB" w:rsidRDefault="00EB695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ד.</w:t>
      </w:r>
      <w:r>
        <w:rPr>
          <w:rFonts w:hint="cs" w:ascii="Arial" w:hAnsi="Arial"/>
          <w:noProof w:val="0"/>
          <w:rtl/>
        </w:rPr>
        <w:tab/>
        <w:t>297 ₪ עבור מקדמה מלאי בצובר.</w:t>
      </w:r>
    </w:p>
    <w:p w:rsidR="00EB6950" w:rsidP="00E51EDB" w:rsidRDefault="00EB6950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694556" w:rsidP="00DC4E6F" w:rsidRDefault="00EB695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</w:r>
      <w:r w:rsidR="00DC4E6F">
        <w:rPr>
          <w:rFonts w:hint="cs" w:ascii="Arial" w:hAnsi="Arial"/>
          <w:noProof w:val="0"/>
          <w:rtl/>
        </w:rPr>
        <w:t>התובע חולק על חלקו על גביית אותם סכומים.</w:t>
      </w:r>
    </w:p>
    <w:p w:rsidR="00DC4E6F" w:rsidP="00DC4E6F" w:rsidRDefault="00DC4E6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א.</w:t>
      </w:r>
      <w:r>
        <w:rPr>
          <w:rFonts w:hint="cs" w:ascii="Arial" w:hAnsi="Arial"/>
          <w:noProof w:val="0"/>
          <w:rtl/>
        </w:rPr>
        <w:tab/>
        <w:t>ה</w:t>
      </w:r>
      <w:r w:rsidR="007C14B5">
        <w:rPr>
          <w:rFonts w:hint="cs" w:ascii="Arial" w:hAnsi="Arial"/>
          <w:noProof w:val="0"/>
          <w:rtl/>
        </w:rPr>
        <w:t>וא שילם בחוזה עם הנתבעת 1 עבור נ</w:t>
      </w:r>
      <w:r w:rsidR="006F55C6">
        <w:rPr>
          <w:rFonts w:hint="cs" w:ascii="Arial" w:hAnsi="Arial"/>
          <w:noProof w:val="0"/>
          <w:rtl/>
        </w:rPr>
        <w:t>קודת גז במרפסת .</w:t>
      </w:r>
      <w:r>
        <w:rPr>
          <w:rFonts w:hint="cs" w:ascii="Arial" w:hAnsi="Arial"/>
          <w:noProof w:val="0"/>
          <w:rtl/>
        </w:rPr>
        <w:t xml:space="preserve"> </w:t>
      </w:r>
      <w:r w:rsidR="006F55C6">
        <w:rPr>
          <w:rFonts w:hint="cs" w:ascii="Arial" w:hAnsi="Arial"/>
          <w:noProof w:val="0"/>
          <w:rtl/>
        </w:rPr>
        <w:t>התובע גם ציין שלפי ה</w:t>
      </w:r>
      <w:r>
        <w:rPr>
          <w:rFonts w:hint="cs" w:ascii="Arial" w:hAnsi="Arial"/>
          <w:noProof w:val="0"/>
          <w:rtl/>
        </w:rPr>
        <w:t>בירור שעשה הנתבעת 2 חייבה דיירים</w:t>
      </w:r>
      <w:r w:rsidR="006F55C6">
        <w:rPr>
          <w:rFonts w:hint="cs" w:ascii="Arial" w:hAnsi="Arial"/>
          <w:noProof w:val="0"/>
          <w:rtl/>
        </w:rPr>
        <w:t xml:space="preserve"> בתשלום זה, גם כאשר בכלל לא בקשו</w:t>
      </w:r>
      <w:r>
        <w:rPr>
          <w:rFonts w:hint="cs" w:ascii="Arial" w:hAnsi="Arial"/>
          <w:noProof w:val="0"/>
          <w:rtl/>
        </w:rPr>
        <w:t xml:space="preserve"> חיבור למרפסת.</w:t>
      </w: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hint="cs" w:ascii="Arial" w:hAnsi="Arial"/>
          <w:noProof w:val="0"/>
          <w:rtl/>
        </w:rPr>
        <w:tab/>
        <w:t>בחוזה הרכישה הוא שלם בעד:</w:t>
      </w: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 w:rsidR="006F55C6">
        <w:rPr>
          <w:rFonts w:hint="cs" w:ascii="Arial" w:hAnsi="Arial"/>
          <w:noProof w:val="0"/>
          <w:rtl/>
        </w:rPr>
        <w:t>נקודת גז ל</w:t>
      </w:r>
      <w:r>
        <w:rPr>
          <w:rFonts w:hint="cs" w:ascii="Arial" w:hAnsi="Arial"/>
          <w:noProof w:val="0"/>
          <w:rtl/>
        </w:rPr>
        <w:t xml:space="preserve"> במטבח.</w:t>
      </w: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צינור גז בדירה ממקור הגז ועד נקודת הגז במטבח.</w:t>
      </w: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 w:rsidR="006F55C6">
        <w:rPr>
          <w:rFonts w:hint="cs" w:ascii="Arial" w:hAnsi="Arial"/>
          <w:noProof w:val="0"/>
          <w:rtl/>
        </w:rPr>
        <w:t>הכ</w:t>
      </w:r>
      <w:r>
        <w:rPr>
          <w:rFonts w:hint="cs" w:ascii="Arial" w:hAnsi="Arial"/>
          <w:noProof w:val="0"/>
          <w:rtl/>
        </w:rPr>
        <w:t>נה למונה.</w:t>
      </w: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מערכות גז ברכוש המשותף כולל צנרת גז ממכל המרכזי ועד לדירה.</w:t>
      </w: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 w:rsidR="006F55C6">
        <w:rPr>
          <w:rFonts w:hint="cs" w:ascii="Arial" w:hAnsi="Arial"/>
          <w:noProof w:val="0"/>
          <w:rtl/>
        </w:rPr>
        <w:t>צנרת גז</w:t>
      </w:r>
      <w:r>
        <w:rPr>
          <w:rFonts w:hint="cs" w:ascii="Arial" w:hAnsi="Arial"/>
          <w:noProof w:val="0"/>
          <w:rtl/>
        </w:rPr>
        <w:t xml:space="preserve"> בתוך הדירה.</w:t>
      </w:r>
    </w:p>
    <w:p w:rsidR="00DC4E6F" w:rsidP="00DC4E6F" w:rsidRDefault="00DC4E6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DC4E6F" w:rsidP="00DC4E6F" w:rsidRDefault="00DC4E6F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לכן מלבד התשלום עבור חיבור כיריים וב</w:t>
      </w:r>
      <w:r w:rsidR="006F55C6">
        <w:rPr>
          <w:rFonts w:hint="cs" w:ascii="Arial" w:hAnsi="Arial"/>
          <w:noProof w:val="0"/>
          <w:rtl/>
        </w:rPr>
        <w:t>דיקה התובע טוען שאין עליו לשלם ד</w:t>
      </w:r>
      <w:r>
        <w:rPr>
          <w:rFonts w:hint="cs" w:ascii="Arial" w:hAnsi="Arial"/>
          <w:noProof w:val="0"/>
          <w:rtl/>
        </w:rPr>
        <w:t>בר.</w:t>
      </w:r>
    </w:p>
    <w:p w:rsidR="00B92773" w:rsidP="00DC4E6F" w:rsidRDefault="00B92773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B92773" w:rsidP="001C4BD5" w:rsidRDefault="00B92773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</w:r>
      <w:r w:rsidR="00D64F60">
        <w:rPr>
          <w:rFonts w:hint="cs" w:ascii="Arial" w:hAnsi="Arial"/>
          <w:noProof w:val="0"/>
          <w:rtl/>
        </w:rPr>
        <w:t xml:space="preserve">על סמך הטענות האמורות התובע עותר לסכום של 440 ₪ עבור חיבור למרפסת ועוד 615 ₪ בגין חיוב יתר עבור החיבורים </w:t>
      </w:r>
      <w:r w:rsidR="006F55C6">
        <w:rPr>
          <w:rFonts w:hint="cs" w:ascii="Arial" w:hAnsi="Arial"/>
          <w:noProof w:val="0"/>
          <w:rtl/>
        </w:rPr>
        <w:t>.</w:t>
      </w:r>
      <w:r w:rsidR="00D64F60">
        <w:rPr>
          <w:rFonts w:hint="cs" w:ascii="Arial" w:hAnsi="Arial"/>
          <w:noProof w:val="0"/>
          <w:rtl/>
        </w:rPr>
        <w:t>בנוסף</w:t>
      </w:r>
      <w:r w:rsidR="001C4BD5">
        <w:rPr>
          <w:rFonts w:hint="cs" w:ascii="Arial" w:hAnsi="Arial"/>
          <w:noProof w:val="0"/>
          <w:rtl/>
        </w:rPr>
        <w:t xml:space="preserve"> התובע דורש החזר של 257 ₪ עבו</w:t>
      </w:r>
      <w:r w:rsidR="006F55C6">
        <w:rPr>
          <w:rFonts w:hint="cs" w:ascii="Arial" w:hAnsi="Arial"/>
          <w:noProof w:val="0"/>
          <w:rtl/>
        </w:rPr>
        <w:t>ר מקדמת למלאי.</w:t>
      </w:r>
      <w:r w:rsidR="001C4BD5">
        <w:rPr>
          <w:rFonts w:hint="cs" w:ascii="Arial" w:hAnsi="Arial"/>
          <w:noProof w:val="0"/>
          <w:rtl/>
        </w:rPr>
        <w:t xml:space="preserve"> לטענת התובע אין הצדקה לדרישה זו. הנתבעת 2 טענה שהסכום יוחזר בסיום החוזה בין הדייר לחברה, אולם הדבר לא קיבל ביטוי בכתב.</w:t>
      </w:r>
    </w:p>
    <w:p w:rsidR="001C4BD5" w:rsidP="001C4BD5" w:rsidRDefault="001C4BD5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לכן התובע דורש 1,317 ₪.</w:t>
      </w:r>
    </w:p>
    <w:p w:rsidR="001C4BD5" w:rsidP="001C4BD5" w:rsidRDefault="001C4BD5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4A7B13" w:rsidP="004A7B13" w:rsidRDefault="001C4BD5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התובע טען שכאשר פנה לנתבעת 2 להסברים על </w:t>
      </w:r>
      <w:r w:rsidR="006F55C6">
        <w:rPr>
          <w:rFonts w:hint="cs" w:ascii="Arial" w:hAnsi="Arial"/>
          <w:noProof w:val="0"/>
          <w:rtl/>
        </w:rPr>
        <w:t>כל החיובים, נטען שהכל בהסכמת הנת</w:t>
      </w:r>
      <w:r>
        <w:rPr>
          <w:rFonts w:hint="cs" w:ascii="Arial" w:hAnsi="Arial"/>
          <w:noProof w:val="0"/>
          <w:rtl/>
        </w:rPr>
        <w:t>בעת 1. לכן התובע רואה את הנתבעות כאחריות ביחד ולחוד להחזיר לו את הכספים.</w:t>
      </w:r>
    </w:p>
    <w:p w:rsidR="004A7B13" w:rsidP="004A7B13" w:rsidRDefault="004A7B13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4A7B13" w:rsidP="004A7B13" w:rsidRDefault="004A7B13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</w:r>
      <w:r w:rsidR="00311CD7">
        <w:rPr>
          <w:rFonts w:hint="cs" w:ascii="Arial" w:hAnsi="Arial"/>
          <w:noProof w:val="0"/>
          <w:rtl/>
        </w:rPr>
        <w:t>עמדת הנתבעת</w:t>
      </w:r>
      <w:r w:rsidR="006F55C6">
        <w:rPr>
          <w:rFonts w:hint="cs" w:ascii="Arial" w:hAnsi="Arial"/>
          <w:noProof w:val="0"/>
          <w:rtl/>
        </w:rPr>
        <w:t xml:space="preserve"> 1 </w:t>
      </w:r>
      <w:r w:rsidR="00311CD7">
        <w:rPr>
          <w:rFonts w:hint="cs" w:ascii="Arial" w:hAnsi="Arial"/>
          <w:noProof w:val="0"/>
          <w:rtl/>
        </w:rPr>
        <w:t xml:space="preserve"> היא שהיא לא שותפה כלל לגביית כספים על ידי הנתבעת 2.</w:t>
      </w:r>
    </w:p>
    <w:p w:rsidR="00311CD7" w:rsidP="004A7B13" w:rsidRDefault="00311CD7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היא לא בקשה כספים מאת התובע מעבר התשלומים לפי חוזה הרכישה.</w:t>
      </w:r>
    </w:p>
    <w:p w:rsidR="00311CD7" w:rsidP="004A7B13" w:rsidRDefault="00311CD7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 היא לא קבעה או הסכימה לסכומים שהנתבעת 2 גבתה מאת הדיירים.</w:t>
      </w:r>
    </w:p>
    <w:p w:rsidR="00920497" w:rsidP="004A7B13" w:rsidRDefault="00920497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920497" w:rsidP="004A7B13" w:rsidRDefault="00920497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</w:r>
      <w:r w:rsidR="00F8542B">
        <w:rPr>
          <w:rFonts w:hint="cs" w:ascii="Arial" w:hAnsi="Arial"/>
          <w:noProof w:val="0"/>
          <w:rtl/>
        </w:rPr>
        <w:t>הנתבעת 2 טענה בכתב הגנתה שכל התשלומים היו סבירים וחוקיים.</w:t>
      </w:r>
    </w:p>
    <w:p w:rsidR="00F8542B" w:rsidP="004A7B13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אולם במהלך הדיון נציג הנתבעת 2 נאלץ להודות למספר אי דיוקים.</w:t>
      </w:r>
    </w:p>
    <w:p w:rsidR="00F8542B" w:rsidP="004A7B13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בעיקר מר קרול טען שהנתבעת שהתקשתה על ידי הנתבעת 1 להתקין את הנקודות לברביקיו ואכן נפלה טעות ומספר בעלי דירות </w:t>
      </w:r>
      <w:r w:rsidR="007D0751">
        <w:rPr>
          <w:rFonts w:hint="cs" w:ascii="Arial" w:hAnsi="Arial"/>
          <w:noProof w:val="0"/>
          <w:rtl/>
        </w:rPr>
        <w:t>חויבו</w:t>
      </w:r>
      <w:r>
        <w:rPr>
          <w:rFonts w:hint="cs" w:ascii="Arial" w:hAnsi="Arial"/>
          <w:noProof w:val="0"/>
          <w:rtl/>
        </w:rPr>
        <w:t xml:space="preserve"> בסכום שלא לבקשתם.</w:t>
      </w:r>
    </w:p>
    <w:p w:rsidR="00F8542B" w:rsidP="004A7B13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F8542B" w:rsidP="00F8542B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כמו כן נאלץ מר קרול להודות כי הורידו את הדרישה להתקנה ל-900 ₪ ונתנו זיכוי ב-19.11.17.</w:t>
      </w:r>
      <w:r w:rsidR="007D0751">
        <w:rPr>
          <w:rFonts w:hint="cs" w:ascii="Arial" w:hAnsi="Arial"/>
          <w:noProof w:val="0"/>
          <w:rtl/>
        </w:rPr>
        <w:t>של 450 ₪.</w:t>
      </w:r>
    </w:p>
    <w:p w:rsidR="00F8542B" w:rsidP="00F8542B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F8542B" w:rsidP="00F8542B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lastRenderedPageBreak/>
        <w:tab/>
      </w:r>
      <w:r>
        <w:rPr>
          <w:rFonts w:hint="cs" w:ascii="Arial" w:hAnsi="Arial"/>
          <w:noProof w:val="0"/>
          <w:rtl/>
        </w:rPr>
        <w:t>לדברו:</w:t>
      </w:r>
    </w:p>
    <w:p w:rsidR="00F8542B" w:rsidP="00F8542B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"אני עשיתי זיכוי לכל הדיירים. לא גביתי גבייה עודפת" (עמ' 2 שורה 27).</w:t>
      </w:r>
    </w:p>
    <w:p w:rsidR="00F8542B" w:rsidP="00F8542B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F8542B" w:rsidP="00F8542B" w:rsidRDefault="00F8542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</w:r>
      <w:r w:rsidR="004C07CE">
        <w:rPr>
          <w:rFonts w:hint="cs" w:ascii="Arial" w:hAnsi="Arial"/>
          <w:noProof w:val="0"/>
          <w:rtl/>
        </w:rPr>
        <w:t>התובע השיב שהזיכוי מתפרס על 3 שנים וכך הדיירים לא יכולים לשנות</w:t>
      </w:r>
      <w:r w:rsidR="000B4AFB">
        <w:rPr>
          <w:rFonts w:hint="cs" w:ascii="Arial" w:hAnsi="Arial"/>
          <w:noProof w:val="0"/>
          <w:rtl/>
        </w:rPr>
        <w:t xml:space="preserve"> את ספק הגז באותה תקופה </w:t>
      </w:r>
      <w:r w:rsidR="00045187">
        <w:rPr>
          <w:rFonts w:hint="cs" w:ascii="Arial" w:hAnsi="Arial"/>
          <w:noProof w:val="0"/>
          <w:rtl/>
        </w:rPr>
        <w:t>.</w:t>
      </w:r>
      <w:r w:rsidR="000B4AFB">
        <w:rPr>
          <w:rFonts w:hint="cs" w:ascii="Arial" w:hAnsi="Arial"/>
          <w:noProof w:val="0"/>
          <w:rtl/>
        </w:rPr>
        <w:t>כמו כן טען שהדיירים שקיבלו זיכוי עקב תשלום יתר לפקודת גז במרפסת נאלצו להמתין חצי שנה וזאת רק כתוצאה מהתנגדויות התובע.</w:t>
      </w:r>
    </w:p>
    <w:p w:rsidR="000B4AFB" w:rsidP="00F8542B" w:rsidRDefault="000B4AFB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0B4AFB" w:rsidP="00F8542B" w:rsidRDefault="000B4AF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8.</w:t>
      </w:r>
      <w:r>
        <w:rPr>
          <w:rFonts w:hint="cs" w:ascii="Arial" w:hAnsi="Arial"/>
          <w:noProof w:val="0"/>
          <w:rtl/>
        </w:rPr>
        <w:tab/>
        <w:t>לאחר ששקלתי את טענות הצדדים החלטתי לקב</w:t>
      </w:r>
      <w:r w:rsidR="007D0751">
        <w:rPr>
          <w:rFonts w:hint="cs" w:ascii="Arial" w:hAnsi="Arial"/>
          <w:noProof w:val="0"/>
          <w:rtl/>
        </w:rPr>
        <w:t>ל את התביעה  באופן חלקי כנגד הנתב</w:t>
      </w:r>
      <w:r>
        <w:rPr>
          <w:rFonts w:hint="cs" w:ascii="Arial" w:hAnsi="Arial"/>
          <w:noProof w:val="0"/>
          <w:rtl/>
        </w:rPr>
        <w:t>עת 2 ולדחות את התביעה כנגד הנתבעת 1.</w:t>
      </w:r>
    </w:p>
    <w:p w:rsidR="000B4AFB" w:rsidP="00F8542B" w:rsidRDefault="000B4AFB">
      <w:pPr>
        <w:spacing w:line="360" w:lineRule="auto"/>
        <w:ind w:left="72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להלן הנימוקים לכך:</w:t>
      </w:r>
    </w:p>
    <w:p w:rsidR="000B4AFB" w:rsidP="00F8542B" w:rsidRDefault="000B4AFB">
      <w:pPr>
        <w:spacing w:line="360" w:lineRule="auto"/>
        <w:ind w:left="720" w:hanging="720"/>
        <w:rPr>
          <w:rFonts w:ascii="Arial" w:hAnsi="Arial"/>
          <w:noProof w:val="0"/>
          <w:rtl/>
        </w:rPr>
      </w:pPr>
    </w:p>
    <w:p w:rsidR="000B4AFB" w:rsidP="000B4AFB" w:rsidRDefault="000B4AFB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 w:rsidR="006211F2">
        <w:rPr>
          <w:rFonts w:ascii="Arial" w:hAnsi="Arial"/>
          <w:noProof w:val="0"/>
          <w:rtl/>
        </w:rPr>
        <w:tab/>
      </w:r>
      <w:r w:rsidR="007D0751">
        <w:rPr>
          <w:rFonts w:hint="cs" w:ascii="Arial" w:hAnsi="Arial"/>
          <w:noProof w:val="0"/>
          <w:rtl/>
        </w:rPr>
        <w:t>עולה מ</w:t>
      </w:r>
      <w:r w:rsidR="006211F2">
        <w:rPr>
          <w:rFonts w:hint="cs" w:ascii="Arial" w:hAnsi="Arial"/>
          <w:noProof w:val="0"/>
          <w:rtl/>
        </w:rPr>
        <w:t>כלל הראיות שהתובע למעשה ניצח את המלחמה שלו בין מועד הגשת התביעה עד מועד הדיון.</w:t>
      </w:r>
    </w:p>
    <w:p w:rsidR="006211F2" w:rsidP="000B4AFB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אין ספק שאם התובע לא היה מגיש תביעתו הנתבעת מס' 2 לא </w:t>
      </w:r>
      <w:r w:rsidR="007D0751">
        <w:rPr>
          <w:rFonts w:hint="cs" w:ascii="Arial" w:hAnsi="Arial"/>
          <w:noProof w:val="0"/>
          <w:rtl/>
        </w:rPr>
        <w:t>היית</w:t>
      </w:r>
      <w:r w:rsidR="007D0751">
        <w:rPr>
          <w:rFonts w:hint="eastAsia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נותנת זיכוי של 450 ₪ לכל הדיירים.</w:t>
      </w:r>
    </w:p>
    <w:p w:rsidR="006211F2" w:rsidP="000B4AFB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</w:p>
    <w:p w:rsidR="006211F2" w:rsidP="000B4AFB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hint="cs" w:ascii="Arial" w:hAnsi="Arial"/>
          <w:noProof w:val="0"/>
          <w:rtl/>
        </w:rPr>
        <w:tab/>
        <w:t>סכום הזיכוי מלמד שהסכום שנדרש על ידי הנתבעת 2 היה מעבר לסביר. אם לא כן כיצד היא מסכימה להנחה וזיכוי?</w:t>
      </w:r>
    </w:p>
    <w:p w:rsidR="006211F2" w:rsidP="000B4AFB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די בכך להניח את ד</w:t>
      </w:r>
      <w:r w:rsidR="00045187">
        <w:rPr>
          <w:rFonts w:hint="cs" w:ascii="Arial" w:hAnsi="Arial"/>
          <w:noProof w:val="0"/>
          <w:rtl/>
        </w:rPr>
        <w:t>ע</w:t>
      </w:r>
      <w:r>
        <w:rPr>
          <w:rFonts w:hint="cs" w:ascii="Arial" w:hAnsi="Arial"/>
          <w:noProof w:val="0"/>
          <w:rtl/>
        </w:rPr>
        <w:t>תי שהיה בסיס צודק להגשת התביעה.</w:t>
      </w:r>
    </w:p>
    <w:p w:rsidR="006211F2" w:rsidP="000B4AFB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</w:p>
    <w:p w:rsidR="006211F2" w:rsidP="006211F2" w:rsidRDefault="007D0751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  <w:t xml:space="preserve">לאחר  הזיכוי </w:t>
      </w:r>
      <w:r w:rsidR="006211F2">
        <w:rPr>
          <w:rFonts w:hint="cs" w:ascii="Arial" w:hAnsi="Arial"/>
          <w:noProof w:val="0"/>
          <w:rtl/>
        </w:rPr>
        <w:t xml:space="preserve"> של הנתבעת 2, במחלוקת היח</w:t>
      </w:r>
      <w:r>
        <w:rPr>
          <w:rFonts w:hint="cs" w:ascii="Arial" w:hAnsi="Arial"/>
          <w:noProof w:val="0"/>
          <w:rtl/>
        </w:rPr>
        <w:t>ידה הוא בקשה למקדמה למילוי המלאי</w:t>
      </w:r>
      <w:r w:rsidR="006211F2">
        <w:rPr>
          <w:rFonts w:hint="cs" w:ascii="Arial" w:hAnsi="Arial"/>
          <w:noProof w:val="0"/>
          <w:rtl/>
        </w:rPr>
        <w:t xml:space="preserve"> של 275 ₪.</w:t>
      </w:r>
    </w:p>
    <w:p w:rsidR="006211F2" w:rsidP="006211F2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 w:rsidR="0023400B">
        <w:rPr>
          <w:rFonts w:hint="cs" w:ascii="Arial" w:hAnsi="Arial"/>
          <w:noProof w:val="0"/>
          <w:rtl/>
        </w:rPr>
        <w:t>נציג הנתבעת 2 טען שזה מחו</w:t>
      </w:r>
      <w:r>
        <w:rPr>
          <w:rFonts w:hint="cs" w:ascii="Arial" w:hAnsi="Arial"/>
          <w:noProof w:val="0"/>
          <w:rtl/>
        </w:rPr>
        <w:t>יב בחוק, אך לא פירט את החוק או העיף הרלוונטי.</w:t>
      </w:r>
    </w:p>
    <w:p w:rsidR="006211F2" w:rsidP="006211F2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לכן מגיע לתובע ההחזר.</w:t>
      </w:r>
    </w:p>
    <w:p w:rsidR="006211F2" w:rsidP="006211F2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</w:p>
    <w:p w:rsidR="006211F2" w:rsidP="006211F2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ד.</w:t>
      </w:r>
      <w:r>
        <w:rPr>
          <w:rFonts w:hint="cs" w:ascii="Arial" w:hAnsi="Arial"/>
          <w:noProof w:val="0"/>
          <w:rtl/>
        </w:rPr>
        <w:tab/>
        <w:t xml:space="preserve">אין בסיס לתביעה נגד הנתבעת 1 שלא </w:t>
      </w:r>
      <w:r w:rsidR="0023400B">
        <w:rPr>
          <w:rFonts w:hint="cs" w:ascii="Arial" w:hAnsi="Arial"/>
          <w:noProof w:val="0"/>
          <w:rtl/>
        </w:rPr>
        <w:t>היית</w:t>
      </w:r>
      <w:r w:rsidR="0023400B">
        <w:rPr>
          <w:rFonts w:hint="eastAsia" w:ascii="Arial" w:hAnsi="Arial"/>
          <w:noProof w:val="0"/>
          <w:rtl/>
        </w:rPr>
        <w:t>ה</w:t>
      </w:r>
      <w:bookmarkStart w:name="_GoBack" w:id="0"/>
      <w:bookmarkEnd w:id="0"/>
      <w:r>
        <w:rPr>
          <w:rFonts w:hint="cs" w:ascii="Arial" w:hAnsi="Arial"/>
          <w:noProof w:val="0"/>
          <w:rtl/>
        </w:rPr>
        <w:t xml:space="preserve"> שותפה לגביית הכספים לכן התביעה נגד התובע 1 נדחית ללא צו להוצאות.</w:t>
      </w:r>
    </w:p>
    <w:p w:rsidR="006211F2" w:rsidP="006211F2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</w:p>
    <w:p w:rsidR="006211F2" w:rsidP="006211F2" w:rsidRDefault="006211F2">
      <w:pPr>
        <w:spacing w:line="360" w:lineRule="auto"/>
        <w:ind w:left="1440" w:hanging="720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לכן אני מחייב את הנתבעת 2 לשלם לתובע 257 ₪ ועוד 750 ₪ הוצאות הדיון וזאת תוך שלושים יום מהיום.</w:t>
      </w:r>
    </w:p>
    <w:p w:rsidR="006211F2" w:rsidRDefault="006211F2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472EC5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00200" cy="7905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f48eb5596094eb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020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72EC5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72EC5">
      <w:rPr>
        <w:rStyle w:val="ab"/>
        <w:rtl/>
      </w:rPr>
      <w:t>4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2EC5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בנתניה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472EC5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3702-10-17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אגמי נ' רמי שבירו הנדסה בניה והשקעות בע"מ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45187"/>
    <w:rsid w:val="000564AB"/>
    <w:rsid w:val="000B4AFB"/>
    <w:rsid w:val="000D4A02"/>
    <w:rsid w:val="001072A9"/>
    <w:rsid w:val="00121F97"/>
    <w:rsid w:val="001277D7"/>
    <w:rsid w:val="00132017"/>
    <w:rsid w:val="0014234E"/>
    <w:rsid w:val="00145A87"/>
    <w:rsid w:val="00172119"/>
    <w:rsid w:val="001C4003"/>
    <w:rsid w:val="001C4BD5"/>
    <w:rsid w:val="001C655B"/>
    <w:rsid w:val="001D71EE"/>
    <w:rsid w:val="001F5474"/>
    <w:rsid w:val="00200B72"/>
    <w:rsid w:val="0023400B"/>
    <w:rsid w:val="002352F7"/>
    <w:rsid w:val="00263EBD"/>
    <w:rsid w:val="00272CDB"/>
    <w:rsid w:val="002B0DE6"/>
    <w:rsid w:val="00311CD7"/>
    <w:rsid w:val="00357BE5"/>
    <w:rsid w:val="00381D3A"/>
    <w:rsid w:val="003823DA"/>
    <w:rsid w:val="00424A56"/>
    <w:rsid w:val="0043403F"/>
    <w:rsid w:val="0043595F"/>
    <w:rsid w:val="00472EC5"/>
    <w:rsid w:val="0047645A"/>
    <w:rsid w:val="004A7B13"/>
    <w:rsid w:val="004C07CE"/>
    <w:rsid w:val="004D49A3"/>
    <w:rsid w:val="004E6E3C"/>
    <w:rsid w:val="005124F1"/>
    <w:rsid w:val="00530BAD"/>
    <w:rsid w:val="00533191"/>
    <w:rsid w:val="00541598"/>
    <w:rsid w:val="00547DB7"/>
    <w:rsid w:val="00567324"/>
    <w:rsid w:val="005B0F49"/>
    <w:rsid w:val="005C7EC6"/>
    <w:rsid w:val="005D4BDB"/>
    <w:rsid w:val="0061431B"/>
    <w:rsid w:val="006211F2"/>
    <w:rsid w:val="00622BAA"/>
    <w:rsid w:val="00625C89"/>
    <w:rsid w:val="00633C4F"/>
    <w:rsid w:val="00671BD5"/>
    <w:rsid w:val="006805C1"/>
    <w:rsid w:val="006816EC"/>
    <w:rsid w:val="00694556"/>
    <w:rsid w:val="006E1A53"/>
    <w:rsid w:val="006F55C6"/>
    <w:rsid w:val="007056AA"/>
    <w:rsid w:val="00744F41"/>
    <w:rsid w:val="007A24FE"/>
    <w:rsid w:val="007A35AA"/>
    <w:rsid w:val="007C14B5"/>
    <w:rsid w:val="007D0751"/>
    <w:rsid w:val="007F1048"/>
    <w:rsid w:val="00820005"/>
    <w:rsid w:val="00846D27"/>
    <w:rsid w:val="008610A7"/>
    <w:rsid w:val="008E1332"/>
    <w:rsid w:val="00903896"/>
    <w:rsid w:val="0091571D"/>
    <w:rsid w:val="00920497"/>
    <w:rsid w:val="00927813"/>
    <w:rsid w:val="00944D13"/>
    <w:rsid w:val="00957C90"/>
    <w:rsid w:val="00970CFA"/>
    <w:rsid w:val="009E0263"/>
    <w:rsid w:val="00A267CF"/>
    <w:rsid w:val="00A43458"/>
    <w:rsid w:val="00AA15C0"/>
    <w:rsid w:val="00AC4E19"/>
    <w:rsid w:val="00AF1ED6"/>
    <w:rsid w:val="00B32C61"/>
    <w:rsid w:val="00B368FE"/>
    <w:rsid w:val="00B80CBD"/>
    <w:rsid w:val="00B92773"/>
    <w:rsid w:val="00BA083D"/>
    <w:rsid w:val="00BC3369"/>
    <w:rsid w:val="00BE27E4"/>
    <w:rsid w:val="00BF77EE"/>
    <w:rsid w:val="00C32E0F"/>
    <w:rsid w:val="00C42BF9"/>
    <w:rsid w:val="00C83E56"/>
    <w:rsid w:val="00D319B3"/>
    <w:rsid w:val="00D36A71"/>
    <w:rsid w:val="00D53924"/>
    <w:rsid w:val="00D60849"/>
    <w:rsid w:val="00D64F60"/>
    <w:rsid w:val="00D96D8C"/>
    <w:rsid w:val="00DA755B"/>
    <w:rsid w:val="00DC4E6F"/>
    <w:rsid w:val="00DD337E"/>
    <w:rsid w:val="00E00B6F"/>
    <w:rsid w:val="00E51EDB"/>
    <w:rsid w:val="00E54642"/>
    <w:rsid w:val="00E97908"/>
    <w:rsid w:val="00EB6950"/>
    <w:rsid w:val="00EF3ED0"/>
    <w:rsid w:val="00F17E56"/>
    <w:rsid w:val="00F73F7C"/>
    <w:rsid w:val="00F8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238F511F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8f48eb5596094eb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B40AEB"/>
    <w:rsid w:val="00CC5512"/>
    <w:rsid w:val="00D21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581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הרווי גרובס</cp:lastModifiedBy>
  <cp:revision>76</cp:revision>
  <dcterms:created xsi:type="dcterms:W3CDTF">2012-08-05T21:29:00Z</dcterms:created>
  <dcterms:modified xsi:type="dcterms:W3CDTF">2018-04-12T15:04:00Z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