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A030C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A030C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DA030C">
              <w:rPr>
                <w:rFonts w:hint="cs" w:ascii="Arial" w:hAnsi="Arial"/>
                <w:b/>
                <w:bCs/>
                <w:rtl/>
              </w:rPr>
              <w:t>שרונה צור גינור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7C7A4D" w:rsidP="00AC7DB5" w:rsidRDefault="008757B6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8757B6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יבגני שושמנוב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hint="cs"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AC7DB5" w:rsidRDefault="008757B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8757B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איציק מסיקה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AC7DB5" w:rsidP="00AC7DB5" w:rsidRDefault="00AC7DB5">
      <w:pPr>
        <w:spacing w:before="15" w:after="15" w:line="360" w:lineRule="auto"/>
        <w:ind w:left="15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 xml:space="preserve">הישיבה המקדמית תתקיים ביום 13/6/18  בשעה  13:00. </w:t>
      </w:r>
    </w:p>
    <w:p w:rsidR="00AC7DB5" w:rsidP="004D6083" w:rsidRDefault="00AC7DB5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AC7DB5" w:rsidP="004D6083" w:rsidRDefault="00AC7DB5">
      <w:pPr>
        <w:spacing w:before="15" w:after="15" w:line="360" w:lineRule="auto"/>
        <w:ind w:left="720" w:right="17" w:hanging="703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 xml:space="preserve">א. </w:t>
      </w:r>
      <w:r>
        <w:rPr>
          <w:rFonts w:hint="cs" w:ascii="Arial" w:hAnsi="Arial"/>
          <w:rtl/>
        </w:rPr>
        <w:tab/>
        <w:t>תשומת לב הצדדים מופנית להוראות פרק ט"ז 1 לתקנות סדר הדין האזרחי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תשמ"ד - 1984 ובפרט להוראות סעיף 214 יא (ה) המחייבת התייצבותם של </w:t>
      </w:r>
    </w:p>
    <w:p w:rsidR="00AC7DB5" w:rsidP="00AC7DB5" w:rsidRDefault="00AC7DB5">
      <w:pPr>
        <w:spacing w:before="15" w:after="15" w:line="360" w:lineRule="auto"/>
        <w:ind w:left="720" w:right="17" w:firstLine="720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בעלי הדין . </w:t>
      </w:r>
    </w:p>
    <w:p w:rsidR="00AC7DB5" w:rsidP="00AC7DB5" w:rsidRDefault="00AC7DB5">
      <w:pPr>
        <w:spacing w:before="15" w:after="15" w:line="360" w:lineRule="auto"/>
        <w:ind w:left="720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ab/>
        <w:t xml:space="preserve">היה בעל הדין המדינה או תאגיד יהא פטור מהתייצבות לישיבה המקדמית, </w:t>
      </w:r>
      <w:r>
        <w:rPr>
          <w:rFonts w:hint="cs" w:ascii="Arial" w:hAnsi="Arial"/>
          <w:rtl/>
        </w:rPr>
        <w:tab/>
        <w:t xml:space="preserve">ובלבד </w:t>
      </w:r>
      <w:r>
        <w:rPr>
          <w:rFonts w:hint="cs" w:ascii="Arial" w:hAnsi="Arial"/>
          <w:rtl/>
        </w:rPr>
        <w:tab/>
        <w:t xml:space="preserve">שהגיש לבית המשפט, לא יאוחר מ- 7 ימים לפני הישיבה המקדמית, </w:t>
      </w:r>
      <w:r>
        <w:rPr>
          <w:rFonts w:hint="cs" w:ascii="Arial" w:hAnsi="Arial"/>
          <w:rtl/>
        </w:rPr>
        <w:tab/>
        <w:t xml:space="preserve">התחייבות בכתב, כי נציג מטעמו הבקיא בפרטי התובענה ומוסמך להחליט </w:t>
      </w:r>
      <w:r>
        <w:rPr>
          <w:rFonts w:hint="cs" w:ascii="Arial" w:hAnsi="Arial"/>
          <w:rtl/>
        </w:rPr>
        <w:tab/>
        <w:t>בעניינה יהא זמין בטלפון בזמן הישיבה המקדמית. </w:t>
      </w:r>
    </w:p>
    <w:p w:rsidR="00AC7DB5" w:rsidP="004D6083" w:rsidRDefault="00AC7DB5">
      <w:pPr>
        <w:spacing w:before="15" w:after="15" w:line="360" w:lineRule="auto"/>
        <w:ind w:left="1440" w:right="15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ב. </w:t>
      </w:r>
      <w:r>
        <w:rPr>
          <w:rFonts w:hint="cs" w:ascii="Arial" w:hAnsi="Arial"/>
          <w:rtl/>
        </w:rPr>
        <w:tab/>
        <w:t>בקשות ביניים על פי תקנה 214 י"ג תוגשנה עד לא יאוחר מחמשה ימים טרם מועד הדיון שנקבע, בצירוף העתק מלא לצד שכנגד. </w:t>
      </w:r>
    </w:p>
    <w:p w:rsidR="00AC7DB5" w:rsidP="004D6083" w:rsidRDefault="00AC7DB5">
      <w:pPr>
        <w:spacing w:before="15" w:after="15" w:line="360" w:lineRule="auto"/>
        <w:ind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 </w:t>
      </w:r>
    </w:p>
    <w:p w:rsidR="00AC7DB5" w:rsidP="004D6083" w:rsidRDefault="00AC7DB5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3.  </w:t>
      </w:r>
      <w:r>
        <w:rPr>
          <w:rFonts w:hint="cs" w:ascii="Arial" w:hAnsi="Arial"/>
          <w:rtl/>
        </w:rPr>
        <w:tab/>
        <w:t>הצדדים יערכו לשמיעת התובענה לפי סעיף 79א(א) לחוק בתי המשפט [נוסח משולב], התשמ"ד- 1984 .</w:t>
      </w:r>
    </w:p>
    <w:p w:rsidR="00AC7DB5" w:rsidP="004D6083" w:rsidRDefault="00AC7DB5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 </w:t>
      </w:r>
    </w:p>
    <w:p w:rsidR="00AC7DB5" w:rsidP="004D6083" w:rsidRDefault="00AC7DB5">
      <w:pPr>
        <w:spacing w:before="15" w:after="15" w:line="48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המזכירות תזמן את הצדדים בצרוף החלטה זו </w:t>
      </w:r>
      <w:r>
        <w:rPr>
          <w:rFonts w:hint="cs" w:ascii="Arial" w:hAnsi="Arial"/>
          <w:b/>
          <w:bCs/>
          <w:rtl/>
        </w:rPr>
        <w:t>.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8757B6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6d4a5543358441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DB5" w:rsidRDefault="00AC7D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757B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757B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DB5" w:rsidRDefault="00AC7D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DB5" w:rsidRDefault="00AC7DB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C7DB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8757B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כ"ו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11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757B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22506-10-17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שושמנוב נ' מסיקה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DB5" w:rsidRDefault="00AC7D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CDEBA5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70C1D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067C7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6A6FF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42F77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6C4BB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50CCD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6618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ACBF9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14A64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19F6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D2D12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A45DE"/>
    <w:rsid w:val="007C7A4D"/>
    <w:rsid w:val="007E6115"/>
    <w:rsid w:val="007F4609"/>
    <w:rsid w:val="008176A1"/>
    <w:rsid w:val="00820005"/>
    <w:rsid w:val="00844318"/>
    <w:rsid w:val="008757B6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C7DB5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630BF"/>
    <w:rsid w:val="00D96D8C"/>
    <w:rsid w:val="00DA030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1CF00001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C7D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C7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C7D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C7D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C7D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C7DB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C7D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C7D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AC7DB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C7DB5"/>
    <w:rPr>
      <w:i/>
      <w:iCs/>
      <w:noProof w:val="0"/>
    </w:rPr>
  </w:style>
  <w:style w:type="character" w:styleId="HTMLCode">
    <w:name w:val="HTML Code"/>
    <w:basedOn w:val="a2"/>
    <w:semiHidden/>
    <w:unhideWhenUsed/>
    <w:rsid w:val="00AC7DB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C7DB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C7DB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C7DB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C7DB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C7DB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C7DB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C7DB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C7DB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C7DB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C7DB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C7DB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C7DB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C7DB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C7DB5"/>
    <w:pPr>
      <w:ind w:left="2160" w:hanging="240"/>
    </w:pPr>
  </w:style>
  <w:style w:type="paragraph" w:styleId="NormalWeb">
    <w:name w:val="Normal (Web)"/>
    <w:basedOn w:val="a1"/>
    <w:semiHidden/>
    <w:unhideWhenUsed/>
    <w:rsid w:val="00AC7DB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C7DB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C7DB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C7DB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C7DB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C7DB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C7DB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C7DB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C7DB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C7DB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C7DB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C7DB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C7DB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AC7DB5"/>
  </w:style>
  <w:style w:type="paragraph" w:styleId="af0">
    <w:name w:val="Salutation"/>
    <w:basedOn w:val="a1"/>
    <w:next w:val="a1"/>
    <w:link w:val="af1"/>
    <w:rsid w:val="00AC7DB5"/>
  </w:style>
  <w:style w:type="character" w:customStyle="1" w:styleId="af1">
    <w:name w:val="ברכה תו"/>
    <w:basedOn w:val="a2"/>
    <w:link w:val="af0"/>
    <w:rsid w:val="00AC7DB5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AC7DB5"/>
    <w:pPr>
      <w:spacing w:after="120"/>
    </w:pPr>
  </w:style>
  <w:style w:type="character" w:customStyle="1" w:styleId="af3">
    <w:name w:val="גוף טקסט תו"/>
    <w:basedOn w:val="a2"/>
    <w:link w:val="af2"/>
    <w:semiHidden/>
    <w:rsid w:val="00AC7DB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C7DB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C7DB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C7DB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C7DB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C7DB5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AC7DB5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AC7DB5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AC7DB5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AC7DB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C7DB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C7DB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C7DB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C7DB5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AC7DB5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AC7DB5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AC7DB5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AC7DB5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AC7DB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C7DB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C7DB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C7DB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C7DB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C7D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C7DB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C7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AC7D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C7D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C7D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C7D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C7D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C7D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C7D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AC7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C7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C7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C7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C7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C7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AC7DB5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AC7DB5"/>
    <w:pPr>
      <w:ind w:left="4252"/>
    </w:pPr>
  </w:style>
  <w:style w:type="character" w:customStyle="1" w:styleId="aff0">
    <w:name w:val="חתימה תו"/>
    <w:basedOn w:val="a2"/>
    <w:link w:val="aff"/>
    <w:semiHidden/>
    <w:rsid w:val="00AC7DB5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AC7DB5"/>
  </w:style>
  <w:style w:type="character" w:customStyle="1" w:styleId="aff2">
    <w:name w:val="חתימת דואר אלקטרוני תו"/>
    <w:basedOn w:val="a2"/>
    <w:link w:val="aff1"/>
    <w:semiHidden/>
    <w:rsid w:val="00AC7DB5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AC7DB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AC7D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C7DB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C7DB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AC7DB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C7DB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C7DB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C7D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C7DB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C7DB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C7DB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C7D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C7D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C7DB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C7DB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C7D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C7DB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C7DB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C7DB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C7DB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C7DB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C7DB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C7DB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C7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C7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C7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C7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C7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C7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C7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C7DB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C7DB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C7DB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C7DB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C7DB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C7DB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C7DB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C7DB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C7DB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C7DB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C7DB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C7DB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C7DB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C7DB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C7D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C7D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C7D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C7D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C7D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C7D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C7D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C7DB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C7DB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C7DB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C7DB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C7DB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C7DB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C7DB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C7DB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C7D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C7D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C7D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C7D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C7D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C7D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C7DB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C7DB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C7DB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C7DB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C7DB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C7DB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C7DB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C7D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C7DB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C7DB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C7DB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C7DB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C7DB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C7DB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C7DB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C7DB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C7DB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C7DB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C7DB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C7DB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C7DB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C7D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C7D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C7D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C7D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C7D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C7D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C7D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C7D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C7D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C7D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C7D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C7D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C7D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C7D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C7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C7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C7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C7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C7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C7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C7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C7D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C7D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C7D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C7D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C7D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C7D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C7D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C7D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C7D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C7D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C7D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C7D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C7D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C7D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AC7DB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AC7DB5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AC7DB5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AC7DB5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AC7DB5"/>
    <w:rPr>
      <w:rFonts w:cs="David"/>
      <w:noProof w:val="0"/>
    </w:rPr>
  </w:style>
  <w:style w:type="paragraph" w:styleId="affb">
    <w:name w:val="macro"/>
    <w:link w:val="affc"/>
    <w:semiHidden/>
    <w:unhideWhenUsed/>
    <w:rsid w:val="00AC7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AC7DB5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AC7DB5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AC7DB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AC7DB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AC7DB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C7DB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C7DB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C7D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C7DB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C7D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C7DB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C7DB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C7DB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AC7DB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AC7DB5"/>
  </w:style>
  <w:style w:type="character" w:customStyle="1" w:styleId="afff3">
    <w:name w:val="כותרת הערות תו"/>
    <w:basedOn w:val="a2"/>
    <w:link w:val="afff2"/>
    <w:semiHidden/>
    <w:rsid w:val="00AC7DB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AC7D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AC7DB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AC7D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AC7DB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AC7D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AC7DB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AC7DB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AC7DB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AC7DB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AC7DB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AC7DB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C7DB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C7DB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C7DB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C7DB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AC7DB5"/>
    <w:pPr>
      <w:ind w:left="720"/>
    </w:pPr>
  </w:style>
  <w:style w:type="paragraph" w:styleId="affff0">
    <w:name w:val="Body Text First Indent"/>
    <w:basedOn w:val="af2"/>
    <w:link w:val="affff1"/>
    <w:rsid w:val="00AC7DB5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AC7DB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AC7DB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AC7DB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C7DB5"/>
    <w:rPr>
      <w:i/>
      <w:iCs/>
    </w:rPr>
  </w:style>
  <w:style w:type="character" w:customStyle="1" w:styleId="HTML3">
    <w:name w:val="כתובת HTML תו"/>
    <w:basedOn w:val="a2"/>
    <w:link w:val="HTML2"/>
    <w:semiHidden/>
    <w:rsid w:val="00AC7DB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AC7DB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AC7DB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AC7DB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C7DB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AC7DB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C7DB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C7DB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AC7DB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C7DB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AC7DB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C7DB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C7DB5"/>
    <w:pPr>
      <w:ind w:left="4252"/>
    </w:pPr>
  </w:style>
  <w:style w:type="character" w:customStyle="1" w:styleId="affffb">
    <w:name w:val="סיום תו"/>
    <w:basedOn w:val="a2"/>
    <w:link w:val="affffa"/>
    <w:semiHidden/>
    <w:rsid w:val="00AC7DB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C7DB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C7DB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C7DB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C7DB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C7DB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C7DB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C7D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C7DB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C7DB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C7DB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C7DB5"/>
    <w:rPr>
      <w:noProof w:val="0"/>
    </w:rPr>
  </w:style>
  <w:style w:type="paragraph" w:styleId="afffff1">
    <w:name w:val="List"/>
    <w:basedOn w:val="a1"/>
    <w:semiHidden/>
    <w:unhideWhenUsed/>
    <w:rsid w:val="00AC7DB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C7DB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C7DB5"/>
    <w:pPr>
      <w:ind w:left="849" w:hanging="283"/>
      <w:contextualSpacing/>
    </w:pPr>
  </w:style>
  <w:style w:type="paragraph" w:styleId="48">
    <w:name w:val="List 4"/>
    <w:basedOn w:val="a1"/>
    <w:rsid w:val="00AC7DB5"/>
    <w:pPr>
      <w:ind w:left="1132" w:hanging="283"/>
      <w:contextualSpacing/>
    </w:pPr>
  </w:style>
  <w:style w:type="paragraph" w:styleId="58">
    <w:name w:val="List 5"/>
    <w:basedOn w:val="a1"/>
    <w:rsid w:val="00AC7DB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AC7D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C7D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C7D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C7D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C7D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C7D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C7D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C7DB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C7DB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C7DB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C7D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C7D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C7D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C7DB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C7D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C7DB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C7DB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C7DB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C7DB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C7DB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C7DB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C7DB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C7DB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AC7DB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AC7DB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AC7DB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AC7DB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AC7DB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AC7DB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AC7DB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AC7DB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AC7DB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C7DB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C7DB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C7DB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C7DB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C7DB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C7DB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C7DB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C7DB5"/>
  </w:style>
  <w:style w:type="paragraph" w:styleId="afffff6">
    <w:name w:val="table of authorities"/>
    <w:basedOn w:val="a1"/>
    <w:next w:val="a1"/>
    <w:semiHidden/>
    <w:unhideWhenUsed/>
    <w:rsid w:val="00AC7DB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AC7D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C7D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C7D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C7D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C7D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C7D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C7D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C7D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C7D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C7D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C7D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C7D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C7D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C7D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C7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C7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C7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C7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C7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C7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C7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C7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C7D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C7DB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C7DB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C7DB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C7D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C7D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C7DB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C7DB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C7DB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C7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C7DB5"/>
  </w:style>
  <w:style w:type="character" w:customStyle="1" w:styleId="afffffb">
    <w:name w:val="תאריך תו"/>
    <w:basedOn w:val="a2"/>
    <w:link w:val="afffffa"/>
    <w:rsid w:val="00AC7DB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b6d4a5543358441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735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12</cp:revision>
  <dcterms:created xsi:type="dcterms:W3CDTF">2012-08-05T19:28:00Z</dcterms:created>
  <dcterms:modified xsi:type="dcterms:W3CDTF">2018-04-11T12:04:00Z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