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עבאס עאסי</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E57E38" w:rsidP="00F2528D" w:rsidRDefault="00513F65">
                <w:pPr>
                  <w:rPr>
                    <w:rFonts w:ascii="Arial (W1)" w:hAnsi="Arial (W1)"/>
                    <w:b/>
                    <w:bCs/>
                    <w:noProof w:val="0"/>
                    <w:sz w:val="28"/>
                    <w:szCs w:val="28"/>
                  </w:rPr>
                </w:pPr>
                <w:r>
                  <w:rPr>
                    <w:rFonts w:hint="cs"/>
                    <w:b/>
                    <w:bCs/>
                    <w:noProof w:val="0"/>
                    <w:sz w:val="28"/>
                    <w:rtl/>
                  </w:rPr>
                  <w:t>תובע</w:t>
                </w:r>
              </w:p>
            </w:sdtContent>
          </w:sdt>
        </w:tc>
        <w:tc>
          <w:tcPr>
            <w:tcW w:w="5571" w:type="dxa"/>
          </w:tcPr>
          <w:p w:rsidR="006816EC" w:rsidRDefault="006816EC">
            <w:pPr>
              <w:rPr>
                <w:rFonts w:ascii="Arial (W1)" w:hAnsi="Arial (W1)"/>
                <w:b/>
                <w:bCs/>
                <w:noProof w:val="0"/>
                <w:sz w:val="28"/>
                <w:szCs w:val="28"/>
                <w:rtl/>
              </w:rPr>
            </w:pPr>
          </w:p>
          <w:p w:rsidR="006816EC" w:rsidRDefault="00513F65">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דניאל חזן</w:t>
                </w:r>
                <w:r w:rsidR="00F2528D">
                  <w:rPr>
                    <w:b/>
                    <w:bCs/>
                    <w:noProof w:val="0"/>
                    <w:sz w:val="28"/>
                    <w:rtl/>
                  </w:rPr>
                  <w:br/>
                </w:r>
                <w:r w:rsidR="00F2528D">
                  <w:rPr>
                    <w:rFonts w:hint="cs"/>
                    <w:rtl/>
                  </w:rPr>
                  <w:t>ע"י ב"כ עו"ד א. בארי</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513F65">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נתבעים</w:t>
                </w:r>
              </w:sdtContent>
            </w:sdt>
          </w:p>
        </w:tc>
        <w:tc>
          <w:tcPr>
            <w:tcW w:w="5571" w:type="dxa"/>
          </w:tcPr>
          <w:p w:rsidR="006816EC" w:rsidRDefault="006816EC">
            <w:pPr>
              <w:rPr>
                <w:rFonts w:ascii="Arial (W1)" w:hAnsi="Arial (W1)"/>
                <w:b/>
                <w:bCs/>
                <w:noProof w:val="0"/>
                <w:sz w:val="28"/>
                <w:szCs w:val="28"/>
                <w:rtl/>
              </w:rPr>
            </w:pPr>
          </w:p>
          <w:p w:rsidR="006816EC" w:rsidRDefault="00513F65">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אליהו חברה לביטוח בע"מ</w:t>
                </w:r>
              </w:sdtContent>
            </w:sdt>
          </w:p>
          <w:p w:rsidR="006816EC" w:rsidRDefault="00513F65">
            <w:pPr>
              <w:rPr>
                <w:rFonts w:ascii="Arial (W1)" w:hAnsi="Arial (W1)"/>
                <w:b/>
                <w:bCs/>
                <w:noProof w:val="0"/>
                <w:sz w:val="28"/>
                <w:szCs w:val="28"/>
              </w:rPr>
            </w:pPr>
            <w:sdt>
              <w:sdtPr>
                <w:rPr>
                  <w:rFonts w:hint="cs"/>
                  <w:rtl/>
                </w:rPr>
                <w:alias w:val="1571"/>
                <w:tag w:val="1571"/>
                <w:id w:val="898715866"/>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165400332"/>
                <w:text w:multiLine="1"/>
              </w:sdtPr>
              <w:sdtEndPr/>
              <w:sdtContent>
                <w:r w:rsidR="00D36A71">
                  <w:rPr>
                    <w:rFonts w:hint="cs"/>
                    <w:b/>
                    <w:bCs/>
                    <w:noProof w:val="0"/>
                    <w:sz w:val="28"/>
                    <w:rtl/>
                  </w:rPr>
                  <w:t>ארז כהן</w:t>
                </w:r>
                <w:r w:rsidR="00F2528D">
                  <w:rPr>
                    <w:b/>
                    <w:bCs/>
                    <w:noProof w:val="0"/>
                    <w:sz w:val="28"/>
                    <w:rtl/>
                  </w:rPr>
                  <w:br/>
                </w:r>
                <w:r w:rsidR="00F2528D">
                  <w:rPr>
                    <w:rFonts w:hint="cs"/>
                    <w:rtl/>
                  </w:rPr>
                  <w:t>ע"י ב"כ עוה"ד</w:t>
                </w:r>
              </w:sdtContent>
            </w:sdt>
            <w:r w:rsidR="00F2528D">
              <w:rPr>
                <w:rFonts w:hint="cs"/>
                <w:rtl/>
              </w:rPr>
              <w:t xml:space="preserve"> י. ראובינוף ואח'</w:t>
            </w:r>
          </w:p>
        </w:tc>
      </w:tr>
      <w:tr w:rsidR="00694556">
        <w:trPr>
          <w:jc w:val="center"/>
        </w:trPr>
        <w:tc>
          <w:tcPr>
            <w:tcW w:w="8820" w:type="dxa"/>
            <w:gridSpan w:val="3"/>
          </w:tcPr>
          <w:p w:rsidR="00F2528D" w:rsidRDefault="00F2528D">
            <w:pPr>
              <w:bidi w:val="0"/>
              <w:jc w:val="center"/>
              <w:rPr>
                <w:rFonts w:ascii="Arial" w:hAnsi="Arial"/>
                <w:b/>
                <w:bCs/>
                <w:noProof w:val="0"/>
                <w:sz w:val="28"/>
                <w:szCs w:val="28"/>
                <w:u w:val="single"/>
                <w:rtl/>
              </w:rPr>
            </w:pPr>
          </w:p>
          <w:p w:rsidR="00694556" w:rsidP="00F2528D"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F2528D" w:rsidP="00F2528D" w:rsidRDefault="00F2528D">
      <w:pPr>
        <w:spacing w:line="360" w:lineRule="auto"/>
        <w:jc w:val="both"/>
        <w:rPr>
          <w:noProof w:val="0"/>
          <w:sz w:val="26"/>
          <w:szCs w:val="26"/>
          <w:rtl/>
          <w:lang w:eastAsia="he-IL"/>
        </w:rPr>
      </w:pPr>
    </w:p>
    <w:p w:rsidRPr="00F2528D" w:rsidR="00F2528D" w:rsidP="00F2528D" w:rsidRDefault="00F2528D">
      <w:pPr>
        <w:spacing w:line="360" w:lineRule="auto"/>
        <w:jc w:val="both"/>
        <w:rPr>
          <w:noProof w:val="0"/>
          <w:sz w:val="26"/>
          <w:szCs w:val="26"/>
          <w:rtl/>
          <w:lang w:eastAsia="he-IL"/>
        </w:rPr>
      </w:pPr>
      <w:r w:rsidRPr="00F2528D">
        <w:rPr>
          <w:noProof w:val="0"/>
          <w:sz w:val="26"/>
          <w:szCs w:val="26"/>
          <w:rtl/>
          <w:lang w:eastAsia="he-IL"/>
        </w:rPr>
        <w:t>בקשה מטעם התובע למינוי מומחה נוסף, שלישי במספר, בתחום הפסיכיאטריה.</w:t>
      </w:r>
    </w:p>
    <w:p w:rsidRPr="00F2528D" w:rsidR="00F2528D" w:rsidP="00F2528D" w:rsidRDefault="00F2528D">
      <w:pPr>
        <w:spacing w:line="360" w:lineRule="auto"/>
        <w:jc w:val="both"/>
        <w:rPr>
          <w:noProof w:val="0"/>
          <w:sz w:val="26"/>
          <w:szCs w:val="26"/>
          <w:rtl/>
          <w:lang w:eastAsia="he-IL"/>
        </w:rPr>
      </w:pPr>
    </w:p>
    <w:p w:rsidRPr="00F2528D" w:rsidR="00F2528D" w:rsidP="00F2528D" w:rsidRDefault="00F2528D">
      <w:pPr>
        <w:spacing w:line="360" w:lineRule="auto"/>
        <w:jc w:val="both"/>
        <w:rPr>
          <w:noProof w:val="0"/>
          <w:sz w:val="26"/>
          <w:szCs w:val="26"/>
          <w:rtl/>
          <w:lang w:eastAsia="he-IL"/>
        </w:rPr>
      </w:pPr>
      <w:r w:rsidRPr="00F2528D">
        <w:rPr>
          <w:noProof w:val="0"/>
          <w:sz w:val="26"/>
          <w:szCs w:val="26"/>
          <w:rtl/>
          <w:lang w:eastAsia="he-IL"/>
        </w:rPr>
        <w:t>לאחר שנתתי את דעתי לנימוקי הבקשה, הגעתי לכלל מסקנה דין הבקשה להידחות ללא צורך בתגובה.</w:t>
      </w:r>
    </w:p>
    <w:p w:rsidRPr="00F2528D" w:rsidR="00F2528D" w:rsidP="00F2528D" w:rsidRDefault="00F2528D">
      <w:pPr>
        <w:spacing w:before="15" w:after="15" w:line="360" w:lineRule="auto"/>
        <w:ind w:left="180" w:right="15"/>
        <w:jc w:val="both"/>
        <w:rPr>
          <w:noProof w:val="0"/>
          <w:sz w:val="26"/>
          <w:szCs w:val="26"/>
          <w:rtl/>
          <w:lang w:eastAsia="he-IL"/>
        </w:rPr>
      </w:pPr>
    </w:p>
    <w:p w:rsidRPr="00F2528D" w:rsidR="00F2528D" w:rsidP="00F2528D" w:rsidRDefault="00F2528D">
      <w:pPr>
        <w:spacing w:line="360" w:lineRule="auto"/>
        <w:jc w:val="both"/>
        <w:rPr>
          <w:noProof w:val="0"/>
          <w:sz w:val="26"/>
          <w:szCs w:val="26"/>
          <w:rtl/>
          <w:lang w:eastAsia="he-IL"/>
        </w:rPr>
      </w:pPr>
      <w:r w:rsidRPr="00F2528D">
        <w:rPr>
          <w:noProof w:val="0"/>
          <w:sz w:val="26"/>
          <w:szCs w:val="26"/>
          <w:rtl/>
          <w:lang w:eastAsia="he-IL"/>
        </w:rPr>
        <w:t>בתיק זה כבר מונו שני מומחים מטעם בית המשפט בתחום הפסיכיאטריה: הראשון, ד"ר אהרנסון, והשניה, ד"ר דורסט, שמונתה על פי בקשת התובע למינוי מומחה נוסף שנתקבלה בהחלטה מיום 23.1.17.</w:t>
      </w:r>
    </w:p>
    <w:p w:rsidRPr="00F2528D" w:rsidR="00F2528D" w:rsidP="00F2528D" w:rsidRDefault="00F2528D">
      <w:pPr>
        <w:spacing w:line="360" w:lineRule="auto"/>
        <w:jc w:val="both"/>
        <w:rPr>
          <w:noProof w:val="0"/>
          <w:sz w:val="26"/>
          <w:szCs w:val="26"/>
          <w:rtl/>
          <w:lang w:eastAsia="he-IL"/>
        </w:rPr>
      </w:pPr>
    </w:p>
    <w:p w:rsidRPr="00F2528D" w:rsidR="00F2528D" w:rsidP="00F2528D" w:rsidRDefault="00F2528D">
      <w:pPr>
        <w:spacing w:line="360" w:lineRule="auto"/>
        <w:jc w:val="both"/>
        <w:rPr>
          <w:noProof w:val="0"/>
          <w:sz w:val="26"/>
          <w:szCs w:val="26"/>
          <w:rtl/>
          <w:lang w:eastAsia="he-IL"/>
        </w:rPr>
      </w:pPr>
      <w:r w:rsidRPr="00F2528D">
        <w:rPr>
          <w:noProof w:val="0"/>
          <w:sz w:val="26"/>
          <w:szCs w:val="26"/>
          <w:rtl/>
          <w:lang w:eastAsia="he-IL"/>
        </w:rPr>
        <w:t xml:space="preserve">ד"ר אהרנסון נתן שתי חוות דעת מטעמו ונחקר פעמיים בבית המשפט; גם ד"ר דורסט נחקרה בבית המשפט. המומחים פירטו ונימקו את עמדתם בנוגע למצבו הרפואי של התובע, כמיטב הבנתם וידיעותיהם. כעת מונח בפניי בית המשפט חומר רפואי ועובדתי רב בסוגיה זו לרבות עדות התובע וחקירתו בבית המשפט, שמאפשר לבית המשפט להגיע לחקר האמת ולמסקנות המתבקשות.  </w:t>
      </w:r>
    </w:p>
    <w:p w:rsidRPr="00F2528D" w:rsidR="00F2528D" w:rsidP="00F2528D" w:rsidRDefault="00F2528D">
      <w:pPr>
        <w:spacing w:line="360" w:lineRule="auto"/>
        <w:jc w:val="both"/>
        <w:rPr>
          <w:noProof w:val="0"/>
          <w:sz w:val="26"/>
          <w:szCs w:val="26"/>
          <w:rtl/>
          <w:lang w:eastAsia="he-IL"/>
        </w:rPr>
      </w:pPr>
    </w:p>
    <w:p w:rsidRPr="00F2528D" w:rsidR="00F2528D" w:rsidP="00F2528D" w:rsidRDefault="00F2528D">
      <w:pPr>
        <w:spacing w:line="360" w:lineRule="auto"/>
        <w:jc w:val="both"/>
        <w:rPr>
          <w:noProof w:val="0"/>
          <w:sz w:val="26"/>
          <w:szCs w:val="26"/>
          <w:rtl/>
          <w:lang w:eastAsia="he-IL"/>
        </w:rPr>
      </w:pPr>
      <w:r w:rsidRPr="00F2528D">
        <w:rPr>
          <w:noProof w:val="0"/>
          <w:sz w:val="26"/>
          <w:szCs w:val="26"/>
          <w:rtl/>
          <w:lang w:eastAsia="he-IL"/>
        </w:rPr>
        <w:t>כידוע, על פי הפסיקה "</w:t>
      </w:r>
      <w:r w:rsidRPr="00F2528D">
        <w:rPr>
          <w:noProof w:val="0"/>
          <w:sz w:val="26"/>
          <w:szCs w:val="26"/>
          <w:rtl/>
        </w:rPr>
        <w:t xml:space="preserve"> </w:t>
      </w:r>
      <w:r w:rsidRPr="00F2528D">
        <w:rPr>
          <w:rFonts w:ascii="Arial" w:hAnsi="Arial" w:cs="Arial"/>
          <w:noProof w:val="0"/>
          <w:spacing w:val="10"/>
          <w:sz w:val="26"/>
          <w:szCs w:val="26"/>
          <w:rtl/>
        </w:rPr>
        <w:t xml:space="preserve">מינוי המומחה הנוסף לא ייעשה כדבר שבשגרה, אלא מקום בו בית המשפט חש כי נבצר ממנו להגיע לחקר האמת לגבי מצבו של הנפגע, בהסתמך אך ורק על סמך חוות דעתו של המומחה הראשון" </w:t>
      </w:r>
      <w:r w:rsidRPr="00F2528D">
        <w:rPr>
          <w:rFonts w:ascii="Arial" w:hAnsi="Arial"/>
          <w:noProof w:val="0"/>
          <w:spacing w:val="10"/>
          <w:sz w:val="26"/>
          <w:szCs w:val="26"/>
          <w:rtl/>
        </w:rPr>
        <w:t>(ע"א 1534/12</w:t>
      </w:r>
      <w:r w:rsidRPr="00F2528D">
        <w:rPr>
          <w:rFonts w:ascii="Arial" w:hAnsi="Arial" w:cs="Arial"/>
          <w:noProof w:val="0"/>
          <w:spacing w:val="10"/>
          <w:sz w:val="26"/>
          <w:szCs w:val="26"/>
          <w:rtl/>
        </w:rPr>
        <w:t xml:space="preserve"> </w:t>
      </w:r>
      <w:r w:rsidRPr="00F2528D">
        <w:rPr>
          <w:rFonts w:ascii="Arial" w:hAnsi="Arial" w:cs="Miriam"/>
          <w:noProof w:val="0"/>
          <w:spacing w:val="10"/>
          <w:sz w:val="26"/>
          <w:szCs w:val="26"/>
          <w:rtl/>
        </w:rPr>
        <w:t xml:space="preserve">זידאן נגד הראל חברה לביטוח בע"מ </w:t>
      </w:r>
      <w:r w:rsidRPr="00F2528D">
        <w:rPr>
          <w:rFonts w:ascii="Arial" w:hAnsi="Arial"/>
          <w:noProof w:val="0"/>
          <w:spacing w:val="10"/>
          <w:sz w:val="26"/>
          <w:szCs w:val="26"/>
          <w:rtl/>
        </w:rPr>
        <w:t>(13.2.2013)).</w:t>
      </w:r>
    </w:p>
    <w:p w:rsidRPr="00F2528D" w:rsidR="00F2528D" w:rsidP="00F2528D" w:rsidRDefault="00F2528D">
      <w:pPr>
        <w:spacing w:line="360" w:lineRule="auto"/>
        <w:jc w:val="both"/>
        <w:rPr>
          <w:noProof w:val="0"/>
          <w:sz w:val="26"/>
          <w:szCs w:val="26"/>
          <w:rtl/>
          <w:lang w:eastAsia="he-IL"/>
        </w:rPr>
      </w:pPr>
    </w:p>
    <w:p w:rsidRPr="00F2528D" w:rsidR="00F2528D" w:rsidP="00F2528D" w:rsidRDefault="00F2528D">
      <w:pPr>
        <w:tabs>
          <w:tab w:val="left" w:pos="800"/>
        </w:tabs>
        <w:overflowPunct w:val="0"/>
        <w:autoSpaceDE w:val="0"/>
        <w:autoSpaceDN w:val="0"/>
        <w:adjustRightInd w:val="0"/>
        <w:spacing w:line="360" w:lineRule="auto"/>
        <w:jc w:val="both"/>
        <w:rPr>
          <w:rFonts w:cs="Miriam"/>
          <w:noProof w:val="0"/>
          <w:spacing w:val="10"/>
          <w:sz w:val="26"/>
          <w:szCs w:val="26"/>
          <w:rtl/>
        </w:rPr>
      </w:pPr>
      <w:r w:rsidRPr="00F2528D">
        <w:rPr>
          <w:rFonts w:hint="eastAsia" w:ascii="Arial TUR" w:hAnsi="Arial TUR"/>
          <w:noProof w:val="0"/>
          <w:spacing w:val="10"/>
          <w:sz w:val="26"/>
          <w:szCs w:val="26"/>
          <w:rtl/>
        </w:rPr>
        <w:t>זאת</w:t>
      </w:r>
      <w:r w:rsidRPr="00F2528D">
        <w:rPr>
          <w:rFonts w:ascii="Arial TUR" w:hAnsi="Arial TUR"/>
          <w:noProof w:val="0"/>
          <w:spacing w:val="10"/>
          <w:sz w:val="26"/>
          <w:szCs w:val="26"/>
          <w:rtl/>
        </w:rPr>
        <w:t xml:space="preserve"> </w:t>
      </w:r>
      <w:r w:rsidRPr="00F2528D">
        <w:rPr>
          <w:rFonts w:hint="eastAsia" w:ascii="Arial TUR" w:hAnsi="Arial TUR"/>
          <w:noProof w:val="0"/>
          <w:spacing w:val="10"/>
          <w:sz w:val="26"/>
          <w:szCs w:val="26"/>
          <w:rtl/>
        </w:rPr>
        <w:t>ועוד</w:t>
      </w:r>
      <w:r w:rsidRPr="00F2528D">
        <w:rPr>
          <w:rFonts w:ascii="Arial TUR" w:hAnsi="Arial TUR"/>
          <w:noProof w:val="0"/>
          <w:spacing w:val="10"/>
          <w:sz w:val="26"/>
          <w:szCs w:val="26"/>
          <w:rtl/>
        </w:rPr>
        <w:t xml:space="preserve">, </w:t>
      </w:r>
      <w:r w:rsidRPr="00F2528D">
        <w:rPr>
          <w:rFonts w:hint="eastAsia" w:ascii="Arial TUR" w:hAnsi="Arial TUR"/>
          <w:noProof w:val="0"/>
          <w:spacing w:val="10"/>
          <w:sz w:val="26"/>
          <w:szCs w:val="26"/>
          <w:rtl/>
        </w:rPr>
        <w:t>על</w:t>
      </w:r>
      <w:r w:rsidRPr="00F2528D">
        <w:rPr>
          <w:rFonts w:ascii="Arial TUR" w:hAnsi="Arial TUR"/>
          <w:noProof w:val="0"/>
          <w:spacing w:val="10"/>
          <w:sz w:val="26"/>
          <w:szCs w:val="26"/>
          <w:rtl/>
        </w:rPr>
        <w:t xml:space="preserve"> </w:t>
      </w:r>
      <w:r w:rsidRPr="00F2528D">
        <w:rPr>
          <w:rFonts w:hint="eastAsia" w:ascii="Arial TUR" w:hAnsi="Arial TUR"/>
          <w:noProof w:val="0"/>
          <w:spacing w:val="10"/>
          <w:sz w:val="26"/>
          <w:szCs w:val="26"/>
          <w:rtl/>
        </w:rPr>
        <w:t>פי</w:t>
      </w:r>
      <w:r w:rsidRPr="00F2528D">
        <w:rPr>
          <w:rFonts w:ascii="Arial TUR" w:hAnsi="Arial TUR"/>
          <w:noProof w:val="0"/>
          <w:spacing w:val="10"/>
          <w:sz w:val="26"/>
          <w:szCs w:val="26"/>
          <w:rtl/>
        </w:rPr>
        <w:t xml:space="preserve"> </w:t>
      </w:r>
      <w:r w:rsidRPr="00F2528D">
        <w:rPr>
          <w:rFonts w:hint="eastAsia" w:ascii="Arial TUR" w:hAnsi="Arial TUR"/>
          <w:noProof w:val="0"/>
          <w:spacing w:val="10"/>
          <w:sz w:val="26"/>
          <w:szCs w:val="26"/>
          <w:rtl/>
        </w:rPr>
        <w:t>הפסיקה</w:t>
      </w:r>
      <w:r w:rsidRPr="00F2528D">
        <w:rPr>
          <w:rFonts w:cs="FrankRuehl"/>
          <w:noProof w:val="0"/>
          <w:spacing w:val="10"/>
          <w:sz w:val="26"/>
          <w:szCs w:val="26"/>
          <w:rtl/>
        </w:rPr>
        <w:t xml:space="preserve"> </w:t>
      </w:r>
      <w:r w:rsidRPr="00F2528D">
        <w:rPr>
          <w:rFonts w:ascii="Arial" w:hAnsi="Arial"/>
          <w:noProof w:val="0"/>
          <w:spacing w:val="10"/>
          <w:sz w:val="26"/>
          <w:szCs w:val="26"/>
          <w:rtl/>
        </w:rPr>
        <w:t>חוות דעתו של המומחה מטעם בית המשפט לעולם אינה סוף פסוק בסוגיה שלצורכה נתמנה המומחה ובעלי הדין רשאים לטעון בפני בית המשפט, שהוא הפוסק האחרון בסוגיה זו, כלפי מסקנות המומחים</w:t>
      </w:r>
      <w:r w:rsidRPr="00F2528D">
        <w:rPr>
          <w:rFonts w:ascii="Arial" w:hAnsi="Arial" w:cs="Miriam"/>
          <w:noProof w:val="0"/>
          <w:spacing w:val="10"/>
          <w:sz w:val="26"/>
          <w:szCs w:val="26"/>
          <w:rtl/>
        </w:rPr>
        <w:t xml:space="preserve"> (</w:t>
      </w:r>
      <w:r w:rsidRPr="00F2528D">
        <w:rPr>
          <w:rFonts w:cs="Miriam"/>
          <w:noProof w:val="0"/>
          <w:spacing w:val="10"/>
          <w:sz w:val="26"/>
          <w:szCs w:val="26"/>
          <w:rtl/>
        </w:rPr>
        <w:t xml:space="preserve"> רע"א 6808/11 פלוני נגד פלוני (14.5.2012).</w:t>
      </w:r>
    </w:p>
    <w:p w:rsidRPr="00F2528D" w:rsidR="00F2528D" w:rsidP="00F2528D" w:rsidRDefault="00F2528D">
      <w:pPr>
        <w:spacing w:line="360" w:lineRule="auto"/>
        <w:jc w:val="both"/>
        <w:rPr>
          <w:rFonts w:cs="FrankRuehl"/>
          <w:b/>
          <w:bCs/>
          <w:noProof w:val="0"/>
          <w:spacing w:val="10"/>
          <w:sz w:val="26"/>
          <w:szCs w:val="26"/>
          <w:rtl/>
        </w:rPr>
      </w:pPr>
    </w:p>
    <w:p w:rsidRPr="00F2528D" w:rsidR="00F2528D" w:rsidP="0033189E" w:rsidRDefault="00F2528D">
      <w:pPr>
        <w:spacing w:line="360" w:lineRule="auto"/>
        <w:jc w:val="both"/>
        <w:rPr>
          <w:noProof w:val="0"/>
          <w:sz w:val="26"/>
          <w:szCs w:val="26"/>
          <w:rtl/>
          <w:lang w:eastAsia="he-IL"/>
        </w:rPr>
      </w:pPr>
      <w:r w:rsidRPr="00F2528D">
        <w:rPr>
          <w:noProof w:val="0"/>
          <w:spacing w:val="10"/>
          <w:sz w:val="26"/>
          <w:szCs w:val="26"/>
          <w:rtl/>
        </w:rPr>
        <w:t>בענייננו, כאמור בפני בית המשפט מונח די והותר חומר ומידע שמאפשר לו לפסוק בסוגיה שעל הפרק, לאחר שהצדדים יסכמו טענותיה לרבות בסוגיה זו</w:t>
      </w:r>
      <w:r w:rsidRPr="00F2528D">
        <w:rPr>
          <w:rFonts w:cs="FrankRuehl"/>
          <w:b/>
          <w:bCs/>
          <w:noProof w:val="0"/>
          <w:spacing w:val="10"/>
          <w:sz w:val="26"/>
          <w:szCs w:val="26"/>
          <w:rtl/>
        </w:rPr>
        <w:t xml:space="preserve">. </w:t>
      </w:r>
      <w:r w:rsidRPr="00F2528D">
        <w:rPr>
          <w:noProof w:val="0"/>
          <w:spacing w:val="10"/>
          <w:sz w:val="26"/>
          <w:szCs w:val="26"/>
          <w:rtl/>
        </w:rPr>
        <w:t>לטעמי, בנסיבות המקרה , כל מינוי של מומחה נוסף הוא בבחינת סרבול הליכים ובזבוז משאבים ללא כל צורך</w:t>
      </w:r>
      <w:bookmarkStart w:name="_GoBack" w:id="0"/>
      <w:bookmarkEnd w:id="0"/>
      <w:r w:rsidRPr="00F2528D">
        <w:rPr>
          <w:noProof w:val="0"/>
          <w:spacing w:val="10"/>
          <w:sz w:val="26"/>
          <w:szCs w:val="26"/>
          <w:rtl/>
        </w:rPr>
        <w:t xml:space="preserve">, בתיק ישן נושן זה. </w:t>
      </w:r>
    </w:p>
    <w:p w:rsidRPr="00F2528D" w:rsidR="00F2528D" w:rsidP="00F2528D" w:rsidRDefault="00F2528D">
      <w:pPr>
        <w:spacing w:line="360" w:lineRule="auto"/>
        <w:jc w:val="both"/>
        <w:rPr>
          <w:noProof w:val="0"/>
          <w:sz w:val="26"/>
          <w:szCs w:val="26"/>
          <w:rtl/>
          <w:lang w:eastAsia="he-IL"/>
        </w:rPr>
      </w:pPr>
    </w:p>
    <w:p w:rsidRPr="00F2528D" w:rsidR="00F2528D" w:rsidP="00F2528D" w:rsidRDefault="00F2528D">
      <w:pPr>
        <w:spacing w:line="360" w:lineRule="auto"/>
        <w:jc w:val="both"/>
        <w:rPr>
          <w:noProof w:val="0"/>
          <w:sz w:val="26"/>
          <w:szCs w:val="26"/>
          <w:rtl/>
          <w:lang w:eastAsia="he-IL"/>
        </w:rPr>
      </w:pPr>
      <w:r w:rsidRPr="00F2528D">
        <w:rPr>
          <w:noProof w:val="0"/>
          <w:sz w:val="26"/>
          <w:szCs w:val="26"/>
          <w:rtl/>
          <w:lang w:eastAsia="he-IL"/>
        </w:rPr>
        <w:t xml:space="preserve">התובע יגיש סיכומים בכתב מטעמו כאמור בהחלטה מיום 14.1.18. מנין הימים שנקבע באותה החלטה יתחיל מהיום. </w:t>
      </w:r>
    </w:p>
    <w:p w:rsidRPr="00F2528D" w:rsidR="00F2528D" w:rsidP="00F2528D" w:rsidRDefault="00F2528D">
      <w:pPr>
        <w:spacing w:line="360" w:lineRule="auto"/>
        <w:jc w:val="both"/>
        <w:rPr>
          <w:noProof w:val="0"/>
          <w:sz w:val="26"/>
          <w:szCs w:val="26"/>
          <w:rtl/>
          <w:lang w:eastAsia="he-I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513F65">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088136" cy="626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e44575fbde243ca" cstate="print">
                            <a:extLst>
                              <a:ext uri="{28A0092B-C50C-407E-A947-70E740481C1C}"/>
                            </a:extLst>
                          </a:blip>
                          <a:stretch>
                            <a:fillRect/>
                          </a:stretch>
                        </pic:blipFill>
                        <pic:spPr>
                          <a:xfrm>
                            <a:off x="0" y="0"/>
                            <a:ext cx="1088136" cy="62636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Arial TUR">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13F65">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13F65">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2528D">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513F65">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25720-07-11</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חזן נ' אליהו חברה לביטוח בע"מ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352F7"/>
    <w:rsid w:val="0033189E"/>
    <w:rsid w:val="00381D3A"/>
    <w:rsid w:val="003823DA"/>
    <w:rsid w:val="0043595F"/>
    <w:rsid w:val="0047645A"/>
    <w:rsid w:val="004D49A3"/>
    <w:rsid w:val="004E6E3C"/>
    <w:rsid w:val="005124F1"/>
    <w:rsid w:val="00513F65"/>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E1332"/>
    <w:rsid w:val="00903896"/>
    <w:rsid w:val="00927813"/>
    <w:rsid w:val="00944D13"/>
    <w:rsid w:val="00957C90"/>
    <w:rsid w:val="009E0263"/>
    <w:rsid w:val="00A267CF"/>
    <w:rsid w:val="00A43458"/>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57E38"/>
    <w:rsid w:val="00E97908"/>
    <w:rsid w:val="00EF3ED0"/>
    <w:rsid w:val="00F17E56"/>
    <w:rsid w:val="00F2528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559E9377"/>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0e44575fbde243c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Arial TUR">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883949"/>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292</Words>
  <Characters>1464</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עבאס עאסי</cp:lastModifiedBy>
  <cp:revision>39</cp:revision>
  <dcterms:created xsi:type="dcterms:W3CDTF">2012-08-05T21:29:00Z</dcterms:created>
  <dcterms:modified xsi:type="dcterms:W3CDTF">2018-04-11T06:52:00Z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