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אוהד גורדון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7F4A52" w:rsidRDefault="00243FCA">
                <w:pPr>
                  <w:suppressLineNumbers/>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243FCA">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שיקאגו החדשה עסקי רכב (1997) בע"מ</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243FCA">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נתבעים</w:t>
                </w:r>
              </w:sdtContent>
            </w:sdt>
          </w:p>
        </w:tc>
        <w:tc>
          <w:tcPr>
            <w:tcW w:w="5571" w:type="dxa"/>
          </w:tcPr>
          <w:p w:rsidR="00CF6BB7" w:rsidP="00D44968" w:rsidRDefault="00CF6BB7">
            <w:pPr>
              <w:suppressLineNumbers/>
              <w:rPr>
                <w:b/>
                <w:bCs/>
                <w:noProof w:val="0"/>
                <w:sz w:val="26"/>
                <w:szCs w:val="26"/>
                <w:rtl/>
              </w:rPr>
            </w:pPr>
          </w:p>
          <w:p w:rsidR="0094424E" w:rsidP="00D44968" w:rsidRDefault="00243FCA">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חברת דואר ישראל בע"מ</w:t>
                </w:r>
              </w:sdtContent>
            </w:sdt>
          </w:p>
          <w:p w:rsidR="0094424E" w:rsidP="00D44968" w:rsidRDefault="00243FCA">
            <w:pPr>
              <w:suppressLineNumbers/>
              <w:rPr>
                <w:rtl/>
              </w:rPr>
            </w:pPr>
            <w:sdt>
              <w:sdtPr>
                <w:rPr>
                  <w:rtl/>
                </w:rPr>
                <w:alias w:val="1571"/>
                <w:tag w:val="1571"/>
                <w:id w:val="1736739518"/>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072493507"/>
                <w:text w:multiLine="1"/>
              </w:sdtPr>
              <w:sdtEndPr/>
              <w:sdtContent>
                <w:r w:rsidR="00CF6BB7">
                  <w:rPr>
                    <w:rFonts w:ascii="Arial" w:hAnsi="Arial"/>
                    <w:b/>
                    <w:bCs/>
                    <w:noProof w:val="0"/>
                    <w:sz w:val="26"/>
                    <w:szCs w:val="26"/>
                    <w:rtl/>
                  </w:rPr>
                  <w:t>יעקב עמיאל</w:t>
                </w:r>
              </w:sdtContent>
            </w:sdt>
          </w:p>
          <w:p w:rsidR="0094424E" w:rsidP="00D44968" w:rsidRDefault="00243FCA">
            <w:pPr>
              <w:suppressLineNumbers/>
              <w:rPr>
                <w:rtl/>
              </w:rPr>
            </w:pPr>
            <w:sdt>
              <w:sdtPr>
                <w:rPr>
                  <w:rtl/>
                </w:rPr>
                <w:alias w:val="1571"/>
                <w:tag w:val="1571"/>
                <w:id w:val="-437531088"/>
                <w:text w:multiLine="1"/>
              </w:sdtPr>
              <w:sdtEndPr/>
              <w:sdtContent>
                <w:r w:rsidR="00CF6BB7">
                  <w:rPr>
                    <w:rFonts w:ascii="Arial" w:hAnsi="Arial"/>
                    <w:b/>
                    <w:bCs/>
                    <w:noProof w:val="0"/>
                    <w:sz w:val="26"/>
                    <w:szCs w:val="26"/>
                    <w:rtl/>
                  </w:rPr>
                  <w:t>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898546873"/>
                <w:text w:multiLine="1"/>
              </w:sdtPr>
              <w:sdtEndPr/>
              <w:sdtContent>
                <w:r w:rsidR="00CF6BB7">
                  <w:rPr>
                    <w:rFonts w:ascii="Arial" w:hAnsi="Arial"/>
                    <w:b/>
                    <w:bCs/>
                    <w:noProof w:val="0"/>
                    <w:sz w:val="26"/>
                    <w:szCs w:val="26"/>
                    <w:rtl/>
                  </w:rPr>
                  <w:t>שלום שי אוחיון</w:t>
                </w:r>
              </w:sdtContent>
            </w:sdt>
          </w:p>
        </w:tc>
      </w:tr>
      <w:tr w:rsidR="00CF6BB7">
        <w:trPr>
          <w:jc w:val="center"/>
        </w:trPr>
        <w:tc>
          <w:tcPr>
            <w:tcW w:w="3249" w:type="dxa"/>
            <w:gridSpan w:val="2"/>
          </w:tcPr>
          <w:p w:rsidR="007F4A52" w:rsidRDefault="007F4A52">
            <w:pPr>
              <w:rPr>
                <w:rFonts w:ascii="David" w:hAnsi="David" w:eastAsia="David"/>
                <w:noProof w:val="0"/>
              </w:rPr>
            </w:pPr>
          </w:p>
        </w:tc>
        <w:tc>
          <w:tcPr>
            <w:tcW w:w="5571" w:type="dxa"/>
          </w:tcPr>
          <w:p w:rsidR="007F4A52" w:rsidRDefault="007F4A52">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7F4A52" w:rsidRDefault="007F4A52">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B430C5" w:rsidP="00B430C5" w:rsidRDefault="00B430C5">
      <w:pPr>
        <w:spacing w:line="360" w:lineRule="auto"/>
        <w:jc w:val="both"/>
        <w:rPr>
          <w:rFonts w:ascii="Arial" w:hAnsi="Arial"/>
          <w:noProof w:val="0"/>
        </w:rPr>
      </w:pPr>
      <w:bookmarkStart w:name="NGCSBookmark" w:id="0"/>
      <w:bookmarkEnd w:id="0"/>
      <w:r>
        <w:rPr>
          <w:rFonts w:hint="cs" w:ascii="Arial" w:hAnsi="Arial"/>
          <w:noProof w:val="0"/>
          <w:rtl/>
        </w:rPr>
        <w:t>להחלטתי מיום 27.3.18 הוגשו תגובות של התובעת והנתבעים 1 ו-3. לאחר עיון בהן אני קובע כדלקמן:</w:t>
      </w:r>
    </w:p>
    <w:p w:rsidR="00B430C5" w:rsidP="00B430C5" w:rsidRDefault="00B430C5">
      <w:pPr>
        <w:spacing w:line="360" w:lineRule="auto"/>
        <w:jc w:val="both"/>
        <w:rPr>
          <w:rFonts w:hint="cs" w:ascii="Arial" w:hAnsi="Arial"/>
          <w:noProof w:val="0"/>
          <w:rtl/>
        </w:rPr>
      </w:pPr>
    </w:p>
    <w:p w:rsidR="00B430C5" w:rsidP="00B430C5" w:rsidRDefault="00B430C5">
      <w:pPr>
        <w:pStyle w:val="ad"/>
        <w:numPr>
          <w:ilvl w:val="0"/>
          <w:numId w:val="1"/>
        </w:numPr>
        <w:spacing w:line="360" w:lineRule="auto"/>
        <w:jc w:val="both"/>
        <w:rPr>
          <w:rFonts w:hint="cs" w:ascii="Arial" w:hAnsi="Arial"/>
          <w:noProof w:val="0"/>
          <w:rtl/>
        </w:rPr>
      </w:pPr>
      <w:r>
        <w:rPr>
          <w:rFonts w:hint="cs" w:ascii="Arial" w:hAnsi="Arial"/>
          <w:noProof w:val="0"/>
          <w:rtl/>
        </w:rPr>
        <w:t xml:space="preserve">בהתאם לסמכותי לפי תקנה 177 לתקנות סדר הדין האזרחי, אני קובע כי ההליך ימשיך מן השלב בו נפסק, ומחליט לנהוג בראיות שנגבו בהליך זה כאילו הובאו בפניי. </w:t>
      </w:r>
    </w:p>
    <w:p w:rsidR="00B430C5" w:rsidP="00B430C5" w:rsidRDefault="00B430C5">
      <w:pPr>
        <w:pStyle w:val="ad"/>
        <w:numPr>
          <w:ilvl w:val="0"/>
          <w:numId w:val="1"/>
        </w:numPr>
        <w:spacing w:line="360" w:lineRule="auto"/>
        <w:jc w:val="both"/>
        <w:rPr>
          <w:rFonts w:ascii="Arial" w:hAnsi="Arial"/>
          <w:noProof w:val="0"/>
        </w:rPr>
      </w:pPr>
      <w:r>
        <w:rPr>
          <w:rFonts w:hint="cs" w:ascii="Arial" w:hAnsi="Arial"/>
          <w:noProof w:val="0"/>
          <w:rtl/>
        </w:rPr>
        <w:t>אשר לבקשה לבדיקת פרוטוקול: היות שלא נכחתי בדיון לא אוכל להורות על התיקון המבוקש על בסיס זיכרון. בהינתן מחלוקת בין הצדדים, על ב"כ התובעת לבסס טענותיו. המדובר בפרוטוקול שהוקלט ותומלל, ולכן על ב"כ התובעת לקבל לידיו את הקלטת הדיון מחברת התמלול ולהגישה בצירוף הפניות מדויקות למונה ההקלטה בנוגע לתיקונים המבוקשים על ידיו. אם תוגש הודעה מתאימה עד ליום 30.4.18, אשוב ואדרש לבקשה. בכפוף לכך, היא נדחית.</w:t>
      </w:r>
    </w:p>
    <w:p w:rsidR="00B430C5" w:rsidP="00B430C5" w:rsidRDefault="00B430C5">
      <w:pPr>
        <w:pStyle w:val="ad"/>
        <w:numPr>
          <w:ilvl w:val="0"/>
          <w:numId w:val="1"/>
        </w:numPr>
        <w:spacing w:line="360" w:lineRule="auto"/>
        <w:jc w:val="both"/>
        <w:rPr>
          <w:rFonts w:ascii="Arial" w:hAnsi="Arial"/>
          <w:noProof w:val="0"/>
        </w:rPr>
      </w:pPr>
      <w:r>
        <w:rPr>
          <w:rFonts w:hint="cs" w:ascii="Arial" w:hAnsi="Arial"/>
          <w:noProof w:val="0"/>
          <w:rtl/>
        </w:rPr>
        <w:t xml:space="preserve">בקשת התובעת להוספת ראיה ולהעדת עד דורשת הבהרות: תחילה, היא נוסחה בצורה המקשה על איתור המובאה הרלבנטית בפרוטוקול. ב"כ התובע יפנה לעמוד הפרוטוקול בו תועד הצגת ייפוי הכוח. בנוסף, על ב"כ התובע לנמק, תוך הפניה לראיות, כיצד לשיטתו פסק הדין שצירופו מתבקש קביל מבחינה משפטית בהליך זה, מחייב את הנתבעים לקביעות בו או מהווה הוכחה לנטען על ידו. עוד עליו לנמק מדוע ייפוי הכוח רלבנטי, בשים לב לכך שמספר הרישוי הנקוב בבקשה לא מופיע בכתב התביעה. לבסוף ינמק מדוע לא ביקש מראש, טרם ההוכחות או כשהסוגיה עלתה במהלך הישיבה, לזמן עד מטעם "אלדן" ולהגיש את ייפוי הכוח.  ההבהרות תוגשנה עד 30.4.18. אי הגשתן במועד תחשב לזניחת הבקשה. </w:t>
      </w:r>
    </w:p>
    <w:p w:rsidR="00B430C5" w:rsidP="00B430C5" w:rsidRDefault="00B430C5">
      <w:pPr>
        <w:pStyle w:val="ad"/>
        <w:numPr>
          <w:ilvl w:val="0"/>
          <w:numId w:val="1"/>
        </w:numPr>
        <w:spacing w:line="360" w:lineRule="auto"/>
        <w:jc w:val="both"/>
        <w:rPr>
          <w:rFonts w:ascii="Arial" w:hAnsi="Arial"/>
          <w:noProof w:val="0"/>
        </w:rPr>
      </w:pPr>
      <w:r>
        <w:rPr>
          <w:rFonts w:hint="cs" w:ascii="Arial" w:hAnsi="Arial"/>
          <w:noProof w:val="0"/>
          <w:rtl/>
        </w:rPr>
        <w:lastRenderedPageBreak/>
        <w:t>המזכירות תשלח החלטה זו לצדדים.</w:t>
      </w:r>
    </w:p>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243FC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04900"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26fec72a91e4672" cstate="print">
                            <a:extLst>
                              <a:ext uri="{28A0092B-C50C-407E-A947-70E740481C1C}"/>
                            </a:extLst>
                          </a:blip>
                          <a:stretch>
                            <a:fillRect/>
                          </a:stretch>
                        </pic:blipFill>
                        <pic:spPr>
                          <a:xfrm>
                            <a:off x="0" y="0"/>
                            <a:ext cx="1104900" cy="1076325"/>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C5" w:rsidRDefault="00B430C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43FCA">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43FCA">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C5" w:rsidRDefault="00B430C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C5" w:rsidRDefault="00B430C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430C5">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43FCA">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39663-12-12</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שיקאגו החדשה עסקי רכב (1997) בע"מ נ' חברת דואר ישראל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C5" w:rsidRDefault="00B430C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91C8B"/>
    <w:multiLevelType w:val="hybridMultilevel"/>
    <w:tmpl w:val="88EEB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43FCA"/>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7F4A52"/>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430C5"/>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B43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0323163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b26fec72a91e467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1063F" w:rsidP="0041063F">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41063F" w:rsidP="0041063F">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1063F"/>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1063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41063F"/>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41063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258</Words>
  <Characters>1292</Characters>
  <Application>Microsoft Office Word</Application>
  <DocSecurity>0</DocSecurity>
  <Lines>10</Lines>
  <Paragraphs>3</Paragraphs>
  <ScaleCrop>false</ScaleCrop>
  <Company>Microsoft Corporation</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אוהד גורדון</cp:lastModifiedBy>
  <cp:revision>116</cp:revision>
  <dcterms:created xsi:type="dcterms:W3CDTF">2012-08-06T05:16:00Z</dcterms:created>
  <dcterms:modified xsi:type="dcterms:W3CDTF">2018-04-11T15:51:00Z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