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3C4168"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 w:rsidRPr="003C4168">
        <w:rPr>
          <w:rFonts w:hint="cs"/>
          <w:b/>
          <w:bCs/>
          <w:sz w:val="28"/>
          <w:szCs w:val="28"/>
          <w:rtl/>
        </w:rPr>
        <w:t xml:space="preserve">לפני: </w:t>
      </w:r>
    </w:p>
    <w:p w:rsidRPr="003C4168" w:rsidR="00E8170A" w:rsidP="00E8170A" w:rsidRDefault="00C26D4E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כב' </w:t>
      </w:r>
      <w:r w:rsidRPr="003C4168"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שופטת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עידית איצקוביץ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</w:p>
    <w:p w:rsidRPr="003C4168" w:rsidR="002C1C43" w:rsidP="000E13CD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3C4168" w:rsidR="002C1C43" w:rsidTr="00C71F5D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  <w:r w:rsidR="002E239D">
                  <w:rPr>
                    <w:rFonts w:hint="cs" w:ascii="David" w:hAnsi="David" w:eastAsia="David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3C4168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942311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 w:rsidR="00C71F5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גליה כהן</w:t>
                </w:r>
              </w:sdtContent>
            </w:sdt>
          </w:p>
          <w:p w:rsidRPr="003C4168" w:rsidR="00C71F5D" w:rsidP="00C71F5D" w:rsidRDefault="002E239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</w:t>
            </w:r>
            <w:r w:rsidRPr="003C4168" w:rsid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עו"ד</w:t>
            </w: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כפיר זאב</w:t>
            </w:r>
          </w:p>
        </w:tc>
      </w:tr>
      <w:tr w:rsidRPr="003C4168" w:rsidR="002C1C43" w:rsidTr="002C1C4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3C4168"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</w:p>
          <w:p w:rsidRPr="003C4168"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C4168" w:rsidR="002C1C43" w:rsidTr="00C71F5D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  <w:r w:rsidR="002E239D">
                  <w:rPr>
                    <w:rStyle w:val="ac"/>
                    <w:rFonts w:hint="cs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3C4168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2E239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text w:multiLine="1"/>
              </w:sdtPr>
              <w:sdtEndPr/>
              <w:sdtContent>
                <w:r w:rsidR="000E13C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אל על נתיבי אויר לישראל בעמ</w:t>
                </w:r>
              </w:sdtContent>
            </w:sdt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3C4168" w:rsidR="00C71F5D" w:rsidP="002E239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 עו"ד</w:t>
            </w:r>
            <w:r w:rsidR="002E239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נחום פינברג ואח'</w:t>
            </w:r>
          </w:p>
        </w:tc>
      </w:tr>
    </w:tbl>
    <w:p w:rsidRPr="002E239D"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Pr="003C4168" w:rsidR="002C1C43" w:rsidP="00C71F5D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3C4168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Pr="003C4168" w:rsidR="002C1C43" w:rsidP="00563391" w:rsidRDefault="002C1C43">
      <w:pPr>
        <w:spacing w:line="360" w:lineRule="auto"/>
        <w:jc w:val="both"/>
        <w:rPr>
          <w:b/>
          <w:bCs/>
          <w:sz w:val="28"/>
          <w:szCs w:val="28"/>
          <w:rtl/>
        </w:rPr>
      </w:pPr>
    </w:p>
    <w:p w:rsidR="002C1C43" w:rsidP="00526517" w:rsidRDefault="002E239D">
      <w:pPr>
        <w:spacing w:line="360" w:lineRule="auto"/>
        <w:ind w:left="720" w:hanging="720"/>
        <w:jc w:val="both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</w:t>
      </w:r>
      <w:r>
        <w:rPr>
          <w:rFonts w:hint="cs"/>
          <w:sz w:val="28"/>
          <w:szCs w:val="28"/>
          <w:rtl/>
        </w:rPr>
        <w:tab/>
        <w:t>ביום 25.2.18 ביקש ב"כ התובעת להתיר לו לתקן את כתב התביעה, לצורך הוספת עובדות וסעדי</w:t>
      </w:r>
      <w:r w:rsidR="00526517">
        <w:rPr>
          <w:rFonts w:hint="cs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>, נוכח ההתפחויות שהיו מאז שהוגש כתב התביעה המקורי, וכן כדי לצרף נתבעות: גב' יהודית גריסרו, המשמשת כמנכ"ל משאבי אנוש ומינהל</w:t>
      </w:r>
      <w:r w:rsidR="00526517">
        <w:rPr>
          <w:rFonts w:hint="cs"/>
          <w:sz w:val="28"/>
          <w:szCs w:val="28"/>
          <w:rtl/>
        </w:rPr>
        <w:t xml:space="preserve"> אצל הנתבעת</w:t>
      </w:r>
      <w:r>
        <w:rPr>
          <w:rFonts w:hint="cs"/>
          <w:sz w:val="28"/>
          <w:szCs w:val="28"/>
          <w:rtl/>
        </w:rPr>
        <w:t xml:space="preserve"> (להלן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Pr="00526517">
        <w:rPr>
          <w:rFonts w:hint="cs"/>
          <w:b/>
          <w:bCs/>
          <w:sz w:val="28"/>
          <w:szCs w:val="28"/>
          <w:rtl/>
        </w:rPr>
        <w:t>גב' גריסרו</w:t>
      </w:r>
      <w:r>
        <w:rPr>
          <w:rFonts w:hint="cs"/>
          <w:sz w:val="28"/>
          <w:szCs w:val="28"/>
          <w:rtl/>
        </w:rPr>
        <w:t>) וגב' עו"ד יעל רובינשטיין, המשמשת אצל ה</w:t>
      </w:r>
      <w:r w:rsidR="00526517">
        <w:rPr>
          <w:rFonts w:hint="cs"/>
          <w:sz w:val="28"/>
          <w:szCs w:val="28"/>
          <w:rtl/>
        </w:rPr>
        <w:t>נ</w:t>
      </w:r>
      <w:r>
        <w:rPr>
          <w:rFonts w:hint="cs"/>
          <w:sz w:val="28"/>
          <w:szCs w:val="28"/>
          <w:rtl/>
        </w:rPr>
        <w:t xml:space="preserve">תבעת כמנהלת מחלקת יחסי עבודה (להלן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Pr="00526517">
        <w:rPr>
          <w:rFonts w:hint="cs"/>
          <w:b/>
          <w:bCs/>
          <w:sz w:val="28"/>
          <w:szCs w:val="28"/>
          <w:rtl/>
        </w:rPr>
        <w:t>עו"ד רובינשטיין</w:t>
      </w:r>
      <w:r>
        <w:rPr>
          <w:rFonts w:hint="cs"/>
          <w:sz w:val="28"/>
          <w:szCs w:val="28"/>
          <w:rtl/>
        </w:rPr>
        <w:t>) וכן להוסיף נתבעת פורמאלית: הרשות להגנת הפרטיות, במשרד המשפטים.</w:t>
      </w:r>
    </w:p>
    <w:p w:rsidR="002E239D" w:rsidP="00563391" w:rsidRDefault="002E239D">
      <w:pPr>
        <w:spacing w:line="360" w:lineRule="auto"/>
        <w:jc w:val="both"/>
        <w:rPr>
          <w:sz w:val="28"/>
          <w:szCs w:val="28"/>
          <w:rtl/>
        </w:rPr>
      </w:pPr>
    </w:p>
    <w:p w:rsidR="002E239D" w:rsidP="00526517" w:rsidRDefault="002E239D">
      <w:pPr>
        <w:spacing w:line="360" w:lineRule="auto"/>
        <w:ind w:left="720" w:hanging="720"/>
        <w:jc w:val="both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2. </w:t>
      </w:r>
      <w:r w:rsidR="00526517"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הבקשה הועבר</w:t>
      </w:r>
      <w:r w:rsidR="00526517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 xml:space="preserve"> לתגובת ב"כ הנתבעת, אשר התנגד לצירופן של גב' גריסרו ועו"ד רובינשטיין כצד להליך. לכך הגיש ב"כ התו</w:t>
      </w:r>
      <w:r w:rsidR="00E96517">
        <w:rPr>
          <w:rFonts w:hint="cs"/>
          <w:sz w:val="28"/>
          <w:szCs w:val="28"/>
          <w:rtl/>
        </w:rPr>
        <w:t>בעת תשובה ועמד על בקשתו.</w:t>
      </w:r>
    </w:p>
    <w:p w:rsidR="00E96517" w:rsidP="00563391" w:rsidRDefault="00E96517">
      <w:pPr>
        <w:spacing w:line="360" w:lineRule="auto"/>
        <w:jc w:val="both"/>
        <w:rPr>
          <w:sz w:val="28"/>
          <w:szCs w:val="28"/>
          <w:rtl/>
        </w:rPr>
      </w:pPr>
    </w:p>
    <w:p w:rsidR="00526517" w:rsidP="00526517" w:rsidRDefault="00E96517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3. </w:t>
      </w:r>
      <w:r w:rsidR="00526517"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אכן היו התפתחויות מאז שהוגשו והתביעה והבקשה לסעד זמני, אשר מצדיקות </w:t>
      </w:r>
      <w:r w:rsidR="00526517">
        <w:rPr>
          <w:rFonts w:hint="cs"/>
          <w:sz w:val="28"/>
          <w:szCs w:val="28"/>
          <w:rtl/>
        </w:rPr>
        <w:t>תיקון של</w:t>
      </w:r>
      <w:r>
        <w:rPr>
          <w:rFonts w:hint="cs"/>
          <w:sz w:val="28"/>
          <w:szCs w:val="28"/>
          <w:rtl/>
        </w:rPr>
        <w:t xml:space="preserve"> כתב התביעה. </w:t>
      </w:r>
    </w:p>
    <w:p w:rsidR="00E96517" w:rsidP="00526517" w:rsidRDefault="00E96517">
      <w:pPr>
        <w:spacing w:line="360" w:lineRule="auto"/>
        <w:ind w:left="720"/>
        <w:jc w:val="both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אשר לתביעה כנגד "הנתבעת הפורמאלית"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הרשות להגנת הפרטיות, כבר ניתנה החלטה לפיה הת</w:t>
      </w:r>
      <w:r w:rsidR="00526517">
        <w:rPr>
          <w:rFonts w:hint="cs"/>
          <w:sz w:val="28"/>
          <w:szCs w:val="28"/>
          <w:rtl/>
        </w:rPr>
        <w:t>בקשה</w:t>
      </w:r>
      <w:r>
        <w:rPr>
          <w:rFonts w:hint="cs"/>
          <w:sz w:val="28"/>
          <w:szCs w:val="28"/>
          <w:rtl/>
        </w:rPr>
        <w:t xml:space="preserve"> מדינת ישראל להודי</w:t>
      </w:r>
      <w:r w:rsidR="00526517">
        <w:rPr>
          <w:rFonts w:hint="cs"/>
          <w:sz w:val="28"/>
          <w:szCs w:val="28"/>
          <w:rtl/>
        </w:rPr>
        <w:t>ע אם היא מעוניינת להיצטרף להליך.</w:t>
      </w:r>
      <w:r>
        <w:rPr>
          <w:rFonts w:hint="cs"/>
          <w:sz w:val="28"/>
          <w:szCs w:val="28"/>
          <w:rtl/>
        </w:rPr>
        <w:t xml:space="preserve"> טרם התקבלה עמדה.</w:t>
      </w:r>
    </w:p>
    <w:p w:rsidR="00E96517" w:rsidP="00563391" w:rsidRDefault="00E96517">
      <w:pPr>
        <w:spacing w:line="360" w:lineRule="auto"/>
        <w:jc w:val="both"/>
        <w:rPr>
          <w:sz w:val="28"/>
          <w:szCs w:val="28"/>
          <w:rtl/>
        </w:rPr>
      </w:pPr>
    </w:p>
    <w:p w:rsidR="00E96517" w:rsidP="00526517" w:rsidRDefault="00E96517">
      <w:pPr>
        <w:spacing w:line="360" w:lineRule="auto"/>
        <w:ind w:left="720" w:hanging="720"/>
        <w:jc w:val="both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4. </w:t>
      </w:r>
      <w:r w:rsidR="00526517"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אשר לבקשה לצירפן של גב' גריסרו ועו"ד רובינשטיין כנתבעות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אין מחלוקת כי לא התקיימו יחסי עובד-מעסיק בינן לבין התובעת והן פעלו, לפחות לכאורה, במסגרת תפקידן אצל הנתבעת.</w:t>
      </w:r>
    </w:p>
    <w:p w:rsidR="00E96517" w:rsidP="00563391" w:rsidRDefault="00E96517">
      <w:pPr>
        <w:spacing w:line="360" w:lineRule="auto"/>
        <w:jc w:val="both"/>
        <w:rPr>
          <w:sz w:val="28"/>
          <w:szCs w:val="28"/>
          <w:rtl/>
        </w:rPr>
      </w:pPr>
    </w:p>
    <w:p w:rsidR="00E96517" w:rsidP="00966C1B" w:rsidRDefault="00966C1B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5.</w:t>
      </w:r>
      <w:r>
        <w:rPr>
          <w:rFonts w:hint="cs"/>
          <w:sz w:val="28"/>
          <w:szCs w:val="28"/>
          <w:rtl/>
        </w:rPr>
        <w:tab/>
      </w:r>
      <w:r w:rsidR="00E96517">
        <w:rPr>
          <w:rFonts w:hint="cs"/>
          <w:sz w:val="28"/>
          <w:szCs w:val="28"/>
          <w:rtl/>
        </w:rPr>
        <w:t>דרך המלך בבית הדין היא לאפשר תיקון של כתבי הטענות, בעיקר בשלב המקדמי של הדיון, כדי להעמיד כל הפלוגתאות שבין הצדדים ולמען יעילות הדיון.</w:t>
      </w:r>
      <w:r>
        <w:rPr>
          <w:rFonts w:hint="cs"/>
          <w:sz w:val="28"/>
          <w:szCs w:val="28"/>
          <w:rtl/>
        </w:rPr>
        <w:t xml:space="preserve"> זאת, תוך פיצוי עבור הוצאות משפט, במידת הצורך. </w:t>
      </w:r>
    </w:p>
    <w:p w:rsidR="00966C1B" w:rsidP="00966C1B" w:rsidRDefault="00966C1B">
      <w:pPr>
        <w:spacing w:line="360" w:lineRule="auto"/>
        <w:jc w:val="both"/>
        <w:rPr>
          <w:sz w:val="28"/>
          <w:szCs w:val="28"/>
          <w:rtl/>
        </w:rPr>
      </w:pPr>
    </w:p>
    <w:p w:rsidR="00E96517" w:rsidP="00966C1B" w:rsidRDefault="00966C1B">
      <w:pPr>
        <w:spacing w:line="360" w:lineRule="auto"/>
        <w:ind w:left="720" w:hanging="720"/>
        <w:jc w:val="both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6.</w:t>
      </w:r>
      <w:r>
        <w:rPr>
          <w:rFonts w:hint="cs"/>
          <w:sz w:val="28"/>
          <w:szCs w:val="28"/>
          <w:rtl/>
        </w:rPr>
        <w:tab/>
      </w:r>
      <w:r w:rsidR="00E96517">
        <w:rPr>
          <w:rFonts w:hint="cs"/>
          <w:sz w:val="28"/>
          <w:szCs w:val="28"/>
          <w:rtl/>
        </w:rPr>
        <w:t>אני סבורה כי יש להבחין בין העילות והסעדים המבוקשים בתביעה  ככל הנוגע לנתבעות שמב</w:t>
      </w:r>
      <w:r>
        <w:rPr>
          <w:rFonts w:hint="cs"/>
          <w:sz w:val="28"/>
          <w:szCs w:val="28"/>
          <w:rtl/>
        </w:rPr>
        <w:t>ו</w:t>
      </w:r>
      <w:r w:rsidR="00E96517">
        <w:rPr>
          <w:rFonts w:hint="cs"/>
          <w:sz w:val="28"/>
          <w:szCs w:val="28"/>
          <w:rtl/>
        </w:rPr>
        <w:t>קש להוסיף.</w:t>
      </w:r>
    </w:p>
    <w:p w:rsidR="00E96517" w:rsidP="00966C1B" w:rsidRDefault="00E96517">
      <w:pPr>
        <w:spacing w:line="360" w:lineRule="auto"/>
        <w:ind w:left="720"/>
        <w:jc w:val="both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כך, מבוקש לחייב את הנתבעות 1-3 יחד ולחוד בסך של 206,184 ₪ בגין ניהול</w:t>
      </w:r>
      <w:r w:rsidR="003C34A2">
        <w:rPr>
          <w:rFonts w:hint="cs"/>
          <w:sz w:val="28"/>
          <w:szCs w:val="28"/>
          <w:rtl/>
        </w:rPr>
        <w:t xml:space="preserve"> הליכי סרק ופת</w:t>
      </w:r>
      <w:r w:rsidR="00966C1B">
        <w:rPr>
          <w:rFonts w:hint="cs"/>
          <w:sz w:val="28"/>
          <w:szCs w:val="28"/>
          <w:rtl/>
        </w:rPr>
        <w:t>י</w:t>
      </w:r>
      <w:r w:rsidR="003C34A2">
        <w:rPr>
          <w:rFonts w:hint="cs"/>
          <w:sz w:val="28"/>
          <w:szCs w:val="28"/>
          <w:rtl/>
        </w:rPr>
        <w:t>ח</w:t>
      </w:r>
      <w:r w:rsidR="00966C1B">
        <w:rPr>
          <w:rFonts w:hint="cs"/>
          <w:sz w:val="28"/>
          <w:szCs w:val="28"/>
          <w:rtl/>
        </w:rPr>
        <w:t xml:space="preserve">ת </w:t>
      </w:r>
      <w:r w:rsidR="003C34A2">
        <w:rPr>
          <w:rFonts w:hint="cs"/>
          <w:sz w:val="28"/>
          <w:szCs w:val="28"/>
          <w:rtl/>
        </w:rPr>
        <w:t>הליכי משמעות שלא כדין.</w:t>
      </w:r>
    </w:p>
    <w:p w:rsidR="003C34A2" w:rsidP="00966C1B" w:rsidRDefault="003C34A2">
      <w:pPr>
        <w:spacing w:line="360" w:lineRule="auto"/>
        <w:ind w:left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פעולות אלה ננקטו על ידי המעסיק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הנתבעת  ואינן משמשות עילה (גם אם הנטען בכתב התביעה הינו נכון) כנגד גב' גריסרו ועו"ד רובינשטיין. </w:t>
      </w:r>
    </w:p>
    <w:p w:rsidR="003C34A2" w:rsidP="00257F98" w:rsidRDefault="003C34A2">
      <w:pPr>
        <w:spacing w:line="360" w:lineRule="auto"/>
        <w:ind w:left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ברם, העילות של פגיעה בפרטיות, פיצוי בגין התנכלות והתעמרות בעבודה ופיצוי בגין פרסום לשון הרע יכולות להיות גם כנגד עו"ד רובינשטיין וגב' גריסרו. </w:t>
      </w:r>
    </w:p>
    <w:p w:rsidR="003C34A2" w:rsidP="00257F98" w:rsidRDefault="003C34A2">
      <w:pPr>
        <w:spacing w:line="360" w:lineRule="auto"/>
        <w:ind w:firstLine="720"/>
        <w:jc w:val="both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בכפוף לכך, אני מתירה את התיקון של כתב התביעה כמבוקש.</w:t>
      </w:r>
    </w:p>
    <w:p w:rsidR="00257F98" w:rsidP="003C34A2" w:rsidRDefault="00257F98">
      <w:pPr>
        <w:spacing w:line="360" w:lineRule="auto"/>
        <w:jc w:val="both"/>
        <w:rPr>
          <w:sz w:val="28"/>
          <w:szCs w:val="28"/>
          <w:rtl/>
        </w:rPr>
      </w:pPr>
    </w:p>
    <w:p w:rsidR="003C34A2" w:rsidP="003C34A2" w:rsidRDefault="00257F98">
      <w:pPr>
        <w:spacing w:line="360" w:lineRule="auto"/>
        <w:jc w:val="both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7.</w:t>
      </w:r>
      <w:r>
        <w:rPr>
          <w:rFonts w:hint="cs"/>
          <w:sz w:val="28"/>
          <w:szCs w:val="28"/>
          <w:rtl/>
        </w:rPr>
        <w:tab/>
      </w:r>
      <w:r w:rsidR="003C34A2">
        <w:rPr>
          <w:rFonts w:hint="cs"/>
          <w:sz w:val="28"/>
          <w:szCs w:val="28"/>
          <w:rtl/>
        </w:rPr>
        <w:t xml:space="preserve">כתב התביעה המתוקן יוגש עד ליום </w:t>
      </w:r>
      <w:r w:rsidR="00526517">
        <w:rPr>
          <w:rFonts w:hint="cs"/>
          <w:sz w:val="28"/>
          <w:szCs w:val="28"/>
          <w:rtl/>
        </w:rPr>
        <w:t>19.4.18.</w:t>
      </w:r>
    </w:p>
    <w:p w:rsidR="00526517" w:rsidP="00257F98" w:rsidRDefault="00526517">
      <w:pPr>
        <w:spacing w:line="360" w:lineRule="auto"/>
        <w:ind w:firstLine="720"/>
        <w:jc w:val="both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הנתבעות יגישו כתב הגנה/כתב הגנה מתוקן עד ליום 10.5.18.</w:t>
      </w:r>
    </w:p>
    <w:p w:rsidR="00526517" w:rsidP="003C34A2" w:rsidRDefault="00526517">
      <w:pPr>
        <w:spacing w:line="360" w:lineRule="auto"/>
        <w:jc w:val="both"/>
        <w:rPr>
          <w:sz w:val="28"/>
          <w:szCs w:val="28"/>
          <w:rtl/>
        </w:rPr>
      </w:pPr>
    </w:p>
    <w:p w:rsidR="00526517" w:rsidP="003C34A2" w:rsidRDefault="00257F98">
      <w:pPr>
        <w:spacing w:line="360" w:lineRule="auto"/>
        <w:jc w:val="both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8.</w:t>
      </w:r>
      <w:r>
        <w:rPr>
          <w:rFonts w:hint="cs"/>
          <w:sz w:val="28"/>
          <w:szCs w:val="28"/>
          <w:rtl/>
        </w:rPr>
        <w:tab/>
      </w:r>
      <w:r w:rsidR="00526517">
        <w:rPr>
          <w:rFonts w:hint="cs"/>
          <w:sz w:val="28"/>
          <w:szCs w:val="28"/>
          <w:rtl/>
        </w:rPr>
        <w:t>הוצאות המשפט יישקלו לאחר שיוגשו כתבי טענות מתוקנים.</w:t>
      </w:r>
    </w:p>
    <w:p w:rsidRPr="002E239D" w:rsidR="00526517" w:rsidP="00257F98" w:rsidRDefault="00526517">
      <w:pPr>
        <w:spacing w:line="360" w:lineRule="auto"/>
        <w:ind w:firstLine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לדיון המוקדם שנקבע.</w:t>
      </w:r>
    </w:p>
    <w:p w:rsidRPr="00257F98" w:rsidR="002C1C43" w:rsidP="00257F98" w:rsidRDefault="002C1C43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257F98">
        <w:rPr>
          <w:rFonts w:hint="cs" w:ascii="Arial" w:hAnsi="Arial"/>
          <w:b/>
          <w:bCs/>
          <w:noProof w:val="0"/>
          <w:rtl/>
        </w:rPr>
        <w:t>נית</w:t>
      </w:r>
      <w:r w:rsidRPr="00257F98" w:rsidR="00221FF9">
        <w:rPr>
          <w:rFonts w:hint="cs" w:ascii="Arial" w:hAnsi="Arial"/>
          <w:b/>
          <w:bCs/>
          <w:noProof w:val="0"/>
          <w:rtl/>
        </w:rPr>
        <w:t>נה</w:t>
      </w:r>
      <w:r w:rsidRPr="00257F98">
        <w:rPr>
          <w:rFonts w:hint="cs" w:ascii="Arial" w:hAnsi="Arial"/>
          <w:b/>
          <w:bCs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257F98">
        <w:rPr>
          <w:rFonts w:hint="cs" w:ascii="Arial" w:hAnsi="Arial"/>
          <w:b/>
          <w:bCs/>
          <w:noProof w:val="0"/>
          <w:rtl/>
        </w:rPr>
        <w:t xml:space="preserve">, </w:t>
      </w:r>
      <w:r w:rsidRPr="00257F98" w:rsidR="008F32AB">
        <w:rPr>
          <w:rFonts w:hint="cs"/>
          <w:b/>
          <w:bCs/>
          <w:rtl/>
        </w:rPr>
        <w:t>(</w:t>
      </w:r>
      <w:sdt>
        <w:sdtPr>
          <w:rPr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257F98" w:rsidR="008F32AB">
        <w:rPr>
          <w:rFonts w:hint="cs" w:ascii="Arial" w:hAnsi="Arial"/>
          <w:b/>
          <w:bCs/>
          <w:noProof w:val="0"/>
          <w:rtl/>
        </w:rPr>
        <w:t>)</w:t>
      </w:r>
      <w:r w:rsidRPr="00257F98">
        <w:rPr>
          <w:rFonts w:hint="cs" w:ascii="Arial" w:hAnsi="Arial"/>
          <w:b/>
          <w:bCs/>
          <w:noProof w:val="0"/>
          <w:rtl/>
        </w:rPr>
        <w:t>, בהעדר הצדדים ותישלח אליהם.</w:t>
      </w:r>
    </w:p>
    <w:p w:rsidRPr="003C4168" w:rsidR="000B2DA4" w:rsidP="00221FF9" w:rsidRDefault="000B2DA4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</w:p>
    <w:p w:rsidR="002C1C43" w:rsidP="00257F98" w:rsidRDefault="000B2DA4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bookmarkStart w:name="_GoBack" w:id="0"/>
      <w:bookmarkEnd w:id="0"/>
      <w:r>
        <w:rPr>
          <w:rFonts w:hint="cs"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-1977827295"/>
          <w:showingPlcHdr/>
          <w:text w:multiLine="1"/>
        </w:sdtPr>
        <w:sdtEndPr/>
        <w:sdtContent>
          <w:r>
            <w:rPr>
              <w:rFonts w:hint="cs" w:ascii="Arial" w:hAnsi="Arial"/>
              <w:noProof w:val="0"/>
              <w:rtl/>
            </w:rPr>
            <w:t xml:space="preserve">      </w:t>
          </w:r>
        </w:sdtContent>
      </w:sdt>
      <w:r>
        <w:rPr>
          <w:rFonts w:ascii="Arial" w:hAnsi="Arial"/>
          <w:noProof w:val="0"/>
          <w:rtl/>
        </w:rPr>
        <w:t xml:space="preserve"> </w:t>
      </w:r>
    </w:p>
    <w:p w:rsidRPr="007748D4" w:rsidR="002605D5" w:rsidP="002605D5" w:rsidRDefault="00942311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85900" cy="1266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4de8222d927437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913F69" w:rsidR="002C1C43" w:rsidP="002C1C43" w:rsidRDefault="002C1C43">
      <w:pPr>
        <w:rPr>
          <w:sz w:val="28"/>
          <w:szCs w:val="28"/>
          <w:rtl/>
        </w:rPr>
      </w:pPr>
    </w:p>
    <w:p w:rsidR="00913F69" w:rsidP="002C1C43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="00913F69" w:rsidP="00913F69" w:rsidRDefault="00913F69">
      <w:pPr>
        <w:jc w:val="center"/>
        <w:rPr>
          <w:sz w:val="28"/>
          <w:szCs w:val="28"/>
          <w:rtl/>
        </w:rPr>
      </w:pPr>
    </w:p>
    <w:p w:rsidRPr="00913F69" w:rsidR="00694556" w:rsidP="00913F69" w:rsidRDefault="00694556">
      <w:pPr>
        <w:jc w:val="center"/>
        <w:rPr>
          <w:sz w:val="28"/>
          <w:szCs w:val="28"/>
          <w:rtl/>
        </w:rPr>
      </w:pPr>
    </w:p>
    <w:sectPr w:rsidRPr="00913F69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239D" w:rsidRDefault="002E239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42311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</w:t>
    </w:r>
    <w:r w:rsidRPr="00913F69" w:rsidR="00005C8B">
      <w:rPr>
        <w:rStyle w:val="ab"/>
        <w:rFonts w:hint="cs"/>
        <w:sz w:val="28"/>
        <w:szCs w:val="28"/>
        <w:rtl/>
      </w:rPr>
      <w:t>מתוך</w:t>
    </w:r>
    <w:r w:rsidRPr="004E6E3C" w:rsidR="00005C8B">
      <w:rPr>
        <w:rStyle w:val="ab"/>
        <w:rFonts w:hint="cs"/>
        <w:rtl/>
      </w:rPr>
      <w:t xml:space="preserve">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42311">
      <w:rPr>
        <w:rStyle w:val="ab"/>
        <w:rtl/>
      </w:rPr>
      <w:t>3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239D" w:rsidRDefault="002E239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239D" w:rsidRDefault="002E239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E239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575D31B3" wp14:editId="2D4880C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060915"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C26D4E" w:rsidR="008F32AB" w:rsidP="00C26D4E" w:rsidRDefault="00942311">
          <w:pPr>
            <w:jc w:val="right"/>
            <w:rPr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סע"ש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45564-12-17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239D" w:rsidRDefault="002E239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20"/>
  <w:characterSpacingControl w:val="doNotCompress"/>
  <w:hdrShapeDefaults>
    <o:shapedefaults v:ext="edit" spidmax="122882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60915"/>
    <w:rsid w:val="000A574D"/>
    <w:rsid w:val="000A7553"/>
    <w:rsid w:val="000B2DA4"/>
    <w:rsid w:val="000E13CD"/>
    <w:rsid w:val="00106AA1"/>
    <w:rsid w:val="0014234E"/>
    <w:rsid w:val="00191B85"/>
    <w:rsid w:val="001C4003"/>
    <w:rsid w:val="00221FF9"/>
    <w:rsid w:val="00257F98"/>
    <w:rsid w:val="002605D5"/>
    <w:rsid w:val="002B1499"/>
    <w:rsid w:val="002B6C85"/>
    <w:rsid w:val="002C1C43"/>
    <w:rsid w:val="002D0DA3"/>
    <w:rsid w:val="002E239D"/>
    <w:rsid w:val="00350CAC"/>
    <w:rsid w:val="00352325"/>
    <w:rsid w:val="003C34A2"/>
    <w:rsid w:val="003C4168"/>
    <w:rsid w:val="003E742D"/>
    <w:rsid w:val="004642C0"/>
    <w:rsid w:val="004B6079"/>
    <w:rsid w:val="004E6E3C"/>
    <w:rsid w:val="00511543"/>
    <w:rsid w:val="00515C3A"/>
    <w:rsid w:val="00526517"/>
    <w:rsid w:val="00547DB7"/>
    <w:rsid w:val="00563391"/>
    <w:rsid w:val="00592DD1"/>
    <w:rsid w:val="005C0FDD"/>
    <w:rsid w:val="005E0B17"/>
    <w:rsid w:val="00604392"/>
    <w:rsid w:val="00622BAA"/>
    <w:rsid w:val="00625C89"/>
    <w:rsid w:val="00671BD5"/>
    <w:rsid w:val="006805C1"/>
    <w:rsid w:val="00694556"/>
    <w:rsid w:val="006E1A53"/>
    <w:rsid w:val="007054D3"/>
    <w:rsid w:val="007056AA"/>
    <w:rsid w:val="00715102"/>
    <w:rsid w:val="00774526"/>
    <w:rsid w:val="007748D4"/>
    <w:rsid w:val="007A24FE"/>
    <w:rsid w:val="00820005"/>
    <w:rsid w:val="00826670"/>
    <w:rsid w:val="00846D27"/>
    <w:rsid w:val="008541AE"/>
    <w:rsid w:val="008A7F5D"/>
    <w:rsid w:val="008C0B96"/>
    <w:rsid w:val="008F2B32"/>
    <w:rsid w:val="008F32AB"/>
    <w:rsid w:val="00903896"/>
    <w:rsid w:val="00913E52"/>
    <w:rsid w:val="00913F69"/>
    <w:rsid w:val="00942311"/>
    <w:rsid w:val="00966C1B"/>
    <w:rsid w:val="009A7666"/>
    <w:rsid w:val="009D357D"/>
    <w:rsid w:val="009E0263"/>
    <w:rsid w:val="00A11C09"/>
    <w:rsid w:val="00A4277D"/>
    <w:rsid w:val="00A61A78"/>
    <w:rsid w:val="00A91413"/>
    <w:rsid w:val="00AE598D"/>
    <w:rsid w:val="00AF1ED6"/>
    <w:rsid w:val="00B80CBD"/>
    <w:rsid w:val="00BC3369"/>
    <w:rsid w:val="00BC7C5B"/>
    <w:rsid w:val="00BD06DF"/>
    <w:rsid w:val="00BE5A52"/>
    <w:rsid w:val="00BE6116"/>
    <w:rsid w:val="00BF4AC8"/>
    <w:rsid w:val="00BF7C4C"/>
    <w:rsid w:val="00C26D4E"/>
    <w:rsid w:val="00C43F49"/>
    <w:rsid w:val="00C51656"/>
    <w:rsid w:val="00C71F5D"/>
    <w:rsid w:val="00C91CBA"/>
    <w:rsid w:val="00D53924"/>
    <w:rsid w:val="00D901AC"/>
    <w:rsid w:val="00D96D8C"/>
    <w:rsid w:val="00DA783C"/>
    <w:rsid w:val="00DB68AC"/>
    <w:rsid w:val="00DE3B9C"/>
    <w:rsid w:val="00E54642"/>
    <w:rsid w:val="00E8170A"/>
    <w:rsid w:val="00E96517"/>
    <w:rsid w:val="00E97908"/>
    <w:rsid w:val="00EF62A3"/>
    <w:rsid w:val="00F9387D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  <w14:docId w14:val="44ADDBC6"/>
  <w15:docId w15:val="{7AAADD52-B5B9-4735-B77C-22514646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64de8222d927437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176389" w:rsidP="00176389">
          <w:pPr>
            <w:pStyle w:val="2CFF24023F394676A6A1350FD0C92320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176389" w:rsidP="00176389">
          <w:pPr>
            <w:pStyle w:val="CD28D077A80B447C9485B3026659CE8D6"/>
          </w:pPr>
          <w:r w:rsidRPr="003C4168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176389" w:rsidP="00176389">
          <w:pPr>
            <w:pStyle w:val="80F31EDA0C674178A5DB0046F5ADD3E1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B59B7"/>
    <w:rsid w:val="00176389"/>
    <w:rsid w:val="001F75B9"/>
    <w:rsid w:val="002138C9"/>
    <w:rsid w:val="00263B88"/>
    <w:rsid w:val="00460004"/>
    <w:rsid w:val="00592AEB"/>
    <w:rsid w:val="00A544EF"/>
    <w:rsid w:val="00DD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389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0C3EA9DC1A4DDD8A2C1A783CA3B051">
    <w:name w:val="520C3EA9DC1A4DDD8A2C1A783CA3B051"/>
    <w:rsid w:val="00DD719A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EB5B2A44A2643FA9EC0AA7F5A0F2AB7">
    <w:name w:val="2EB5B2A44A2643FA9EC0AA7F5A0F2AB7"/>
    <w:rsid w:val="00A544E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EEBD2A7D59C48CBB19226120BB2FE6E">
    <w:name w:val="FEEBD2A7D59C48CBB19226120BB2FE6E"/>
    <w:rsid w:val="000B59B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">
    <w:name w:val="BDEB4EBC03724150944C6FDC55201DDE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C1849BC3A42808422605B0A40672B">
    <w:name w:val="B7FC1849BC3A42808422605B0A40672B"/>
    <w:rsid w:val="00592AEB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1">
    <w:name w:val="BDEB4EBC03724150944C6FDC55201DDE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7905B26C324641B1D4016B92B680F1">
    <w:name w:val="9C7905B26C324641B1D4016B92B680F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A5B844EACCC4EA797DBF7C8DCD7D008">
    <w:name w:val="4A5B844EACCC4EA797DBF7C8DCD7D008"/>
    <w:rsid w:val="0017638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364</Words>
  <Characters>1823</Characters>
  <Application>Microsoft Office Word</Application>
  <DocSecurity>0</DocSecurity>
  <Lines>15</Lines>
  <Paragraphs>4</Paragraphs>
  <ScaleCrop>false</ScaleCrop>
  <Company>Microsoft Corporation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איצקוביץ</cp:lastModifiedBy>
  <cp:revision>49</cp:revision>
  <dcterms:created xsi:type="dcterms:W3CDTF">2012-08-05T16:56:00Z</dcterms:created>
  <dcterms:modified xsi:type="dcterms:W3CDTF">2018-04-12T09:06:00Z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