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p>
        </w:tc>
        <w:tc>
          <w:tcPr>
            <w:tcW w:w="8077" w:type="dxa"/>
            <w:gridSpan w:val="2"/>
            <w:hideMark/>
          </w:tcPr>
          <w:p w:rsidRPr="00821D81" w:rsidR="006816EC" w:rsidP="006816EC" w:rsidRDefault="00821D81">
            <w:pPr>
              <w:rPr>
                <w:b/>
                <w:bCs/>
                <w:sz w:val="26"/>
                <w:szCs w:val="26"/>
              </w:rPr>
            </w:pPr>
            <w:r w:rsidRPr="00821D81">
              <w:rPr>
                <w:b/>
                <w:bCs/>
                <w:sz w:val="26"/>
                <w:szCs w:val="26"/>
                <w:rtl/>
              </w:rPr>
              <w:t>בפני כב' השופט יוסף סוהיל – סגן נשיא</w:t>
            </w:r>
          </w:p>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BA2595" w:rsidP="00C06D11" w:rsidRDefault="00C06D11">
                <w:pPr>
                  <w:rPr>
                    <w:rFonts w:ascii="Arial (W1)" w:hAnsi="Arial (W1)"/>
                    <w:b/>
                    <w:bCs/>
                    <w:noProof w:val="0"/>
                    <w:sz w:val="28"/>
                    <w:szCs w:val="28"/>
                  </w:rPr>
                </w:pPr>
                <w:r>
                  <w:rPr>
                    <w:rFonts w:hint="cs"/>
                    <w:b/>
                    <w:bCs/>
                    <w:noProof w:val="0"/>
                    <w:sz w:val="28"/>
                    <w:rtl/>
                  </w:rPr>
                  <w:t>המבקש</w:t>
                </w:r>
              </w:p>
            </w:sdtContent>
          </w:sdt>
        </w:tc>
        <w:tc>
          <w:tcPr>
            <w:tcW w:w="5571" w:type="dxa"/>
          </w:tcPr>
          <w:p w:rsidR="006816EC" w:rsidRDefault="006816EC">
            <w:pPr>
              <w:rPr>
                <w:rFonts w:ascii="Arial (W1)" w:hAnsi="Arial (W1)"/>
                <w:b/>
                <w:bCs/>
                <w:noProof w:val="0"/>
                <w:sz w:val="28"/>
                <w:szCs w:val="28"/>
                <w:rtl/>
              </w:rPr>
            </w:pPr>
          </w:p>
          <w:p w:rsidR="006816EC" w:rsidRDefault="00675EB3">
            <w:pPr>
              <w:rPr>
                <w:rFonts w:ascii="Arial (W1)" w:hAnsi="Arial (W1)"/>
                <w:b/>
                <w:bCs/>
                <w:noProof w:val="0"/>
                <w:sz w:val="28"/>
                <w:szCs w:val="28"/>
              </w:rPr>
            </w:pPr>
            <w:sdt>
              <w:sdtPr>
                <w:rPr>
                  <w:rFonts w:hint="cs"/>
                  <w:rtl/>
                </w:rPr>
                <w:alias w:val="1478"/>
                <w:tag w:val="1478"/>
                <w:id w:val="160126198"/>
                <w:text w:multiLine="1"/>
              </w:sdtPr>
              <w:sdtEndPr/>
              <w:sdtContent>
                <w:r w:rsidR="00821D81">
                  <w:rPr>
                    <w:rFonts w:hint="cs"/>
                    <w:b/>
                    <w:bCs/>
                    <w:noProof w:val="0"/>
                    <w:sz w:val="28"/>
                    <w:rtl/>
                  </w:rPr>
                  <w:t>אדיב חילו</w:t>
                </w:r>
                <w:r w:rsidR="00C06D11">
                  <w:rPr>
                    <w:rFonts w:hint="cs"/>
                    <w:b/>
                    <w:bCs/>
                    <w:noProof w:val="0"/>
                    <w:sz w:val="28"/>
                    <w:rtl/>
                  </w:rPr>
                  <w:t xml:space="preserve"> ת.ז. 026392381</w:t>
                </w:r>
                <w:r w:rsidR="00C06D11">
                  <w:rPr>
                    <w:b/>
                    <w:bCs/>
                    <w:noProof w:val="0"/>
                    <w:sz w:val="28"/>
                    <w:rtl/>
                  </w:rPr>
                  <w:br/>
                </w:r>
                <w:r w:rsidR="00C06D11">
                  <w:rPr>
                    <w:rFonts w:hint="cs"/>
                    <w:rtl/>
                  </w:rPr>
                  <w:t>ע"י עוה"ד עיסא פראג' ואח'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675EB3">
            <w:pPr>
              <w:rPr>
                <w:rFonts w:ascii="Arial (W1)" w:hAnsi="Arial (W1)"/>
                <w:b/>
                <w:bCs/>
                <w:noProof w:val="0"/>
                <w:sz w:val="28"/>
                <w:szCs w:val="28"/>
              </w:rPr>
            </w:pPr>
            <w:sdt>
              <w:sdtPr>
                <w:rPr>
                  <w:rFonts w:hint="cs"/>
                  <w:rtl/>
                </w:rPr>
                <w:alias w:val="1184"/>
                <w:tag w:val="1184"/>
                <w:id w:val="-910234160"/>
                <w:text w:multiLine="1"/>
              </w:sdtPr>
              <w:sdtEndPr/>
              <w:sdtContent>
                <w:r w:rsidR="00C06D11">
                  <w:rPr>
                    <w:rFonts w:hint="cs"/>
                    <w:b/>
                    <w:bCs/>
                    <w:noProof w:val="0"/>
                    <w:sz w:val="28"/>
                    <w:rtl/>
                  </w:rPr>
                  <w:t>המשיב</w:t>
                </w:r>
              </w:sdtContent>
            </w:sdt>
          </w:p>
        </w:tc>
        <w:tc>
          <w:tcPr>
            <w:tcW w:w="5571" w:type="dxa"/>
          </w:tcPr>
          <w:p w:rsidR="006816EC" w:rsidRDefault="006816EC">
            <w:pPr>
              <w:rPr>
                <w:rFonts w:ascii="Arial (W1)" w:hAnsi="Arial (W1)"/>
                <w:b/>
                <w:bCs/>
                <w:noProof w:val="0"/>
                <w:sz w:val="28"/>
                <w:szCs w:val="28"/>
                <w:rtl/>
              </w:rPr>
            </w:pPr>
          </w:p>
          <w:p w:rsidR="006816EC" w:rsidRDefault="00675EB3">
            <w:pPr>
              <w:rPr>
                <w:rFonts w:ascii="Arial (W1)" w:hAnsi="Arial (W1)"/>
                <w:b/>
                <w:bCs/>
                <w:noProof w:val="0"/>
                <w:sz w:val="28"/>
                <w:szCs w:val="28"/>
              </w:rPr>
            </w:pPr>
            <w:sdt>
              <w:sdtPr>
                <w:rPr>
                  <w:rFonts w:hint="cs"/>
                  <w:rtl/>
                </w:rPr>
                <w:alias w:val="1486"/>
                <w:tag w:val="1486"/>
                <w:id w:val="1487590763"/>
                <w:text w:multiLine="1"/>
              </w:sdtPr>
              <w:sdtEndPr/>
              <w:sdtContent>
                <w:r w:rsidR="00821D81">
                  <w:rPr>
                    <w:rFonts w:hint="cs"/>
                    <w:b/>
                    <w:bCs/>
                    <w:noProof w:val="0"/>
                    <w:sz w:val="28"/>
                    <w:rtl/>
                  </w:rPr>
                  <w:t>מרכנתיל דיסקונט תל אביב סניף אבן גבירול</w:t>
                </w:r>
                <w:r w:rsidR="00C06D11">
                  <w:rPr>
                    <w:rtl/>
                  </w:rPr>
                  <w:br/>
                </w:r>
                <w:r w:rsidR="00C06D11">
                  <w:rPr>
                    <w:rFonts w:hint="cs"/>
                    <w:rtl/>
                  </w:rPr>
                  <w:t>ע"י עוה"ד זאהי אבן אלעסל ואח'</w:t>
                </w:r>
              </w:sdtContent>
            </w:sdt>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0E380B" w:rsidP="000E380B" w:rsidRDefault="000E380B">
      <w:pPr>
        <w:spacing w:line="360" w:lineRule="auto"/>
        <w:jc w:val="both"/>
        <w:rPr>
          <w:rFonts w:ascii="Arial" w:hAnsi="Arial"/>
          <w:noProof w:val="0"/>
          <w:rtl/>
        </w:rPr>
      </w:pPr>
    </w:p>
    <w:p w:rsidRPr="000E380B" w:rsidR="0029164F" w:rsidP="0029164F" w:rsidRDefault="0029164F">
      <w:pPr>
        <w:pStyle w:val="ad"/>
        <w:rPr>
          <w:rtl/>
        </w:rPr>
      </w:pPr>
    </w:p>
    <w:p w:rsidRPr="000E380B" w:rsidR="000E380B" w:rsidP="00043CF8" w:rsidRDefault="000E380B">
      <w:pPr>
        <w:spacing w:line="360" w:lineRule="auto"/>
        <w:ind w:left="720" w:hanging="720"/>
        <w:jc w:val="both"/>
        <w:rPr>
          <w:rFonts w:ascii="Calibri" w:hAnsi="Calibri"/>
          <w:rtl/>
        </w:rPr>
      </w:pPr>
      <w:r w:rsidRPr="000E380B">
        <w:rPr>
          <w:rFonts w:ascii="Calibri" w:hAnsi="Calibri"/>
          <w:rtl/>
        </w:rPr>
        <w:t>1.</w:t>
      </w:r>
      <w:r w:rsidRPr="000E380B">
        <w:rPr>
          <w:rFonts w:ascii="Calibri" w:hAnsi="Calibri"/>
          <w:rtl/>
        </w:rPr>
        <w:tab/>
      </w:r>
      <w:r w:rsidRPr="000E380B">
        <w:rPr>
          <w:rFonts w:hint="eastAsia" w:ascii="Calibri" w:hAnsi="Calibri"/>
          <w:rtl/>
        </w:rPr>
        <w:t>בקשת</w:t>
      </w:r>
      <w:r w:rsidRPr="000E380B">
        <w:rPr>
          <w:rFonts w:ascii="Calibri" w:hAnsi="Calibri"/>
          <w:rtl/>
        </w:rPr>
        <w:t xml:space="preserve"> </w:t>
      </w:r>
      <w:r w:rsidRPr="000E380B">
        <w:rPr>
          <w:rFonts w:hint="eastAsia" w:ascii="Calibri" w:hAnsi="Calibri"/>
          <w:rtl/>
        </w:rPr>
        <w:t>רשות</w:t>
      </w:r>
      <w:r w:rsidRPr="000E380B">
        <w:rPr>
          <w:rFonts w:ascii="Calibri" w:hAnsi="Calibri"/>
          <w:rtl/>
        </w:rPr>
        <w:t xml:space="preserve"> </w:t>
      </w:r>
      <w:r w:rsidRPr="000E380B">
        <w:rPr>
          <w:rFonts w:hint="eastAsia" w:ascii="Calibri" w:hAnsi="Calibri"/>
          <w:rtl/>
        </w:rPr>
        <w:t>ערעור</w:t>
      </w:r>
      <w:r w:rsidRPr="000E380B">
        <w:rPr>
          <w:rFonts w:ascii="Calibri" w:hAnsi="Calibri"/>
          <w:rtl/>
        </w:rPr>
        <w:t xml:space="preserve"> </w:t>
      </w:r>
      <w:r w:rsidRPr="000E380B">
        <w:rPr>
          <w:rFonts w:hint="eastAsia" w:ascii="Calibri" w:hAnsi="Calibri"/>
          <w:rtl/>
        </w:rPr>
        <w:t>על</w:t>
      </w:r>
      <w:r w:rsidRPr="000E380B">
        <w:rPr>
          <w:rFonts w:ascii="Calibri" w:hAnsi="Calibri"/>
          <w:rtl/>
        </w:rPr>
        <w:t xml:space="preserve"> </w:t>
      </w:r>
      <w:r w:rsidRPr="000E380B">
        <w:rPr>
          <w:rFonts w:hint="eastAsia" w:ascii="Calibri" w:hAnsi="Calibri"/>
          <w:rtl/>
        </w:rPr>
        <w:t>החלטת</w:t>
      </w:r>
      <w:r w:rsidRPr="000E380B">
        <w:rPr>
          <w:rFonts w:ascii="Calibri" w:hAnsi="Calibri"/>
          <w:rtl/>
        </w:rPr>
        <w:t xml:space="preserve"> </w:t>
      </w:r>
      <w:r w:rsidRPr="000E380B">
        <w:rPr>
          <w:rFonts w:hint="eastAsia" w:ascii="Calibri" w:hAnsi="Calibri"/>
          <w:rtl/>
        </w:rPr>
        <w:t>כב</w:t>
      </w:r>
      <w:r w:rsidRPr="000E380B">
        <w:rPr>
          <w:rFonts w:ascii="Calibri" w:hAnsi="Calibri"/>
          <w:rtl/>
        </w:rPr>
        <w:t xml:space="preserve">' </w:t>
      </w:r>
      <w:r w:rsidRPr="000E380B">
        <w:rPr>
          <w:rFonts w:hint="eastAsia" w:ascii="Calibri" w:hAnsi="Calibri"/>
          <w:rtl/>
        </w:rPr>
        <w:t>רשמת</w:t>
      </w:r>
      <w:r w:rsidRPr="000E380B">
        <w:rPr>
          <w:rFonts w:ascii="Calibri" w:hAnsi="Calibri"/>
          <w:rtl/>
        </w:rPr>
        <w:t xml:space="preserve"> </w:t>
      </w:r>
      <w:r w:rsidRPr="000E380B">
        <w:rPr>
          <w:rFonts w:hint="eastAsia" w:ascii="Calibri" w:hAnsi="Calibri"/>
          <w:rtl/>
        </w:rPr>
        <w:t>ההוצאה</w:t>
      </w:r>
      <w:r w:rsidRPr="000E380B">
        <w:rPr>
          <w:rFonts w:ascii="Calibri" w:hAnsi="Calibri"/>
          <w:rtl/>
        </w:rPr>
        <w:t xml:space="preserve"> </w:t>
      </w:r>
      <w:r w:rsidRPr="000E380B">
        <w:rPr>
          <w:rFonts w:hint="eastAsia" w:ascii="Calibri" w:hAnsi="Calibri"/>
          <w:rtl/>
        </w:rPr>
        <w:t>לפועל</w:t>
      </w:r>
      <w:r w:rsidRPr="000E380B">
        <w:rPr>
          <w:rFonts w:ascii="Calibri" w:hAnsi="Calibri"/>
          <w:rtl/>
        </w:rPr>
        <w:t xml:space="preserve"> </w:t>
      </w:r>
      <w:r w:rsidRPr="000E380B">
        <w:rPr>
          <w:rFonts w:hint="eastAsia" w:ascii="Calibri" w:hAnsi="Calibri"/>
          <w:rtl/>
        </w:rPr>
        <w:t>אופיר</w:t>
      </w:r>
      <w:r w:rsidRPr="000E380B">
        <w:rPr>
          <w:rFonts w:ascii="Calibri" w:hAnsi="Calibri"/>
          <w:rtl/>
        </w:rPr>
        <w:t xml:space="preserve"> </w:t>
      </w:r>
      <w:r w:rsidRPr="000E380B">
        <w:rPr>
          <w:rFonts w:hint="eastAsia" w:ascii="Calibri" w:hAnsi="Calibri"/>
          <w:rtl/>
        </w:rPr>
        <w:t>בן</w:t>
      </w:r>
      <w:r w:rsidRPr="000E380B">
        <w:rPr>
          <w:rFonts w:ascii="Calibri" w:hAnsi="Calibri"/>
          <w:rtl/>
        </w:rPr>
        <w:t xml:space="preserve"> </w:t>
      </w:r>
      <w:r w:rsidRPr="000E380B">
        <w:rPr>
          <w:rFonts w:hint="eastAsia" w:ascii="Calibri" w:hAnsi="Calibri"/>
          <w:rtl/>
        </w:rPr>
        <w:t>יוסף</w:t>
      </w:r>
      <w:r w:rsidRPr="000E380B">
        <w:rPr>
          <w:rFonts w:ascii="Calibri" w:hAnsi="Calibri"/>
          <w:rtl/>
        </w:rPr>
        <w:t xml:space="preserve"> </w:t>
      </w:r>
      <w:r w:rsidRPr="000E380B">
        <w:rPr>
          <w:rFonts w:hint="eastAsia" w:ascii="Calibri" w:hAnsi="Calibri"/>
          <w:rtl/>
        </w:rPr>
        <w:t>כפרי</w:t>
      </w:r>
      <w:r w:rsidRPr="000E380B">
        <w:rPr>
          <w:rFonts w:ascii="Calibri" w:hAnsi="Calibri"/>
          <w:rtl/>
        </w:rPr>
        <w:t xml:space="preserve">, </w:t>
      </w:r>
      <w:r w:rsidRPr="000E380B">
        <w:rPr>
          <w:rFonts w:hint="eastAsia" w:ascii="Calibri" w:hAnsi="Calibri"/>
          <w:rtl/>
        </w:rPr>
        <w:t>מיום</w:t>
      </w:r>
      <w:r w:rsidRPr="000E380B">
        <w:rPr>
          <w:rFonts w:ascii="Calibri" w:hAnsi="Calibri"/>
          <w:rtl/>
        </w:rPr>
        <w:t xml:space="preserve"> 13.03.2018, </w:t>
      </w:r>
      <w:r w:rsidRPr="000E380B">
        <w:rPr>
          <w:rFonts w:hint="eastAsia" w:ascii="Calibri" w:hAnsi="Calibri"/>
          <w:rtl/>
        </w:rPr>
        <w:t>בתיק</w:t>
      </w:r>
      <w:r w:rsidRPr="000E380B">
        <w:rPr>
          <w:rFonts w:ascii="Calibri" w:hAnsi="Calibri"/>
          <w:rtl/>
        </w:rPr>
        <w:t xml:space="preserve"> </w:t>
      </w:r>
      <w:r w:rsidRPr="000E380B">
        <w:rPr>
          <w:rFonts w:hint="eastAsia" w:ascii="Calibri" w:hAnsi="Calibri"/>
          <w:rtl/>
        </w:rPr>
        <w:t>איחוד</w:t>
      </w:r>
      <w:r w:rsidRPr="000E380B">
        <w:rPr>
          <w:rFonts w:ascii="Calibri" w:hAnsi="Calibri"/>
          <w:rtl/>
        </w:rPr>
        <w:t xml:space="preserve"> </w:t>
      </w:r>
      <w:r w:rsidRPr="000E380B">
        <w:rPr>
          <w:rFonts w:hint="eastAsia" w:ascii="Calibri" w:hAnsi="Calibri"/>
          <w:rtl/>
        </w:rPr>
        <w:t>שמספרו</w:t>
      </w:r>
      <w:r w:rsidRPr="000E380B">
        <w:rPr>
          <w:rFonts w:ascii="Calibri" w:hAnsi="Calibri"/>
          <w:rtl/>
        </w:rPr>
        <w:t xml:space="preserve"> 522644-02-18 (</w:t>
      </w:r>
      <w:r w:rsidRPr="000E380B">
        <w:rPr>
          <w:rFonts w:hint="eastAsia" w:ascii="Calibri" w:hAnsi="Calibri"/>
          <w:rtl/>
        </w:rPr>
        <w:t>להלן</w:t>
      </w:r>
      <w:r w:rsidRPr="000E380B">
        <w:rPr>
          <w:rFonts w:ascii="Calibri" w:hAnsi="Calibri"/>
          <w:rtl/>
        </w:rPr>
        <w:t>: "</w:t>
      </w:r>
      <w:r w:rsidRPr="000E380B">
        <w:rPr>
          <w:rFonts w:hint="eastAsia" w:ascii="Calibri" w:hAnsi="Calibri"/>
          <w:b/>
          <w:bCs/>
          <w:rtl/>
        </w:rPr>
        <w:t>תיק</w:t>
      </w:r>
      <w:r w:rsidRPr="000E380B">
        <w:rPr>
          <w:rFonts w:ascii="Calibri" w:hAnsi="Calibri"/>
          <w:b/>
          <w:bCs/>
          <w:rtl/>
        </w:rPr>
        <w:t xml:space="preserve"> </w:t>
      </w:r>
      <w:r w:rsidRPr="000E380B">
        <w:rPr>
          <w:rFonts w:hint="eastAsia" w:ascii="Calibri" w:hAnsi="Calibri"/>
          <w:b/>
          <w:bCs/>
          <w:rtl/>
        </w:rPr>
        <w:t>האיחוד</w:t>
      </w:r>
      <w:r w:rsidR="00043CF8">
        <w:rPr>
          <w:rFonts w:ascii="Calibri" w:hAnsi="Calibri"/>
          <w:rtl/>
        </w:rPr>
        <w:t xml:space="preserve">"), </w:t>
      </w:r>
      <w:r w:rsidRPr="000E380B">
        <w:rPr>
          <w:rFonts w:hint="eastAsia" w:ascii="Calibri" w:hAnsi="Calibri"/>
          <w:rtl/>
        </w:rPr>
        <w:t>אשר</w:t>
      </w:r>
      <w:r w:rsidRPr="000E380B">
        <w:rPr>
          <w:rFonts w:ascii="Calibri" w:hAnsi="Calibri"/>
          <w:rtl/>
        </w:rPr>
        <w:t xml:space="preserve"> </w:t>
      </w:r>
      <w:r w:rsidRPr="000E380B">
        <w:rPr>
          <w:rFonts w:hint="eastAsia" w:ascii="Calibri" w:hAnsi="Calibri"/>
          <w:rtl/>
        </w:rPr>
        <w:t>התנתה</w:t>
      </w:r>
      <w:r w:rsidRPr="000E380B">
        <w:rPr>
          <w:rFonts w:ascii="Calibri" w:hAnsi="Calibri"/>
          <w:rtl/>
        </w:rPr>
        <w:t xml:space="preserve"> </w:t>
      </w:r>
      <w:r w:rsidRPr="000E380B">
        <w:rPr>
          <w:rFonts w:hint="eastAsia" w:ascii="Calibri" w:hAnsi="Calibri"/>
          <w:rtl/>
        </w:rPr>
        <w:t>ביטול</w:t>
      </w:r>
      <w:r w:rsidRPr="000E380B">
        <w:rPr>
          <w:rFonts w:ascii="Calibri" w:hAnsi="Calibri"/>
          <w:rtl/>
        </w:rPr>
        <w:t xml:space="preserve"> </w:t>
      </w:r>
      <w:r w:rsidRPr="000E380B">
        <w:rPr>
          <w:rFonts w:hint="eastAsia" w:ascii="Calibri" w:hAnsi="Calibri"/>
          <w:rtl/>
        </w:rPr>
        <w:t>ההגבלה</w:t>
      </w:r>
      <w:r w:rsidRPr="000E380B">
        <w:rPr>
          <w:rFonts w:ascii="Calibri" w:hAnsi="Calibri"/>
          <w:rtl/>
        </w:rPr>
        <w:t xml:space="preserve"> </w:t>
      </w:r>
      <w:r w:rsidRPr="000E380B">
        <w:rPr>
          <w:rFonts w:hint="eastAsia" w:ascii="Calibri" w:hAnsi="Calibri"/>
          <w:rtl/>
        </w:rPr>
        <w:t>על</w:t>
      </w:r>
      <w:r w:rsidRPr="000E380B">
        <w:rPr>
          <w:rFonts w:ascii="Calibri" w:hAnsi="Calibri"/>
          <w:rtl/>
        </w:rPr>
        <w:t xml:space="preserve"> </w:t>
      </w:r>
      <w:r w:rsidRPr="000E380B">
        <w:rPr>
          <w:rFonts w:hint="eastAsia" w:ascii="Calibri" w:hAnsi="Calibri"/>
          <w:rtl/>
        </w:rPr>
        <w:t>רישיון</w:t>
      </w:r>
      <w:r w:rsidRPr="000E380B">
        <w:rPr>
          <w:rFonts w:ascii="Calibri" w:hAnsi="Calibri"/>
          <w:rtl/>
        </w:rPr>
        <w:t xml:space="preserve"> </w:t>
      </w:r>
      <w:r w:rsidRPr="000E380B">
        <w:rPr>
          <w:rFonts w:hint="eastAsia" w:ascii="Calibri" w:hAnsi="Calibri"/>
          <w:rtl/>
        </w:rPr>
        <w:t>הנהיגה</w:t>
      </w:r>
      <w:r w:rsidRPr="000E380B">
        <w:rPr>
          <w:rFonts w:ascii="Calibri" w:hAnsi="Calibri"/>
          <w:rtl/>
        </w:rPr>
        <w:t xml:space="preserve"> </w:t>
      </w:r>
      <w:r w:rsidRPr="000E380B">
        <w:rPr>
          <w:rFonts w:hint="eastAsia" w:ascii="Calibri" w:hAnsi="Calibri"/>
          <w:rtl/>
        </w:rPr>
        <w:t>של</w:t>
      </w:r>
      <w:r w:rsidRPr="000E380B">
        <w:rPr>
          <w:rFonts w:ascii="Calibri" w:hAnsi="Calibri"/>
          <w:rtl/>
        </w:rPr>
        <w:t xml:space="preserve"> </w:t>
      </w:r>
      <w:r w:rsidRPr="000E380B">
        <w:rPr>
          <w:rFonts w:hint="eastAsia" w:ascii="Calibri" w:hAnsi="Calibri"/>
          <w:rtl/>
        </w:rPr>
        <w:t>המבקש</w:t>
      </w:r>
      <w:r w:rsidRPr="000E380B">
        <w:rPr>
          <w:rFonts w:ascii="Calibri" w:hAnsi="Calibri"/>
          <w:rtl/>
        </w:rPr>
        <w:t xml:space="preserve">, </w:t>
      </w:r>
      <w:r w:rsidRPr="000E380B">
        <w:rPr>
          <w:rFonts w:hint="eastAsia" w:ascii="Calibri" w:hAnsi="Calibri"/>
          <w:rtl/>
        </w:rPr>
        <w:t>החייב</w:t>
      </w:r>
      <w:r w:rsidRPr="000E380B">
        <w:rPr>
          <w:rFonts w:ascii="Calibri" w:hAnsi="Calibri"/>
          <w:rtl/>
        </w:rPr>
        <w:t xml:space="preserve"> </w:t>
      </w:r>
      <w:r w:rsidRPr="000E380B">
        <w:rPr>
          <w:rFonts w:hint="eastAsia" w:ascii="Calibri" w:hAnsi="Calibri"/>
          <w:rtl/>
        </w:rPr>
        <w:t>בתיק</w:t>
      </w:r>
      <w:r w:rsidRPr="000E380B">
        <w:rPr>
          <w:rFonts w:ascii="Calibri" w:hAnsi="Calibri"/>
          <w:rtl/>
        </w:rPr>
        <w:t xml:space="preserve"> </w:t>
      </w:r>
      <w:r w:rsidRPr="000E380B">
        <w:rPr>
          <w:rFonts w:hint="eastAsia" w:ascii="Calibri" w:hAnsi="Calibri"/>
          <w:rtl/>
        </w:rPr>
        <w:t>האיחוד</w:t>
      </w:r>
      <w:r w:rsidRPr="000E380B">
        <w:rPr>
          <w:rFonts w:ascii="Calibri" w:hAnsi="Calibri"/>
          <w:rtl/>
        </w:rPr>
        <w:t xml:space="preserve">, </w:t>
      </w:r>
      <w:r w:rsidRPr="000E380B">
        <w:rPr>
          <w:rFonts w:hint="eastAsia" w:ascii="Calibri" w:hAnsi="Calibri"/>
          <w:rtl/>
        </w:rPr>
        <w:t>בתשלום</w:t>
      </w:r>
      <w:r w:rsidR="00043CF8">
        <w:rPr>
          <w:rFonts w:ascii="Calibri" w:hAnsi="Calibri"/>
          <w:rtl/>
        </w:rPr>
        <w:t xml:space="preserve"> </w:t>
      </w:r>
      <w:r w:rsidRPr="000E380B">
        <w:rPr>
          <w:rFonts w:ascii="Calibri" w:hAnsi="Calibri"/>
          <w:rtl/>
        </w:rPr>
        <w:t xml:space="preserve">4,000 </w:t>
      </w:r>
      <w:r w:rsidRPr="000E380B">
        <w:rPr>
          <w:rFonts w:hint="eastAsia" w:ascii="Calibri" w:hAnsi="Calibri"/>
          <w:rtl/>
        </w:rPr>
        <w:t>₪</w:t>
      </w:r>
      <w:r w:rsidRPr="000E380B">
        <w:rPr>
          <w:rFonts w:ascii="Calibri" w:hAnsi="Calibri"/>
          <w:rtl/>
        </w:rPr>
        <w:t xml:space="preserve">. </w:t>
      </w:r>
      <w:r w:rsidRPr="000E380B">
        <w:rPr>
          <w:rFonts w:hint="eastAsia" w:ascii="Calibri" w:hAnsi="Calibri"/>
          <w:rtl/>
        </w:rPr>
        <w:t>ולחילופין</w:t>
      </w:r>
      <w:r w:rsidRPr="000E380B">
        <w:rPr>
          <w:rFonts w:ascii="Calibri" w:hAnsi="Calibri"/>
          <w:rtl/>
        </w:rPr>
        <w:t xml:space="preserve">, </w:t>
      </w:r>
      <w:r w:rsidR="005D6D0E">
        <w:rPr>
          <w:rFonts w:hint="cs" w:ascii="Calibri" w:hAnsi="Calibri"/>
          <w:rtl/>
        </w:rPr>
        <w:t>הביטול מותנה ב</w:t>
      </w:r>
      <w:r w:rsidRPr="000E380B">
        <w:rPr>
          <w:rFonts w:hint="eastAsia" w:ascii="Calibri" w:hAnsi="Calibri"/>
          <w:rtl/>
        </w:rPr>
        <w:t>ביצוע</w:t>
      </w:r>
      <w:r w:rsidRPr="000E380B">
        <w:rPr>
          <w:rFonts w:ascii="Calibri" w:hAnsi="Calibri"/>
          <w:rtl/>
        </w:rPr>
        <w:t xml:space="preserve"> 3 </w:t>
      </w:r>
      <w:r w:rsidRPr="000E380B">
        <w:rPr>
          <w:rFonts w:hint="eastAsia" w:ascii="Calibri" w:hAnsi="Calibri"/>
          <w:rtl/>
        </w:rPr>
        <w:t>תשלומים</w:t>
      </w:r>
      <w:r w:rsidRPr="000E380B">
        <w:rPr>
          <w:rFonts w:ascii="Calibri" w:hAnsi="Calibri"/>
          <w:rtl/>
        </w:rPr>
        <w:t xml:space="preserve"> </w:t>
      </w:r>
      <w:r w:rsidRPr="000E380B">
        <w:rPr>
          <w:rFonts w:hint="eastAsia" w:ascii="Calibri" w:hAnsi="Calibri"/>
          <w:rtl/>
        </w:rPr>
        <w:t>שוטפים</w:t>
      </w:r>
      <w:r w:rsidRPr="000E380B">
        <w:rPr>
          <w:rFonts w:ascii="Calibri" w:hAnsi="Calibri"/>
          <w:rtl/>
        </w:rPr>
        <w:t xml:space="preserve"> </w:t>
      </w:r>
      <w:r w:rsidRPr="000E380B">
        <w:rPr>
          <w:rFonts w:hint="eastAsia" w:ascii="Calibri" w:hAnsi="Calibri"/>
          <w:rtl/>
        </w:rPr>
        <w:t>רצופים</w:t>
      </w:r>
      <w:r w:rsidRPr="000E380B">
        <w:rPr>
          <w:rFonts w:ascii="Calibri" w:hAnsi="Calibri"/>
          <w:rtl/>
        </w:rPr>
        <w:t xml:space="preserve"> </w:t>
      </w:r>
      <w:r w:rsidRPr="000E380B">
        <w:rPr>
          <w:rFonts w:hint="eastAsia" w:ascii="Calibri" w:hAnsi="Calibri"/>
          <w:rtl/>
        </w:rPr>
        <w:t>נוספים</w:t>
      </w:r>
      <w:r w:rsidRPr="000E380B">
        <w:rPr>
          <w:rFonts w:ascii="Calibri" w:hAnsi="Calibri"/>
          <w:rtl/>
        </w:rPr>
        <w:t xml:space="preserve"> </w:t>
      </w:r>
      <w:r w:rsidRPr="000E380B">
        <w:rPr>
          <w:rFonts w:hint="eastAsia" w:ascii="Calibri" w:hAnsi="Calibri"/>
          <w:rtl/>
        </w:rPr>
        <w:t>בהתאם</w:t>
      </w:r>
      <w:r w:rsidRPr="000E380B">
        <w:rPr>
          <w:rFonts w:ascii="Calibri" w:hAnsi="Calibri"/>
          <w:rtl/>
        </w:rPr>
        <w:t xml:space="preserve"> </w:t>
      </w:r>
      <w:r w:rsidRPr="000E380B">
        <w:rPr>
          <w:rFonts w:hint="eastAsia" w:ascii="Calibri" w:hAnsi="Calibri"/>
          <w:rtl/>
        </w:rPr>
        <w:t>למועד</w:t>
      </w:r>
      <w:r w:rsidRPr="000E380B">
        <w:rPr>
          <w:rFonts w:ascii="Calibri" w:hAnsi="Calibri"/>
          <w:rtl/>
        </w:rPr>
        <w:t xml:space="preserve"> </w:t>
      </w:r>
      <w:r w:rsidRPr="000E380B">
        <w:rPr>
          <w:rFonts w:hint="eastAsia" w:ascii="Calibri" w:hAnsi="Calibri"/>
          <w:rtl/>
        </w:rPr>
        <w:t>צו</w:t>
      </w:r>
      <w:r w:rsidRPr="000E380B">
        <w:rPr>
          <w:rFonts w:ascii="Calibri" w:hAnsi="Calibri"/>
          <w:rtl/>
        </w:rPr>
        <w:t xml:space="preserve"> </w:t>
      </w:r>
      <w:r w:rsidRPr="000E380B">
        <w:rPr>
          <w:rFonts w:hint="eastAsia" w:ascii="Calibri" w:hAnsi="Calibri"/>
          <w:rtl/>
        </w:rPr>
        <w:t>החיוב</w:t>
      </w:r>
      <w:r w:rsidRPr="000E380B">
        <w:rPr>
          <w:rFonts w:ascii="Calibri" w:hAnsi="Calibri"/>
          <w:rtl/>
        </w:rPr>
        <w:t>.</w:t>
      </w:r>
    </w:p>
    <w:p w:rsidRPr="000E380B" w:rsidR="000E380B" w:rsidP="000E380B" w:rsidRDefault="000E380B">
      <w:pPr>
        <w:spacing w:line="360" w:lineRule="auto"/>
        <w:jc w:val="both"/>
        <w:rPr>
          <w:rFonts w:ascii="Calibri" w:hAnsi="Calibri"/>
          <w:rtl/>
        </w:rPr>
      </w:pPr>
    </w:p>
    <w:p w:rsidR="000E380B" w:rsidP="000E380B" w:rsidRDefault="000E380B">
      <w:pPr>
        <w:spacing w:line="360" w:lineRule="auto"/>
        <w:jc w:val="both"/>
        <w:rPr>
          <w:rFonts w:ascii="Arial" w:hAnsi="Arial"/>
          <w:b/>
          <w:bCs/>
          <w:noProof w:val="0"/>
          <w:u w:val="single"/>
          <w:rtl/>
        </w:rPr>
      </w:pPr>
      <w:r w:rsidRPr="000E380B">
        <w:rPr>
          <w:rFonts w:ascii="Tahoma" w:hAnsi="Tahoma"/>
          <w:rtl/>
        </w:rPr>
        <w:t>2.</w:t>
      </w:r>
      <w:r w:rsidRPr="000E380B">
        <w:rPr>
          <w:rFonts w:ascii="Tahoma" w:hAnsi="Tahoma"/>
          <w:rtl/>
        </w:rPr>
        <w:tab/>
        <w:t xml:space="preserve">מכוח סמכותי על-פי </w:t>
      </w:r>
      <w:hyperlink w:history="1" r:id="rId9">
        <w:r w:rsidRPr="000E380B">
          <w:rPr>
            <w:rFonts w:ascii="Tahoma" w:hAnsi="Tahoma"/>
            <w:rtl/>
          </w:rPr>
          <w:t>תקנה 119(ז)</w:t>
        </w:r>
      </w:hyperlink>
      <w:r w:rsidRPr="000E380B">
        <w:rPr>
          <w:rFonts w:ascii="Tahoma" w:hAnsi="Tahoma"/>
          <w:rtl/>
        </w:rPr>
        <w:t xml:space="preserve"> ל</w:t>
      </w:r>
      <w:hyperlink w:history="1" r:id="rId10">
        <w:r w:rsidRPr="000E380B">
          <w:rPr>
            <w:rFonts w:ascii="Tahoma" w:hAnsi="Tahoma"/>
            <w:rtl/>
          </w:rPr>
          <w:t>תקנות ההוצאה לפועל</w:t>
        </w:r>
      </w:hyperlink>
      <w:r w:rsidRPr="000E380B">
        <w:rPr>
          <w:rFonts w:ascii="Tahoma" w:hAnsi="Tahoma"/>
          <w:rtl/>
        </w:rPr>
        <w:t xml:space="preserve">, תש"ם-1979, ולאחר שעיינתי </w:t>
      </w:r>
      <w:r w:rsidRPr="000E380B">
        <w:rPr>
          <w:rFonts w:ascii="Tahoma" w:hAnsi="Tahoma"/>
          <w:rtl/>
        </w:rPr>
        <w:tab/>
        <w:t xml:space="preserve">בבקשה על נימוקיה וצרופיה, ולאחר שעיינתי בהחלטת כב' רשמת ההוצאה לפועל, נשוא </w:t>
      </w:r>
      <w:r w:rsidRPr="000E380B">
        <w:rPr>
          <w:rFonts w:ascii="Tahoma" w:hAnsi="Tahoma"/>
          <w:rtl/>
        </w:rPr>
        <w:tab/>
        <w:t xml:space="preserve">הבקשה, סבורני כי הבקשה אינה מצריכה תשובה, </w:t>
      </w:r>
      <w:r w:rsidRPr="000E380B">
        <w:rPr>
          <w:rFonts w:ascii="Tahoma" w:hAnsi="Tahoma"/>
          <w:b/>
          <w:bCs/>
          <w:rtl/>
        </w:rPr>
        <w:t>ודינה דחייה מיד</w:t>
      </w:r>
      <w:r w:rsidRPr="000E380B">
        <w:rPr>
          <w:rFonts w:ascii="Tahoma" w:hAnsi="Tahoma"/>
          <w:rtl/>
        </w:rPr>
        <w:t>.</w:t>
      </w:r>
    </w:p>
    <w:p w:rsidRPr="000E380B" w:rsidR="00BE085E" w:rsidP="000E380B" w:rsidRDefault="00BE085E">
      <w:pPr>
        <w:spacing w:line="360" w:lineRule="auto"/>
        <w:jc w:val="both"/>
        <w:rPr>
          <w:rFonts w:ascii="Arial" w:hAnsi="Arial"/>
          <w:b/>
          <w:bCs/>
          <w:noProof w:val="0"/>
          <w:u w:val="single"/>
          <w:rtl/>
        </w:rPr>
      </w:pPr>
    </w:p>
    <w:p w:rsidRPr="00BE085E" w:rsidR="000E380B" w:rsidP="000E380B" w:rsidRDefault="00482287">
      <w:pPr>
        <w:spacing w:line="360" w:lineRule="auto"/>
        <w:jc w:val="both"/>
        <w:rPr>
          <w:rFonts w:ascii="Arial" w:hAnsi="Arial"/>
          <w:noProof w:val="0"/>
          <w:rtl/>
        </w:rPr>
      </w:pPr>
      <w:r w:rsidRPr="00BE085E">
        <w:rPr>
          <w:rFonts w:hint="cs" w:ascii="Arial" w:hAnsi="Arial"/>
          <w:noProof w:val="0"/>
          <w:rtl/>
        </w:rPr>
        <w:t>3.</w:t>
      </w:r>
      <w:r w:rsidRPr="00BE085E">
        <w:rPr>
          <w:rFonts w:hint="cs" w:ascii="Arial" w:hAnsi="Arial"/>
          <w:noProof w:val="0"/>
          <w:rtl/>
        </w:rPr>
        <w:tab/>
        <w:t xml:space="preserve">כנגד המבקש פתוחים 9 תיקי הוצל"פ בהיקף של </w:t>
      </w:r>
      <w:r w:rsidRPr="00BE085E" w:rsidR="00BE085E">
        <w:rPr>
          <w:rFonts w:hint="cs" w:ascii="Arial" w:hAnsi="Arial"/>
          <w:noProof w:val="0"/>
          <w:rtl/>
        </w:rPr>
        <w:t>285,190 ₪.</w:t>
      </w:r>
    </w:p>
    <w:p w:rsidRPr="000E380B" w:rsidR="00BE085E" w:rsidP="000E380B" w:rsidRDefault="00BE085E">
      <w:pPr>
        <w:spacing w:line="360" w:lineRule="auto"/>
        <w:jc w:val="both"/>
        <w:rPr>
          <w:rFonts w:ascii="Arial" w:hAnsi="Arial"/>
          <w:b/>
          <w:bCs/>
          <w:noProof w:val="0"/>
          <w:u w:val="single"/>
          <w:rtl/>
        </w:rPr>
      </w:pPr>
    </w:p>
    <w:p w:rsidRPr="000E380B" w:rsidR="000E380B" w:rsidP="000E380B" w:rsidRDefault="000E380B">
      <w:pPr>
        <w:rPr>
          <w:rFonts w:ascii="Arial" w:hAnsi="Arial"/>
          <w:b/>
          <w:bCs/>
          <w:noProof w:val="0"/>
          <w:rtl/>
        </w:rPr>
      </w:pPr>
      <w:r w:rsidRPr="000E380B">
        <w:rPr>
          <w:rFonts w:ascii="Arial" w:hAnsi="Arial"/>
          <w:b/>
          <w:bCs/>
          <w:noProof w:val="0"/>
          <w:rtl/>
        </w:rPr>
        <w:t>הגבלה על רישיון הנהיגה</w:t>
      </w:r>
    </w:p>
    <w:p w:rsidRPr="000E380B" w:rsidR="000E380B" w:rsidP="000E380B" w:rsidRDefault="000E380B">
      <w:pPr>
        <w:rPr>
          <w:rFonts w:ascii="Arial" w:hAnsi="Arial"/>
          <w:b/>
          <w:bCs/>
          <w:noProof w:val="0"/>
          <w:rtl/>
        </w:rPr>
      </w:pPr>
    </w:p>
    <w:p w:rsidRPr="000E380B" w:rsidR="000E380B" w:rsidP="000E380B" w:rsidRDefault="000E380B">
      <w:pPr>
        <w:rPr>
          <w:rFonts w:ascii="Calibri" w:hAnsi="Calibri" w:cs="Arial"/>
          <w:noProof w:val="0"/>
          <w:sz w:val="22"/>
          <w:szCs w:val="22"/>
          <w:rtl/>
        </w:rPr>
      </w:pPr>
    </w:p>
    <w:p w:rsidRPr="000E380B" w:rsidR="000E380B" w:rsidP="000E380B" w:rsidRDefault="005D6D0E">
      <w:pPr>
        <w:tabs>
          <w:tab w:val="left" w:pos="26"/>
          <w:tab w:val="left" w:pos="567"/>
        </w:tabs>
        <w:spacing w:line="360" w:lineRule="auto"/>
        <w:ind w:left="567" w:hanging="539"/>
        <w:jc w:val="both"/>
        <w:rPr>
          <w:noProof w:val="0"/>
          <w:rtl/>
          <w:lang w:eastAsia="he-IL"/>
        </w:rPr>
      </w:pPr>
      <w:r>
        <w:rPr>
          <w:rFonts w:hint="cs"/>
          <w:noProof w:val="0"/>
          <w:rtl/>
          <w:lang w:eastAsia="he-IL"/>
        </w:rPr>
        <w:t>4</w:t>
      </w:r>
      <w:r w:rsidRPr="000E380B" w:rsidR="000E380B">
        <w:rPr>
          <w:noProof w:val="0"/>
          <w:rtl/>
          <w:lang w:eastAsia="he-IL"/>
        </w:rPr>
        <w:t>.</w:t>
      </w:r>
      <w:r w:rsidRPr="000E380B" w:rsidR="000E380B">
        <w:rPr>
          <w:noProof w:val="0"/>
          <w:rtl/>
          <w:lang w:eastAsia="he-IL"/>
        </w:rPr>
        <w:tab/>
      </w:r>
      <w:r w:rsidRPr="000E380B" w:rsidR="000E380B">
        <w:rPr>
          <w:noProof w:val="0"/>
          <w:rtl/>
          <w:lang w:eastAsia="he-IL"/>
        </w:rPr>
        <w:tab/>
        <w:t xml:space="preserve">כידוע, בבסיסו של </w:t>
      </w:r>
      <w:hyperlink w:history="1" r:id="rId11">
        <w:r w:rsidRPr="000E380B" w:rsidR="000E380B">
          <w:rPr>
            <w:noProof w:val="0"/>
            <w:rtl/>
            <w:lang w:eastAsia="he-IL"/>
          </w:rPr>
          <w:t>חוק ההוצאה לפועל</w:t>
        </w:r>
      </w:hyperlink>
      <w:r w:rsidRPr="000E380B" w:rsidR="000E380B">
        <w:rPr>
          <w:noProof w:val="0"/>
          <w:rtl/>
          <w:lang w:eastAsia="he-IL"/>
        </w:rPr>
        <w:t xml:space="preserve"> עומדות שתי תכליות: </w:t>
      </w:r>
      <w:r w:rsidRPr="000E380B" w:rsidR="000E380B">
        <w:rPr>
          <w:b/>
          <w:bCs/>
          <w:noProof w:val="0"/>
          <w:rtl/>
          <w:lang w:eastAsia="he-IL"/>
        </w:rPr>
        <w:t>התכלית האחת</w:t>
      </w:r>
      <w:r w:rsidRPr="000E380B" w:rsidR="000E380B">
        <w:rPr>
          <w:noProof w:val="0"/>
          <w:rtl/>
          <w:lang w:eastAsia="he-IL"/>
        </w:rPr>
        <w:t>, הינה יצירת</w:t>
      </w:r>
    </w:p>
    <w:p w:rsidRPr="000E380B" w:rsidR="000E380B" w:rsidP="000E380B" w:rsidRDefault="000E380B">
      <w:pPr>
        <w:tabs>
          <w:tab w:val="left" w:pos="26"/>
          <w:tab w:val="left" w:pos="567"/>
        </w:tabs>
        <w:spacing w:line="360" w:lineRule="auto"/>
        <w:ind w:left="567" w:hanging="539"/>
        <w:jc w:val="both"/>
        <w:rPr>
          <w:rFonts w:ascii="Arial" w:hAnsi="Arial"/>
          <w:noProof w:val="0"/>
        </w:rPr>
      </w:pPr>
      <w:r w:rsidRPr="000E380B">
        <w:rPr>
          <w:noProof w:val="0"/>
          <w:rtl/>
          <w:lang w:eastAsia="he-IL"/>
        </w:rPr>
        <w:t xml:space="preserve"> </w:t>
      </w:r>
      <w:r w:rsidRPr="000E380B">
        <w:rPr>
          <w:noProof w:val="0"/>
          <w:rtl/>
          <w:lang w:eastAsia="he-IL"/>
        </w:rPr>
        <w:tab/>
      </w:r>
      <w:r w:rsidRPr="000E380B">
        <w:rPr>
          <w:noProof w:val="0"/>
          <w:rtl/>
          <w:lang w:eastAsia="he-IL"/>
        </w:rPr>
        <w:tab/>
        <w:t xml:space="preserve">מנגנון אשר באמצעותו יוכלו זוכים לגבות את חובותיהם ולממש פסקי דין אשר ניתנו </w:t>
      </w:r>
      <w:r w:rsidRPr="000E380B">
        <w:rPr>
          <w:noProof w:val="0"/>
          <w:rtl/>
          <w:lang w:eastAsia="he-IL"/>
        </w:rPr>
        <w:tab/>
        <w:t xml:space="preserve">לטובתם ביעילות וזריזות. מנגנון זה ראוי לו שיהיה יעיל, מעשי ובר-יכולת אכיפתית, </w:t>
      </w:r>
      <w:r w:rsidRPr="000E380B">
        <w:rPr>
          <w:noProof w:val="0"/>
          <w:rtl/>
          <w:lang w:eastAsia="he-IL"/>
        </w:rPr>
        <w:tab/>
        <w:t xml:space="preserve">כשלנגד עיניו של רשם ההוצאה לפועל, עומד בראש ובראשונה, הזוכה, בכדי שיבוא עד </w:t>
      </w:r>
      <w:r w:rsidRPr="000E380B">
        <w:rPr>
          <w:noProof w:val="0"/>
          <w:rtl/>
          <w:lang w:eastAsia="he-IL"/>
        </w:rPr>
        <w:tab/>
        <w:t xml:space="preserve">מהרה למימוש זכויותיו הקנייניות הפסוקות כנגד החייב. (ראה: </w:t>
      </w:r>
      <w:hyperlink w:history="1" r:id="rId12">
        <w:r w:rsidRPr="000E380B">
          <w:rPr>
            <w:noProof w:val="0"/>
            <w:rtl/>
            <w:lang w:eastAsia="he-IL"/>
          </w:rPr>
          <w:t xml:space="preserve">ע"א 711/84 בנק דיסקונט </w:t>
        </w:r>
        <w:r w:rsidRPr="000E380B">
          <w:rPr>
            <w:noProof w:val="0"/>
            <w:rtl/>
            <w:lang w:eastAsia="he-IL"/>
          </w:rPr>
          <w:tab/>
          <w:t>לישראל בע"מ נ" פישמן, פ"ד מא</w:t>
        </w:r>
      </w:hyperlink>
      <w:r w:rsidRPr="000E380B">
        <w:rPr>
          <w:noProof w:val="0"/>
          <w:rtl/>
          <w:lang w:eastAsia="he-IL"/>
        </w:rPr>
        <w:t xml:space="preserve">(1) 369, 374). </w:t>
      </w:r>
    </w:p>
    <w:p w:rsidRPr="000E380B" w:rsidR="000E380B" w:rsidP="000E380B" w:rsidRDefault="000E380B">
      <w:pPr>
        <w:tabs>
          <w:tab w:val="left" w:pos="26"/>
          <w:tab w:val="left" w:pos="567"/>
        </w:tabs>
        <w:spacing w:line="360" w:lineRule="auto"/>
        <w:ind w:left="567"/>
        <w:jc w:val="both"/>
        <w:rPr>
          <w:rFonts w:ascii="Arial" w:hAnsi="Arial"/>
          <w:noProof w:val="0"/>
        </w:rPr>
      </w:pPr>
      <w:r w:rsidRPr="000E380B">
        <w:rPr>
          <w:b/>
          <w:bCs/>
          <w:noProof w:val="0"/>
          <w:rtl/>
          <w:lang w:eastAsia="he-IL"/>
        </w:rPr>
        <w:tab/>
        <w:t>התכלית השנייה</w:t>
      </w:r>
      <w:r w:rsidRPr="000E380B">
        <w:rPr>
          <w:noProof w:val="0"/>
          <w:rtl/>
          <w:lang w:eastAsia="he-IL"/>
        </w:rPr>
        <w:t xml:space="preserve">, הנה הגנה על זכויות היסוד של חייבים,  אשר מצבם הכלכלי איננו </w:t>
      </w:r>
      <w:r w:rsidRPr="000E380B">
        <w:rPr>
          <w:noProof w:val="0"/>
          <w:rtl/>
          <w:lang w:eastAsia="he-IL"/>
        </w:rPr>
        <w:tab/>
        <w:t xml:space="preserve">מאפשר להם לפרוע את חובותיהם הפסוקים, ברוח זכויות היסוד אשר עוגנו וקיבלו מעמד </w:t>
      </w:r>
      <w:r w:rsidRPr="000E380B">
        <w:rPr>
          <w:noProof w:val="0"/>
          <w:rtl/>
          <w:lang w:eastAsia="he-IL"/>
        </w:rPr>
        <w:lastRenderedPageBreak/>
        <w:tab/>
        <w:t xml:space="preserve">חוקתי על-חוקי בחוק-יסוד כבוד האדם וחירותו. (ראה: </w:t>
      </w:r>
      <w:hyperlink w:history="1" r:id="rId13">
        <w:r w:rsidRPr="000E380B">
          <w:rPr>
            <w:noProof w:val="0"/>
            <w:rtl/>
            <w:lang w:eastAsia="he-IL"/>
          </w:rPr>
          <w:t>ע"א 2097/02</w:t>
        </w:r>
      </w:hyperlink>
      <w:r w:rsidRPr="000E380B">
        <w:rPr>
          <w:noProof w:val="0"/>
          <w:rtl/>
          <w:lang w:eastAsia="he-IL"/>
        </w:rPr>
        <w:t xml:space="preserve"> </w:t>
      </w:r>
      <w:r w:rsidRPr="000E380B">
        <w:rPr>
          <w:b/>
          <w:bCs/>
          <w:noProof w:val="0"/>
          <w:rtl/>
          <w:lang w:eastAsia="he-IL"/>
        </w:rPr>
        <w:t xml:space="preserve">איטונג בע"מ נ" </w:t>
      </w:r>
      <w:r w:rsidRPr="000E380B">
        <w:rPr>
          <w:b/>
          <w:bCs/>
          <w:noProof w:val="0"/>
          <w:rtl/>
          <w:lang w:eastAsia="he-IL"/>
        </w:rPr>
        <w:tab/>
        <w:t>חדיד פואד</w:t>
      </w:r>
      <w:r w:rsidRPr="000E380B">
        <w:rPr>
          <w:noProof w:val="0"/>
          <w:rtl/>
          <w:lang w:eastAsia="he-IL"/>
        </w:rPr>
        <w:t xml:space="preserve">, נז(4), 211, 216, </w:t>
      </w:r>
      <w:r w:rsidRPr="000E380B">
        <w:rPr>
          <w:rFonts w:ascii="Arial" w:hAnsi="Arial"/>
          <w:noProof w:val="0"/>
          <w:rtl/>
        </w:rPr>
        <w:t xml:space="preserve">ראו גם ספרו ששל דוד בר אופיר, </w:t>
      </w:r>
      <w:r w:rsidRPr="000E380B">
        <w:rPr>
          <w:rFonts w:ascii="Arial" w:hAnsi="Arial"/>
          <w:b/>
          <w:bCs/>
          <w:noProof w:val="0"/>
          <w:rtl/>
        </w:rPr>
        <w:t xml:space="preserve">הוצאה לפועל הליכים </w:t>
      </w:r>
      <w:r w:rsidRPr="000E380B">
        <w:rPr>
          <w:rFonts w:ascii="Arial" w:hAnsi="Arial"/>
          <w:b/>
          <w:bCs/>
          <w:noProof w:val="0"/>
          <w:rtl/>
        </w:rPr>
        <w:tab/>
        <w:t>והלכות</w:t>
      </w:r>
      <w:r w:rsidRPr="000E380B">
        <w:rPr>
          <w:rFonts w:ascii="Arial" w:hAnsi="Arial"/>
          <w:noProof w:val="0"/>
          <w:rtl/>
        </w:rPr>
        <w:t>, חלק שלישי, מהדורה שמינית, עמ' 1057 – 1058).</w:t>
      </w:r>
    </w:p>
    <w:p w:rsidRPr="000E380B" w:rsidR="000E380B" w:rsidP="000E380B" w:rsidRDefault="000E380B">
      <w:pPr>
        <w:tabs>
          <w:tab w:val="left" w:pos="26"/>
          <w:tab w:val="left" w:pos="567"/>
        </w:tabs>
        <w:spacing w:line="360" w:lineRule="auto"/>
        <w:jc w:val="both"/>
        <w:rPr>
          <w:rFonts w:ascii="Arial" w:hAnsi="Arial"/>
          <w:noProof w:val="0"/>
          <w:rtl/>
        </w:rPr>
      </w:pPr>
    </w:p>
    <w:p w:rsidRPr="000E380B" w:rsidR="000E380B" w:rsidP="000E380B" w:rsidRDefault="005D6D0E">
      <w:pPr>
        <w:tabs>
          <w:tab w:val="left" w:pos="26"/>
          <w:tab w:val="left" w:pos="567"/>
        </w:tabs>
        <w:spacing w:line="360" w:lineRule="auto"/>
        <w:ind w:left="567" w:hanging="539"/>
        <w:jc w:val="both"/>
        <w:rPr>
          <w:rFonts w:ascii="Arial" w:hAnsi="Arial"/>
          <w:noProof w:val="0"/>
        </w:rPr>
      </w:pPr>
      <w:r>
        <w:rPr>
          <w:rFonts w:hint="cs"/>
          <w:noProof w:val="0"/>
          <w:rtl/>
          <w:lang w:eastAsia="he-IL"/>
        </w:rPr>
        <w:t>5</w:t>
      </w:r>
      <w:r w:rsidRPr="000E380B" w:rsidR="000E380B">
        <w:rPr>
          <w:noProof w:val="0"/>
          <w:rtl/>
          <w:lang w:eastAsia="he-IL"/>
        </w:rPr>
        <w:t>.</w:t>
      </w:r>
      <w:r w:rsidRPr="000E380B" w:rsidR="000E380B">
        <w:rPr>
          <w:noProof w:val="0"/>
          <w:rtl/>
          <w:lang w:eastAsia="he-IL"/>
        </w:rPr>
        <w:tab/>
      </w:r>
      <w:r w:rsidRPr="000E380B" w:rsidR="000E380B">
        <w:rPr>
          <w:noProof w:val="0"/>
          <w:rtl/>
          <w:lang w:eastAsia="he-IL"/>
        </w:rPr>
        <w:tab/>
        <w:t xml:space="preserve">בין שתי תכליות אלו קיים מתח תמידי והן מתנגשות זו עם זו לא אחת, ולפיכך, יש צורך </w:t>
      </w:r>
      <w:r w:rsidRPr="000E380B" w:rsidR="000E380B">
        <w:rPr>
          <w:noProof w:val="0"/>
          <w:rtl/>
          <w:lang w:eastAsia="he-IL"/>
        </w:rPr>
        <w:tab/>
        <w:t xml:space="preserve">לאזן ביניהן. במסגרת עריכת איזון זה, יינתן משקל נכבד לאינטרס של הזוכה בביצוע פסק </w:t>
      </w:r>
      <w:r w:rsidRPr="000E380B" w:rsidR="000E380B">
        <w:rPr>
          <w:noProof w:val="0"/>
          <w:rtl/>
          <w:lang w:eastAsia="he-IL"/>
        </w:rPr>
        <w:tab/>
        <w:t xml:space="preserve">הדין אשר ניתן לטובתו. (ראה והשווה: </w:t>
      </w:r>
      <w:hyperlink w:history="1" r:id="rId14">
        <w:r w:rsidRPr="000E380B" w:rsidR="000E380B">
          <w:rPr>
            <w:noProof w:val="0"/>
            <w:rtl/>
            <w:lang w:eastAsia="he-IL"/>
          </w:rPr>
          <w:t xml:space="preserve">רע"א 4905/98 </w:t>
        </w:r>
        <w:r w:rsidRPr="000E380B" w:rsidR="000E380B">
          <w:rPr>
            <w:b/>
            <w:bCs/>
            <w:noProof w:val="0"/>
            <w:rtl/>
            <w:lang w:eastAsia="he-IL"/>
          </w:rPr>
          <w:t>גמזו נ" ישעיהו</w:t>
        </w:r>
        <w:r w:rsidRPr="000E380B" w:rsidR="000E380B">
          <w:rPr>
            <w:noProof w:val="0"/>
            <w:rtl/>
            <w:lang w:eastAsia="he-IL"/>
          </w:rPr>
          <w:t>, פ"ד נה</w:t>
        </w:r>
      </w:hyperlink>
      <w:r w:rsidRPr="000E380B" w:rsidR="000E380B">
        <w:rPr>
          <w:noProof w:val="0"/>
          <w:rtl/>
          <w:lang w:eastAsia="he-IL"/>
        </w:rPr>
        <w:t xml:space="preserve">(3) 360, 376, </w:t>
      </w:r>
      <w:r w:rsidRPr="000E380B" w:rsidR="000E380B">
        <w:rPr>
          <w:noProof w:val="0"/>
          <w:rtl/>
          <w:lang w:eastAsia="he-IL"/>
        </w:rPr>
        <w:tab/>
        <w:t xml:space="preserve">מיום 19.3.01). </w:t>
      </w:r>
    </w:p>
    <w:p w:rsidRPr="000E380B" w:rsidR="000E380B" w:rsidP="000E380B" w:rsidRDefault="000E380B">
      <w:pPr>
        <w:tabs>
          <w:tab w:val="left" w:pos="26"/>
          <w:tab w:val="left" w:pos="567"/>
        </w:tabs>
        <w:spacing w:line="360" w:lineRule="auto"/>
        <w:ind w:left="567"/>
        <w:jc w:val="both"/>
        <w:rPr>
          <w:rFonts w:ascii="Arial" w:hAnsi="Arial"/>
          <w:noProof w:val="0"/>
        </w:rPr>
      </w:pPr>
    </w:p>
    <w:p w:rsidR="000E380B" w:rsidP="000E380B" w:rsidRDefault="005D6D0E">
      <w:pPr>
        <w:tabs>
          <w:tab w:val="left" w:pos="26"/>
          <w:tab w:val="left" w:pos="567"/>
        </w:tabs>
        <w:spacing w:line="360" w:lineRule="auto"/>
        <w:ind w:left="567" w:hanging="539"/>
        <w:jc w:val="both"/>
        <w:rPr>
          <w:rFonts w:ascii="Arial" w:hAnsi="Arial"/>
          <w:noProof w:val="0"/>
          <w:rtl/>
        </w:rPr>
      </w:pPr>
      <w:r>
        <w:rPr>
          <w:rFonts w:hint="cs"/>
          <w:noProof w:val="0"/>
          <w:rtl/>
          <w:lang w:eastAsia="he-IL"/>
        </w:rPr>
        <w:t>6</w:t>
      </w:r>
      <w:r w:rsidRPr="000E380B" w:rsidR="000E380B">
        <w:rPr>
          <w:noProof w:val="0"/>
          <w:rtl/>
          <w:lang w:eastAsia="he-IL"/>
        </w:rPr>
        <w:t>.</w:t>
      </w:r>
      <w:r w:rsidRPr="000E380B" w:rsidR="000E380B">
        <w:rPr>
          <w:noProof w:val="0"/>
          <w:rtl/>
          <w:lang w:eastAsia="he-IL"/>
        </w:rPr>
        <w:tab/>
      </w:r>
      <w:r w:rsidRPr="000E380B" w:rsidR="000E380B">
        <w:rPr>
          <w:noProof w:val="0"/>
          <w:rtl/>
          <w:lang w:eastAsia="he-IL"/>
        </w:rPr>
        <w:tab/>
        <w:t xml:space="preserve">זאת ועוד, בהליכי הגבייה בהוצאה לפועל נוהג עקרון המידתיות, ורשם ההוצאה לפועל, </w:t>
      </w:r>
      <w:r w:rsidRPr="000E380B" w:rsidR="000E380B">
        <w:rPr>
          <w:noProof w:val="0"/>
          <w:rtl/>
          <w:lang w:eastAsia="he-IL"/>
        </w:rPr>
        <w:tab/>
        <w:t xml:space="preserve">ככל רשות מנהלית-שיפוטית, כפוף לו בהחלטותיו. שומה על הרשם בקבלו כל החלטה, </w:t>
      </w:r>
      <w:r w:rsidRPr="000E380B" w:rsidR="000E380B">
        <w:rPr>
          <w:noProof w:val="0"/>
          <w:rtl/>
          <w:lang w:eastAsia="he-IL"/>
        </w:rPr>
        <w:tab/>
        <w:t xml:space="preserve">לבחון, בנסיבות כל עניין ועניין, האם ההליך בו מבקש הזוכה לנקוט בו הנו ההליך המתאים </w:t>
      </w:r>
      <w:r w:rsidRPr="000E380B" w:rsidR="000E380B">
        <w:rPr>
          <w:noProof w:val="0"/>
          <w:rtl/>
          <w:lang w:eastAsia="he-IL"/>
        </w:rPr>
        <w:tab/>
        <w:t xml:space="preserve">ביותר, והאם לא ניתן להשיג את אותה תוצאה, באמצעות נקיטה בהליך אחר, אשר פגיעתו </w:t>
      </w:r>
      <w:r w:rsidRPr="000E380B" w:rsidR="000E380B">
        <w:rPr>
          <w:noProof w:val="0"/>
          <w:rtl/>
          <w:lang w:eastAsia="he-IL"/>
        </w:rPr>
        <w:tab/>
        <w:t xml:space="preserve">בחייב פחותה (ראה והשווה: </w:t>
      </w:r>
      <w:hyperlink w:history="1" r:id="rId15">
        <w:r w:rsidRPr="000E380B" w:rsidR="000E380B">
          <w:rPr>
            <w:noProof w:val="0"/>
            <w:rtl/>
            <w:lang w:eastAsia="he-IL"/>
          </w:rPr>
          <w:t>סעיפים 8(ב)</w:t>
        </w:r>
      </w:hyperlink>
      <w:r w:rsidRPr="000E380B" w:rsidR="000E380B">
        <w:rPr>
          <w:noProof w:val="0"/>
          <w:rtl/>
          <w:lang w:eastAsia="he-IL"/>
        </w:rPr>
        <w:t xml:space="preserve"> ו – </w:t>
      </w:r>
      <w:hyperlink w:history="1" r:id="rId16">
        <w:r w:rsidRPr="000E380B" w:rsidR="000E380B">
          <w:rPr>
            <w:noProof w:val="0"/>
            <w:rtl/>
            <w:lang w:eastAsia="he-IL"/>
          </w:rPr>
          <w:t>70(ג)</w:t>
        </w:r>
      </w:hyperlink>
      <w:r w:rsidRPr="000E380B" w:rsidR="000E380B">
        <w:rPr>
          <w:noProof w:val="0"/>
          <w:rtl/>
          <w:lang w:eastAsia="he-IL"/>
        </w:rPr>
        <w:t xml:space="preserve"> לחוק; וכן ש' </w:t>
      </w:r>
      <w:hyperlink w:history="1" r:id="rId17">
        <w:r w:rsidRPr="000E380B" w:rsidR="000E380B">
          <w:rPr>
            <w:noProof w:val="0"/>
            <w:rtl/>
            <w:lang w:eastAsia="he-IL"/>
          </w:rPr>
          <w:t xml:space="preserve">קטוביץ, סוגיות נבחרות </w:t>
        </w:r>
        <w:r w:rsidRPr="000E380B" w:rsidR="000E380B">
          <w:rPr>
            <w:noProof w:val="0"/>
            <w:rtl/>
            <w:lang w:eastAsia="he-IL"/>
          </w:rPr>
          <w:tab/>
          <w:t>בדיני ההוצאה לפועל</w:t>
        </w:r>
      </w:hyperlink>
      <w:r w:rsidRPr="000E380B" w:rsidR="000E380B">
        <w:rPr>
          <w:noProof w:val="0"/>
          <w:rtl/>
          <w:lang w:eastAsia="he-IL"/>
        </w:rPr>
        <w:t xml:space="preserve">, תשס"ט, בעמ' 57 ו – 61 – 62 והאסמכתאות הרבות שם).   </w:t>
      </w:r>
    </w:p>
    <w:p w:rsidRPr="000E380B" w:rsidR="0029164F" w:rsidP="0029164F" w:rsidRDefault="0029164F">
      <w:pPr>
        <w:pStyle w:val="ad"/>
      </w:pPr>
    </w:p>
    <w:p w:rsidRPr="000E380B" w:rsidR="000E380B" w:rsidP="000E380B" w:rsidRDefault="000E380B">
      <w:pPr>
        <w:ind w:left="720"/>
        <w:contextualSpacing/>
        <w:rPr>
          <w:noProof w:val="0"/>
          <w:rtl/>
          <w:lang w:eastAsia="he-IL"/>
        </w:rPr>
      </w:pPr>
    </w:p>
    <w:p w:rsidRPr="000E380B" w:rsidR="000E380B" w:rsidP="000E380B" w:rsidRDefault="005D6D0E">
      <w:pPr>
        <w:tabs>
          <w:tab w:val="left" w:pos="26"/>
          <w:tab w:val="left" w:pos="567"/>
        </w:tabs>
        <w:spacing w:line="360" w:lineRule="auto"/>
        <w:ind w:left="567" w:hanging="539"/>
        <w:jc w:val="both"/>
        <w:rPr>
          <w:rFonts w:ascii="Arial" w:hAnsi="Arial"/>
          <w:noProof w:val="0"/>
        </w:rPr>
      </w:pPr>
      <w:r>
        <w:rPr>
          <w:rFonts w:hint="cs"/>
          <w:noProof w:val="0"/>
          <w:rtl/>
          <w:lang w:eastAsia="he-IL"/>
        </w:rPr>
        <w:t>7</w:t>
      </w:r>
      <w:r w:rsidRPr="000E380B" w:rsidR="000E380B">
        <w:rPr>
          <w:noProof w:val="0"/>
          <w:rtl/>
          <w:lang w:eastAsia="he-IL"/>
        </w:rPr>
        <w:t>.</w:t>
      </w:r>
      <w:r w:rsidRPr="000E380B" w:rsidR="000E380B">
        <w:rPr>
          <w:noProof w:val="0"/>
          <w:rtl/>
          <w:lang w:eastAsia="he-IL"/>
        </w:rPr>
        <w:tab/>
      </w:r>
      <w:r w:rsidRPr="000E380B" w:rsidR="000E380B">
        <w:rPr>
          <w:noProof w:val="0"/>
          <w:rtl/>
          <w:lang w:eastAsia="he-IL"/>
        </w:rPr>
        <w:tab/>
        <w:t xml:space="preserve">בהתאם לעקרונות הנ"ל, ניתנה במסגרת </w:t>
      </w:r>
      <w:hyperlink w:history="1" r:id="rId18">
        <w:r w:rsidRPr="000E380B" w:rsidR="000E380B">
          <w:rPr>
            <w:noProof w:val="0"/>
            <w:rtl/>
            <w:lang w:eastAsia="he-IL"/>
          </w:rPr>
          <w:t>חוק ההוצאה לפועל</w:t>
        </w:r>
      </w:hyperlink>
      <w:r w:rsidRPr="000E380B" w:rsidR="000E380B">
        <w:rPr>
          <w:noProof w:val="0"/>
          <w:rtl/>
          <w:lang w:eastAsia="he-IL"/>
        </w:rPr>
        <w:t xml:space="preserve"> (תיקון מס' 29), התשס"ט – </w:t>
      </w:r>
      <w:r w:rsidRPr="000E380B" w:rsidR="000E380B">
        <w:rPr>
          <w:noProof w:val="0"/>
          <w:rtl/>
          <w:lang w:eastAsia="he-IL"/>
        </w:rPr>
        <w:tab/>
        <w:t xml:space="preserve">2009 (להלן: תיקון מס' 29), לרשמי ההוצאה לפועל, האפשרות להטיל על חייבים הגבלות </w:t>
      </w:r>
      <w:r w:rsidRPr="000E380B" w:rsidR="000E380B">
        <w:rPr>
          <w:noProof w:val="0"/>
          <w:rtl/>
          <w:lang w:eastAsia="he-IL"/>
        </w:rPr>
        <w:tab/>
        <w:t xml:space="preserve">אישיות שונות כאמצעי לאכיפת חיוביהם, ובכלל זה, </w:t>
      </w:r>
      <w:r w:rsidRPr="000E380B" w:rsidR="000E380B">
        <w:rPr>
          <w:b/>
          <w:bCs/>
          <w:noProof w:val="0"/>
          <w:rtl/>
          <w:lang w:eastAsia="he-IL"/>
        </w:rPr>
        <w:t>הגבלה על חידוש רישיון הנהיגה</w:t>
      </w:r>
      <w:r w:rsidRPr="000E380B" w:rsidR="000E380B">
        <w:rPr>
          <w:noProof w:val="0"/>
          <w:rtl/>
          <w:lang w:eastAsia="he-IL"/>
        </w:rPr>
        <w:t xml:space="preserve">, </w:t>
      </w:r>
      <w:r w:rsidRPr="000E380B" w:rsidR="000E380B">
        <w:rPr>
          <w:noProof w:val="0"/>
          <w:rtl/>
          <w:lang w:eastAsia="he-IL"/>
        </w:rPr>
        <w:tab/>
        <w:t xml:space="preserve">וזאת, אגב צמצום עד כדי ביטול, האפשרות לאסור חייבים בגין ביזיון רשם ההוצל"פ </w:t>
      </w:r>
      <w:r w:rsidRPr="000E380B" w:rsidR="000E380B">
        <w:rPr>
          <w:noProof w:val="0"/>
          <w:rtl/>
          <w:lang w:eastAsia="he-IL"/>
        </w:rPr>
        <w:tab/>
        <w:t xml:space="preserve">(למעט חוב מזונות), מתוך כוונה להציע אמצעי אכיפה, שפגיעתם בזכויות היסוד של </w:t>
      </w:r>
      <w:r w:rsidRPr="000E380B" w:rsidR="000E380B">
        <w:rPr>
          <w:noProof w:val="0"/>
          <w:rtl/>
          <w:lang w:eastAsia="he-IL"/>
        </w:rPr>
        <w:tab/>
        <w:t xml:space="preserve">החייבים הנה פחותה ממאסר </w:t>
      </w:r>
      <w:r w:rsidRPr="000E380B" w:rsidR="000E380B">
        <w:rPr>
          <w:b/>
          <w:bCs/>
          <w:noProof w:val="0"/>
          <w:rtl/>
          <w:lang w:eastAsia="he-IL"/>
        </w:rPr>
        <w:t xml:space="preserve">(ראה: הוראות פרק ו'1' לחוק וסעיף 66א' שבו, ודברי </w:t>
      </w:r>
      <w:r w:rsidRPr="000E380B" w:rsidR="000E380B">
        <w:rPr>
          <w:b/>
          <w:bCs/>
          <w:noProof w:val="0"/>
          <w:rtl/>
          <w:lang w:eastAsia="he-IL"/>
        </w:rPr>
        <w:tab/>
        <w:t>ההסבר לה"ח הממשלה 260, מיום 30.10.06, בעמ' 100 – 101).</w:t>
      </w:r>
      <w:r w:rsidRPr="000E380B" w:rsidR="000E380B">
        <w:rPr>
          <w:noProof w:val="0"/>
          <w:rtl/>
          <w:lang w:eastAsia="he-IL"/>
        </w:rPr>
        <w:t xml:space="preserve"> </w:t>
      </w:r>
    </w:p>
    <w:p w:rsidR="000E380B" w:rsidP="000E380B" w:rsidRDefault="000E380B">
      <w:pPr>
        <w:ind w:left="720"/>
        <w:contextualSpacing/>
        <w:rPr>
          <w:rFonts w:ascii="Arial" w:hAnsi="Arial"/>
          <w:noProof w:val="0"/>
          <w:rtl/>
        </w:rPr>
      </w:pPr>
    </w:p>
    <w:p w:rsidRPr="000E380B" w:rsidR="0029164F" w:rsidP="000E380B" w:rsidRDefault="0029164F">
      <w:pPr>
        <w:ind w:left="720"/>
        <w:contextualSpacing/>
        <w:rPr>
          <w:rFonts w:hint="cs" w:ascii="Arial" w:hAnsi="Arial"/>
          <w:noProof w:val="0"/>
          <w:rtl/>
        </w:rPr>
      </w:pPr>
    </w:p>
    <w:p w:rsidRPr="000E380B" w:rsidR="00043CF8" w:rsidP="005D6D0E" w:rsidRDefault="00260DD2">
      <w:pPr>
        <w:tabs>
          <w:tab w:val="left" w:pos="26"/>
          <w:tab w:val="left" w:pos="567"/>
        </w:tabs>
        <w:spacing w:line="360" w:lineRule="auto"/>
        <w:ind w:left="718" w:hanging="690"/>
        <w:jc w:val="both"/>
        <w:rPr>
          <w:rFonts w:ascii="Arial" w:hAnsi="Arial"/>
          <w:noProof w:val="0"/>
        </w:rPr>
      </w:pPr>
      <w:r>
        <w:rPr>
          <w:rFonts w:hint="cs" w:ascii="Arial" w:hAnsi="Arial"/>
          <w:noProof w:val="0"/>
          <w:rtl/>
        </w:rPr>
        <w:t>8</w:t>
      </w:r>
      <w:r w:rsidR="00167517">
        <w:rPr>
          <w:rFonts w:ascii="Arial" w:hAnsi="Arial"/>
          <w:noProof w:val="0"/>
          <w:rtl/>
        </w:rPr>
        <w:t>.</w:t>
      </w:r>
      <w:r w:rsidR="00167517">
        <w:rPr>
          <w:rFonts w:ascii="Arial" w:hAnsi="Arial"/>
          <w:noProof w:val="0"/>
          <w:rtl/>
        </w:rPr>
        <w:tab/>
      </w:r>
      <w:r w:rsidR="005D6D0E">
        <w:rPr>
          <w:rtl/>
        </w:rPr>
        <w:tab/>
      </w:r>
      <w:hyperlink w:history="1" r:id="rId19">
        <w:r w:rsidRPr="000E380B" w:rsidR="00043CF8">
          <w:rPr>
            <w:noProof w:val="0"/>
            <w:rtl/>
            <w:lang w:eastAsia="he-IL"/>
          </w:rPr>
          <w:t>סעיף 66א'</w:t>
        </w:r>
      </w:hyperlink>
      <w:r w:rsidRPr="000E380B" w:rsidR="00043CF8">
        <w:rPr>
          <w:noProof w:val="0"/>
          <w:rtl/>
          <w:lang w:eastAsia="he-IL"/>
        </w:rPr>
        <w:t xml:space="preserve"> לחוק ההוצל"פ קובע כי רשם ההוצאה לפועל רשאי, בין היתר, להטיל על חייב המשתמט מתשלום חובותיו הגבלה "</w:t>
      </w:r>
      <w:r w:rsidRPr="000E380B" w:rsidR="00043CF8">
        <w:rPr>
          <w:b/>
          <w:bCs/>
          <w:noProof w:val="0"/>
          <w:rtl/>
          <w:lang w:eastAsia="he-IL"/>
        </w:rPr>
        <w:t>מקבל, מהחזיק או מחדש רישיון נהיגה",</w:t>
      </w:r>
      <w:r w:rsidRPr="000E380B" w:rsidR="00043CF8">
        <w:rPr>
          <w:noProof w:val="0"/>
          <w:rtl/>
          <w:lang w:eastAsia="he-IL"/>
        </w:rPr>
        <w:t xml:space="preserve"> </w:t>
      </w:r>
      <w:r w:rsidRPr="000E380B" w:rsidR="00043CF8">
        <w:rPr>
          <w:noProof w:val="0"/>
          <w:rtl/>
          <w:lang w:eastAsia="he-IL"/>
        </w:rPr>
        <w:tab/>
        <w:t>כאשר הגבלה זו תוטל רק בהתקיים התנאים הבאים:</w:t>
      </w:r>
    </w:p>
    <w:p w:rsidRPr="000E380B" w:rsidR="00043CF8" w:rsidP="00043CF8" w:rsidRDefault="00043CF8">
      <w:pPr>
        <w:numPr>
          <w:ilvl w:val="0"/>
          <w:numId w:val="1"/>
        </w:numPr>
        <w:tabs>
          <w:tab w:val="left" w:pos="26"/>
          <w:tab w:val="left" w:pos="567"/>
        </w:tabs>
        <w:spacing w:line="360" w:lineRule="auto"/>
        <w:ind w:right="1134"/>
        <w:contextualSpacing/>
        <w:jc w:val="both"/>
        <w:rPr>
          <w:noProof w:val="0"/>
          <w:rtl/>
          <w:lang w:eastAsia="he-IL"/>
        </w:rPr>
      </w:pPr>
      <w:r w:rsidRPr="000E380B">
        <w:rPr>
          <w:noProof w:val="0"/>
          <w:rtl/>
          <w:lang w:eastAsia="he-IL"/>
        </w:rPr>
        <w:t>האזהרה הומצאה לחייב במסירה מלאה (</w:t>
      </w:r>
      <w:hyperlink w:history="1" r:id="rId20">
        <w:r w:rsidRPr="000E380B">
          <w:rPr>
            <w:noProof w:val="0"/>
            <w:rtl/>
            <w:lang w:eastAsia="he-IL"/>
          </w:rPr>
          <w:t>סעיף 7(ג)</w:t>
        </w:r>
      </w:hyperlink>
      <w:r w:rsidRPr="000E380B">
        <w:rPr>
          <w:noProof w:val="0"/>
          <w:rtl/>
          <w:lang w:eastAsia="he-IL"/>
        </w:rPr>
        <w:t xml:space="preserve"> לחוק); </w:t>
      </w:r>
    </w:p>
    <w:p w:rsidRPr="000E380B" w:rsidR="00043CF8" w:rsidP="00043CF8" w:rsidRDefault="00043CF8">
      <w:pPr>
        <w:numPr>
          <w:ilvl w:val="0"/>
          <w:numId w:val="1"/>
        </w:numPr>
        <w:tabs>
          <w:tab w:val="left" w:pos="26"/>
          <w:tab w:val="left" w:pos="567"/>
        </w:tabs>
        <w:spacing w:line="360" w:lineRule="auto"/>
        <w:ind w:right="1134"/>
        <w:contextualSpacing/>
        <w:jc w:val="both"/>
        <w:rPr>
          <w:lang w:eastAsia="he-IL"/>
        </w:rPr>
      </w:pPr>
      <w:r w:rsidRPr="000E380B">
        <w:rPr>
          <w:noProof w:val="0"/>
          <w:rtl/>
          <w:lang w:eastAsia="he-IL"/>
        </w:rPr>
        <w:t>הרשם שוכנע כי הדבר מוצדק בנסיבות העניין, בהתחשב בפגיעה בחייב ובהליכים אחרים שנקטו לשם גביית החוב, לרבות הליך להשגת מידע (</w:t>
      </w:r>
      <w:hyperlink w:history="1" r:id="rId21">
        <w:r w:rsidRPr="000E380B">
          <w:rPr>
            <w:noProof w:val="0"/>
            <w:rtl/>
            <w:lang w:eastAsia="he-IL"/>
          </w:rPr>
          <w:t>סעיף 66א</w:t>
        </w:r>
      </w:hyperlink>
      <w:r w:rsidRPr="000E380B">
        <w:rPr>
          <w:noProof w:val="0"/>
          <w:rtl/>
          <w:lang w:eastAsia="he-IL"/>
        </w:rPr>
        <w:t xml:space="preserve"> רישא);</w:t>
      </w:r>
    </w:p>
    <w:p w:rsidRPr="000E380B" w:rsidR="00043CF8" w:rsidP="00043CF8" w:rsidRDefault="00043CF8">
      <w:pPr>
        <w:numPr>
          <w:ilvl w:val="0"/>
          <w:numId w:val="1"/>
        </w:numPr>
        <w:tabs>
          <w:tab w:val="left" w:pos="26"/>
          <w:tab w:val="left" w:pos="567"/>
        </w:tabs>
        <w:spacing w:line="360" w:lineRule="auto"/>
        <w:ind w:right="1134"/>
        <w:contextualSpacing/>
        <w:jc w:val="both"/>
        <w:rPr>
          <w:lang w:eastAsia="he-IL"/>
        </w:rPr>
      </w:pPr>
      <w:r w:rsidRPr="000E380B">
        <w:rPr>
          <w:noProof w:val="0"/>
          <w:rtl/>
          <w:lang w:eastAsia="he-IL"/>
        </w:rPr>
        <w:t xml:space="preserve">התקיימה אחת העילות הקבועות </w:t>
      </w:r>
      <w:hyperlink w:history="1" r:id="rId22">
        <w:r w:rsidRPr="000E380B">
          <w:rPr>
            <w:noProof w:val="0"/>
            <w:rtl/>
            <w:lang w:eastAsia="he-IL"/>
          </w:rPr>
          <w:t>בסעיף 66ב(א)</w:t>
        </w:r>
      </w:hyperlink>
      <w:r w:rsidRPr="000E380B">
        <w:rPr>
          <w:noProof w:val="0"/>
          <w:rtl/>
          <w:lang w:eastAsia="he-IL"/>
        </w:rPr>
        <w:t xml:space="preserve"> לחוק;</w:t>
      </w:r>
    </w:p>
    <w:p w:rsidRPr="000E380B" w:rsidR="00043CF8" w:rsidP="00043CF8" w:rsidRDefault="00043CF8">
      <w:pPr>
        <w:numPr>
          <w:ilvl w:val="0"/>
          <w:numId w:val="1"/>
        </w:numPr>
        <w:tabs>
          <w:tab w:val="left" w:pos="26"/>
          <w:tab w:val="left" w:pos="567"/>
        </w:tabs>
        <w:spacing w:line="360" w:lineRule="auto"/>
        <w:ind w:right="1134"/>
        <w:contextualSpacing/>
        <w:jc w:val="both"/>
        <w:rPr>
          <w:lang w:eastAsia="he-IL"/>
        </w:rPr>
      </w:pPr>
      <w:r w:rsidRPr="000E380B">
        <w:rPr>
          <w:noProof w:val="0"/>
          <w:rtl/>
          <w:lang w:eastAsia="he-IL"/>
        </w:rPr>
        <w:lastRenderedPageBreak/>
        <w:t>נמסרה לחייב ע"י מנהל לשכת ההוצאה לפועל, אתראה אודות מועד כניסת ההגבלה לתוקף (תוך 30 ימים ממועד הטלתה) (</w:t>
      </w:r>
      <w:hyperlink w:history="1" r:id="rId23">
        <w:r w:rsidRPr="000E380B">
          <w:rPr>
            <w:noProof w:val="0"/>
            <w:rtl/>
            <w:lang w:eastAsia="he-IL"/>
          </w:rPr>
          <w:t>סעיף 66ג'</w:t>
        </w:r>
      </w:hyperlink>
      <w:r w:rsidRPr="000E380B">
        <w:rPr>
          <w:noProof w:val="0"/>
          <w:rtl/>
          <w:lang w:eastAsia="he-IL"/>
        </w:rPr>
        <w:t xml:space="preserve"> לחוק);</w:t>
      </w:r>
    </w:p>
    <w:p w:rsidRPr="000E380B" w:rsidR="00043CF8" w:rsidP="00043CF8" w:rsidRDefault="00043CF8">
      <w:pPr>
        <w:numPr>
          <w:ilvl w:val="0"/>
          <w:numId w:val="1"/>
        </w:numPr>
        <w:tabs>
          <w:tab w:val="left" w:pos="26"/>
          <w:tab w:val="left" w:pos="567"/>
        </w:tabs>
        <w:spacing w:line="360" w:lineRule="auto"/>
        <w:ind w:right="1134"/>
        <w:contextualSpacing/>
        <w:jc w:val="both"/>
        <w:rPr>
          <w:lang w:eastAsia="he-IL"/>
        </w:rPr>
      </w:pPr>
      <w:r w:rsidRPr="000E380B">
        <w:rPr>
          <w:noProof w:val="0"/>
          <w:rtl/>
          <w:lang w:eastAsia="he-IL"/>
        </w:rPr>
        <w:t>רשם ההוצאה לפועל שוכנע כי הגבלת הרישיון לא תפגע פגיעה ממשית בעיסוקו של החייב וביכולתו לשלם את החוב, או כי שוכנע שרישיון הנהיגה חיוני לחייב נוכח נכות שלו או של בן משפחה התלוי בו (</w:t>
      </w:r>
      <w:hyperlink w:history="1" r:id="rId24">
        <w:r w:rsidRPr="000E380B">
          <w:rPr>
            <w:noProof w:val="0"/>
            <w:rtl/>
            <w:lang w:eastAsia="he-IL"/>
          </w:rPr>
          <w:t>סעיף 66א(6)</w:t>
        </w:r>
      </w:hyperlink>
      <w:r w:rsidRPr="000E380B">
        <w:rPr>
          <w:noProof w:val="0"/>
          <w:rtl/>
          <w:lang w:eastAsia="he-IL"/>
        </w:rPr>
        <w:t xml:space="preserve"> לחוק).  </w:t>
      </w:r>
    </w:p>
    <w:p w:rsidRPr="00043CF8" w:rsidR="00043CF8" w:rsidP="000E380B" w:rsidRDefault="00043CF8">
      <w:pPr>
        <w:tabs>
          <w:tab w:val="left" w:pos="26"/>
          <w:tab w:val="left" w:pos="567"/>
        </w:tabs>
        <w:spacing w:line="360" w:lineRule="auto"/>
        <w:ind w:left="28"/>
        <w:jc w:val="both"/>
        <w:rPr>
          <w:rFonts w:ascii="Arial" w:hAnsi="Arial"/>
          <w:noProof w:val="0"/>
          <w:rtl/>
        </w:rPr>
      </w:pPr>
    </w:p>
    <w:p w:rsidRPr="000E380B" w:rsidR="000E380B" w:rsidP="000E380B" w:rsidRDefault="00260DD2">
      <w:pPr>
        <w:tabs>
          <w:tab w:val="left" w:pos="26"/>
          <w:tab w:val="left" w:pos="567"/>
        </w:tabs>
        <w:spacing w:line="360" w:lineRule="auto"/>
        <w:ind w:left="28"/>
        <w:jc w:val="both"/>
        <w:rPr>
          <w:rFonts w:ascii="Arial" w:hAnsi="Arial"/>
          <w:noProof w:val="0"/>
          <w:rtl/>
        </w:rPr>
      </w:pPr>
      <w:r>
        <w:rPr>
          <w:rFonts w:hint="cs" w:ascii="Arial" w:hAnsi="Arial"/>
          <w:noProof w:val="0"/>
          <w:rtl/>
        </w:rPr>
        <w:t>9</w:t>
      </w:r>
      <w:r w:rsidR="00043CF8">
        <w:rPr>
          <w:rFonts w:hint="cs" w:ascii="Arial" w:hAnsi="Arial"/>
          <w:noProof w:val="0"/>
          <w:rtl/>
        </w:rPr>
        <w:t>.</w:t>
      </w:r>
      <w:r w:rsidR="00043CF8">
        <w:rPr>
          <w:rFonts w:hint="cs" w:ascii="Arial" w:hAnsi="Arial"/>
          <w:noProof w:val="0"/>
          <w:rtl/>
        </w:rPr>
        <w:tab/>
      </w:r>
      <w:r w:rsidRPr="000E380B" w:rsidR="000E380B">
        <w:rPr>
          <w:rFonts w:ascii="Arial" w:hAnsi="Arial"/>
          <w:noProof w:val="0"/>
          <w:rtl/>
        </w:rPr>
        <w:t xml:space="preserve">סעיף </w:t>
      </w:r>
      <w:hyperlink w:history="1" r:id="rId25">
        <w:r w:rsidRPr="000E380B" w:rsidR="000E380B">
          <w:rPr>
            <w:rFonts w:ascii="Arial" w:hAnsi="Arial"/>
            <w:noProof w:val="0"/>
            <w:rtl/>
          </w:rPr>
          <w:t>66 א' (6)</w:t>
        </w:r>
      </w:hyperlink>
      <w:r w:rsidRPr="000E380B" w:rsidR="000E380B">
        <w:rPr>
          <w:rFonts w:ascii="Arial" w:hAnsi="Arial"/>
          <w:noProof w:val="0"/>
          <w:rtl/>
        </w:rPr>
        <w:t xml:space="preserve"> ל</w:t>
      </w:r>
      <w:hyperlink w:history="1" r:id="rId26">
        <w:r w:rsidRPr="000E380B" w:rsidR="000E380B">
          <w:rPr>
            <w:rFonts w:ascii="Arial" w:hAnsi="Arial"/>
            <w:noProof w:val="0"/>
            <w:rtl/>
          </w:rPr>
          <w:t>חוק ההוצאה לפועל</w:t>
        </w:r>
      </w:hyperlink>
      <w:r w:rsidRPr="000E380B" w:rsidR="000E380B">
        <w:rPr>
          <w:rFonts w:ascii="Arial" w:hAnsi="Arial"/>
          <w:noProof w:val="0"/>
          <w:rtl/>
        </w:rPr>
        <w:t xml:space="preserve"> קובע, לעניין הגבלה על רישיון נהיגה של חייב, כי:</w:t>
      </w:r>
    </w:p>
    <w:p w:rsidR="000E380B" w:rsidP="000E380B" w:rsidRDefault="000E380B">
      <w:pPr>
        <w:ind w:left="1440" w:right="993"/>
        <w:jc w:val="both"/>
        <w:rPr>
          <w:rFonts w:ascii="Arial" w:hAnsi="Arial"/>
          <w:rtl/>
        </w:rPr>
      </w:pPr>
      <w:r w:rsidRPr="000E380B">
        <w:rPr>
          <w:rFonts w:ascii="Arial" w:hAnsi="Arial"/>
          <w:noProof w:val="0"/>
          <w:rtl/>
        </w:rPr>
        <w:t>"</w:t>
      </w:r>
      <w:r w:rsidRPr="000E380B">
        <w:rPr>
          <w:rFonts w:ascii="Arial" w:hAnsi="Arial"/>
          <w:b/>
          <w:bCs/>
          <w:noProof w:val="0"/>
          <w:rtl/>
        </w:rPr>
        <w:t>הגבלת החייב מקבל, מהחזיק או מחדש רישיון נהיגה; הגבלה זו לא תוטל אם שוכנע רשם ההוצאה לפועל כי הטלתה עלולה לפגוע פגיעה ממשית בעיסוקו של החייב וביכולתו לשלם את החוב או שרישיון הנהיגה חיוני לחייב, עקב נכותו או עקב נכות בן משפחה התלוי בו;</w:t>
      </w:r>
      <w:r w:rsidRPr="000E380B">
        <w:rPr>
          <w:rFonts w:ascii="Arial" w:hAnsi="Arial"/>
          <w:noProof w:val="0"/>
          <w:rtl/>
        </w:rPr>
        <w:t>" (ההדגשה שלי – ס"י).</w:t>
      </w:r>
    </w:p>
    <w:p w:rsidRPr="00043CF8" w:rsidR="000E380B" w:rsidP="00043CF8" w:rsidRDefault="000E380B">
      <w:pPr>
        <w:tabs>
          <w:tab w:val="left" w:pos="26"/>
          <w:tab w:val="left" w:pos="567"/>
        </w:tabs>
        <w:spacing w:line="360" w:lineRule="auto"/>
        <w:jc w:val="both"/>
        <w:rPr>
          <w:lang w:eastAsia="he-IL"/>
        </w:rPr>
      </w:pPr>
    </w:p>
    <w:p w:rsidRPr="000E380B" w:rsidR="000E380B" w:rsidP="000E380B" w:rsidRDefault="00260DD2">
      <w:pPr>
        <w:tabs>
          <w:tab w:val="left" w:pos="26"/>
          <w:tab w:val="left" w:pos="567"/>
        </w:tabs>
        <w:spacing w:line="360" w:lineRule="auto"/>
        <w:ind w:left="567" w:hanging="539"/>
        <w:jc w:val="both"/>
        <w:rPr>
          <w:rFonts w:ascii="Arial" w:hAnsi="Arial"/>
          <w:noProof w:val="0"/>
          <w:rtl/>
        </w:rPr>
      </w:pPr>
      <w:r>
        <w:rPr>
          <w:rFonts w:hint="cs"/>
          <w:noProof w:val="0"/>
          <w:rtl/>
          <w:lang w:eastAsia="he-IL"/>
        </w:rPr>
        <w:t>10</w:t>
      </w:r>
      <w:r w:rsidR="0029164F">
        <w:rPr>
          <w:noProof w:val="0"/>
          <w:rtl/>
          <w:lang w:eastAsia="he-IL"/>
        </w:rPr>
        <w:t>.</w:t>
      </w:r>
      <w:r w:rsidR="0029164F">
        <w:rPr>
          <w:noProof w:val="0"/>
          <w:rtl/>
          <w:lang w:eastAsia="he-IL"/>
        </w:rPr>
        <w:tab/>
      </w:r>
      <w:r w:rsidRPr="000E380B" w:rsidR="000E380B">
        <w:rPr>
          <w:noProof w:val="0"/>
          <w:rtl/>
          <w:lang w:eastAsia="he-IL"/>
        </w:rPr>
        <w:t xml:space="preserve">בבחינת התניה שמציב </w:t>
      </w:r>
      <w:hyperlink w:history="1" r:id="rId27">
        <w:r w:rsidRPr="000E380B" w:rsidR="000E380B">
          <w:rPr>
            <w:noProof w:val="0"/>
            <w:rtl/>
            <w:lang w:eastAsia="he-IL"/>
          </w:rPr>
          <w:t>סעיף 66א'</w:t>
        </w:r>
      </w:hyperlink>
      <w:r w:rsidRPr="000E380B" w:rsidR="000E380B">
        <w:rPr>
          <w:noProof w:val="0"/>
          <w:rtl/>
          <w:lang w:eastAsia="he-IL"/>
        </w:rPr>
        <w:t xml:space="preserve"> לחוק ההוצל"פ, יש לדידי, לקרוא את סייג ה</w:t>
      </w:r>
      <w:r w:rsidRPr="000E380B" w:rsidR="000E380B">
        <w:rPr>
          <w:b/>
          <w:bCs/>
          <w:noProof w:val="0"/>
          <w:rtl/>
          <w:lang w:eastAsia="he-IL"/>
        </w:rPr>
        <w:t>"פגיעה הממשית"</w:t>
      </w:r>
      <w:r w:rsidRPr="000E380B" w:rsidR="000E380B">
        <w:rPr>
          <w:noProof w:val="0"/>
          <w:rtl/>
          <w:lang w:eastAsia="he-IL"/>
        </w:rPr>
        <w:t xml:space="preserve">, במלואו על שני חלקיו. היינו, כאשר </w:t>
      </w:r>
      <w:r w:rsidRPr="000E380B" w:rsidR="000E380B">
        <w:rPr>
          <w:b/>
          <w:bCs/>
          <w:noProof w:val="0"/>
          <w:rtl/>
          <w:lang w:eastAsia="he-IL"/>
        </w:rPr>
        <w:t>הפגיעה הממשית בעיסוק,</w:t>
      </w:r>
      <w:r w:rsidRPr="000E380B" w:rsidR="000E380B">
        <w:rPr>
          <w:noProof w:val="0"/>
          <w:rtl/>
          <w:lang w:eastAsia="he-IL"/>
        </w:rPr>
        <w:t xml:space="preserve"> היא הגורם לפגיעה ביכולת לשלם החוב (</w:t>
      </w:r>
      <w:r w:rsidRPr="000E380B" w:rsidR="000E380B">
        <w:rPr>
          <w:b/>
          <w:bCs/>
          <w:noProof w:val="0"/>
          <w:rtl/>
          <w:lang w:eastAsia="he-IL"/>
        </w:rPr>
        <w:t>למשל:</w:t>
      </w:r>
      <w:r w:rsidRPr="000E380B" w:rsidR="000E380B">
        <w:rPr>
          <w:noProof w:val="0"/>
          <w:rtl/>
          <w:lang w:eastAsia="he-IL"/>
        </w:rPr>
        <w:t xml:space="preserve"> </w:t>
      </w:r>
      <w:r w:rsidRPr="000E380B" w:rsidR="000E380B">
        <w:rPr>
          <w:b/>
          <w:bCs/>
          <w:noProof w:val="0"/>
          <w:rtl/>
          <w:lang w:eastAsia="he-IL"/>
        </w:rPr>
        <w:t>כאשר פרנסתו של החייב תלויה ברישיון הנהיגה שלו,</w:t>
      </w:r>
      <w:r w:rsidRPr="000E380B" w:rsidR="000E380B">
        <w:rPr>
          <w:noProof w:val="0"/>
          <w:rtl/>
          <w:lang w:eastAsia="he-IL"/>
        </w:rPr>
        <w:t xml:space="preserve"> כדוגמת נהג אוטובוס, נהג מונית, נהג משאית, וכיו"ב). </w:t>
      </w:r>
    </w:p>
    <w:p w:rsidRPr="000E380B" w:rsidR="000E380B" w:rsidP="000E380B" w:rsidRDefault="000E380B">
      <w:pPr>
        <w:tabs>
          <w:tab w:val="left" w:pos="26"/>
          <w:tab w:val="left" w:pos="567"/>
        </w:tabs>
        <w:spacing w:line="360" w:lineRule="auto"/>
        <w:ind w:left="567" w:hanging="539"/>
        <w:jc w:val="both"/>
        <w:rPr>
          <w:rFonts w:ascii="Arial" w:hAnsi="Arial"/>
          <w:noProof w:val="0"/>
          <w:rtl/>
        </w:rPr>
      </w:pPr>
    </w:p>
    <w:p w:rsidRPr="000E380B" w:rsidR="000E380B" w:rsidP="00260DD2" w:rsidRDefault="000E380B">
      <w:pPr>
        <w:tabs>
          <w:tab w:val="left" w:pos="26"/>
          <w:tab w:val="left" w:pos="567"/>
        </w:tabs>
        <w:spacing w:line="360" w:lineRule="auto"/>
        <w:ind w:left="567" w:hanging="539"/>
        <w:jc w:val="both"/>
        <w:rPr>
          <w:rFonts w:ascii="Arial" w:hAnsi="Arial"/>
          <w:noProof w:val="0"/>
          <w:rtl/>
        </w:rPr>
      </w:pPr>
      <w:r w:rsidRPr="000E380B">
        <w:rPr>
          <w:rFonts w:ascii="Arial" w:hAnsi="Arial"/>
          <w:noProof w:val="0"/>
          <w:rtl/>
        </w:rPr>
        <w:t>1</w:t>
      </w:r>
      <w:r w:rsidR="00260DD2">
        <w:rPr>
          <w:rFonts w:hint="cs" w:ascii="Arial" w:hAnsi="Arial"/>
          <w:noProof w:val="0"/>
          <w:rtl/>
        </w:rPr>
        <w:t>1</w:t>
      </w:r>
      <w:r w:rsidRPr="000E380B">
        <w:rPr>
          <w:rFonts w:ascii="Arial" w:hAnsi="Arial"/>
          <w:noProof w:val="0"/>
          <w:rtl/>
        </w:rPr>
        <w:t>.</w:t>
      </w:r>
      <w:r w:rsidRPr="000E380B">
        <w:rPr>
          <w:rFonts w:ascii="Arial" w:hAnsi="Arial"/>
          <w:noProof w:val="0"/>
          <w:rtl/>
        </w:rPr>
        <w:tab/>
      </w:r>
      <w:r w:rsidRPr="000E380B">
        <w:rPr>
          <w:rFonts w:ascii="Arial" w:hAnsi="Arial"/>
          <w:rtl/>
        </w:rPr>
        <w:t>בענייננו, לאחר ששקלה כב' הרשמת את הנסיבות והנתונים הרלוונטיים של המבקש, אל מול נתוני תיקי ההוצל"פ העומדים לחובתו, קבעה כי יש להתנות ביטול רישיון הנהיגה בהפקדת סך של 4,000 ₪</w:t>
      </w:r>
      <w:r w:rsidR="005D6D0E">
        <w:rPr>
          <w:rFonts w:hint="cs" w:ascii="Arial" w:hAnsi="Arial"/>
          <w:rtl/>
        </w:rPr>
        <w:t>,</w:t>
      </w:r>
      <w:r w:rsidRPr="000E380B">
        <w:rPr>
          <w:rFonts w:ascii="Arial" w:hAnsi="Arial"/>
          <w:rtl/>
        </w:rPr>
        <w:t xml:space="preserve"> סכום סמלי </w:t>
      </w:r>
      <w:r w:rsidR="005D6D0E">
        <w:rPr>
          <w:rFonts w:hint="cs" w:ascii="Arial" w:hAnsi="Arial"/>
          <w:rtl/>
        </w:rPr>
        <w:t>ביחס</w:t>
      </w:r>
      <w:r w:rsidRPr="000E380B">
        <w:rPr>
          <w:rFonts w:ascii="Arial" w:hAnsi="Arial"/>
          <w:rtl/>
        </w:rPr>
        <w:t xml:space="preserve"> </w:t>
      </w:r>
      <w:r w:rsidR="005D6D0E">
        <w:rPr>
          <w:rFonts w:hint="cs" w:ascii="Arial" w:hAnsi="Arial"/>
          <w:rtl/>
        </w:rPr>
        <w:t>לס"כ ה</w:t>
      </w:r>
      <w:r w:rsidRPr="000E380B">
        <w:rPr>
          <w:rFonts w:ascii="Arial" w:hAnsi="Arial"/>
          <w:rtl/>
        </w:rPr>
        <w:t xml:space="preserve">חובות </w:t>
      </w:r>
      <w:r w:rsidR="005D6D0E">
        <w:rPr>
          <w:rFonts w:hint="cs" w:ascii="Arial" w:hAnsi="Arial"/>
          <w:rtl/>
        </w:rPr>
        <w:t>ו</w:t>
      </w:r>
      <w:r w:rsidRPr="000E380B">
        <w:rPr>
          <w:rFonts w:ascii="Arial" w:hAnsi="Arial"/>
          <w:rtl/>
        </w:rPr>
        <w:t>פיגורי העבר בתיקים השונים</w:t>
      </w:r>
      <w:r w:rsidR="00167517">
        <w:rPr>
          <w:rFonts w:hint="cs" w:ascii="Arial" w:hAnsi="Arial"/>
          <w:rtl/>
        </w:rPr>
        <w:t xml:space="preserve"> (סך של 285,150 ₪ )</w:t>
      </w:r>
      <w:r w:rsidR="00482287">
        <w:rPr>
          <w:rFonts w:ascii="Arial" w:hAnsi="Arial"/>
          <w:rtl/>
        </w:rPr>
        <w:t>. ולחילופין, ביצוע 3 תשלומים שו</w:t>
      </w:r>
      <w:r w:rsidRPr="000E380B">
        <w:rPr>
          <w:rFonts w:ascii="Arial" w:hAnsi="Arial"/>
          <w:rtl/>
        </w:rPr>
        <w:t>ט</w:t>
      </w:r>
      <w:r w:rsidR="00482287">
        <w:rPr>
          <w:rFonts w:hint="cs" w:ascii="Arial" w:hAnsi="Arial"/>
          <w:rtl/>
        </w:rPr>
        <w:t>פ</w:t>
      </w:r>
      <w:r w:rsidRPr="000E380B">
        <w:rPr>
          <w:rFonts w:ascii="Arial" w:hAnsi="Arial"/>
          <w:rtl/>
        </w:rPr>
        <w:t xml:space="preserve">ים ורצפוים בהתאם לצו חיוב התשלומים. </w:t>
      </w:r>
    </w:p>
    <w:p w:rsidRPr="000E380B" w:rsidR="000E380B" w:rsidP="000E380B" w:rsidRDefault="000E380B">
      <w:pPr>
        <w:tabs>
          <w:tab w:val="left" w:pos="26"/>
          <w:tab w:val="left" w:pos="567"/>
        </w:tabs>
        <w:spacing w:line="360" w:lineRule="auto"/>
        <w:ind w:left="567" w:hanging="539"/>
        <w:jc w:val="both"/>
        <w:rPr>
          <w:rFonts w:ascii="Arial" w:hAnsi="Arial"/>
          <w:noProof w:val="0"/>
          <w:rtl/>
        </w:rPr>
      </w:pPr>
    </w:p>
    <w:p w:rsidRPr="000E380B" w:rsidR="000E380B" w:rsidP="00260DD2" w:rsidRDefault="000E380B">
      <w:pPr>
        <w:tabs>
          <w:tab w:val="left" w:pos="26"/>
          <w:tab w:val="left" w:pos="567"/>
        </w:tabs>
        <w:spacing w:line="360" w:lineRule="auto"/>
        <w:ind w:left="567" w:hanging="539"/>
        <w:jc w:val="both"/>
        <w:rPr>
          <w:rFonts w:ascii="Arial" w:hAnsi="Arial"/>
          <w:noProof w:val="0"/>
          <w:rtl/>
        </w:rPr>
      </w:pPr>
      <w:r w:rsidRPr="000E380B">
        <w:rPr>
          <w:rFonts w:ascii="Arial" w:hAnsi="Arial"/>
          <w:noProof w:val="0"/>
          <w:rtl/>
        </w:rPr>
        <w:t>1</w:t>
      </w:r>
      <w:r w:rsidR="00260DD2">
        <w:rPr>
          <w:rFonts w:hint="cs" w:ascii="Arial" w:hAnsi="Arial"/>
          <w:noProof w:val="0"/>
          <w:rtl/>
        </w:rPr>
        <w:t>2</w:t>
      </w:r>
      <w:r w:rsidRPr="000E380B">
        <w:rPr>
          <w:rFonts w:ascii="Arial" w:hAnsi="Arial"/>
          <w:noProof w:val="0"/>
          <w:rtl/>
        </w:rPr>
        <w:t>.</w:t>
      </w:r>
      <w:r w:rsidRPr="000E380B">
        <w:rPr>
          <w:rFonts w:ascii="Arial" w:hAnsi="Arial"/>
          <w:noProof w:val="0"/>
          <w:rtl/>
        </w:rPr>
        <w:tab/>
      </w:r>
      <w:r w:rsidRPr="000E380B">
        <w:rPr>
          <w:noProof w:val="0"/>
          <w:rtl/>
          <w:lang w:eastAsia="he-IL"/>
        </w:rPr>
        <w:t>כעת, עותר המבקש להסרת התנאים לביטול ההגבלה, כאשר הנימוק בבסיס בקשתו, כי שילם סכום הערבון שנפסק לפתיחת תיק האיחוד, וביצע תשלום שוטף בודד.</w:t>
      </w:r>
      <w:r w:rsidRPr="000E380B">
        <w:rPr>
          <w:rFonts w:ascii="Arial" w:hAnsi="Arial"/>
          <w:noProof w:val="0"/>
          <w:rtl/>
        </w:rPr>
        <w:t xml:space="preserve"> ואין ביכולתו הכלכלית לשלם את התשלום החד פעמי בסך של 4,000 ₪, או ביצוע 3 תשלומים שוטפים, </w:t>
      </w:r>
      <w:r w:rsidR="005D6D0E">
        <w:rPr>
          <w:rFonts w:hint="cs" w:ascii="Arial" w:hAnsi="Arial"/>
          <w:noProof w:val="0"/>
          <w:rtl/>
        </w:rPr>
        <w:t>כ</w:t>
      </w:r>
      <w:r w:rsidRPr="000E380B">
        <w:rPr>
          <w:rFonts w:ascii="Arial" w:hAnsi="Arial"/>
          <w:noProof w:val="0"/>
          <w:rtl/>
        </w:rPr>
        <w:t>שלטענתו, תנאי זה מקפח ופוגע קשות במבקש ואינו עולה בקנה אחד עם הרואות החוק, ותו לאו.</w:t>
      </w:r>
    </w:p>
    <w:p w:rsidRPr="000E380B" w:rsidR="000E380B" w:rsidP="000E380B" w:rsidRDefault="000E380B">
      <w:pPr>
        <w:tabs>
          <w:tab w:val="left" w:pos="26"/>
          <w:tab w:val="left" w:pos="567"/>
        </w:tabs>
        <w:spacing w:line="360" w:lineRule="auto"/>
        <w:ind w:left="567" w:hanging="539"/>
        <w:jc w:val="both"/>
        <w:rPr>
          <w:rFonts w:ascii="Arial" w:hAnsi="Arial"/>
          <w:noProof w:val="0"/>
          <w:rtl/>
        </w:rPr>
      </w:pPr>
    </w:p>
    <w:p w:rsidRPr="000E380B" w:rsidR="000E380B" w:rsidP="00260DD2" w:rsidRDefault="000E380B">
      <w:pPr>
        <w:tabs>
          <w:tab w:val="left" w:pos="26"/>
          <w:tab w:val="left" w:pos="567"/>
        </w:tabs>
        <w:spacing w:line="360" w:lineRule="auto"/>
        <w:ind w:left="567" w:hanging="539"/>
        <w:jc w:val="both"/>
        <w:rPr>
          <w:rFonts w:ascii="Arial" w:hAnsi="Arial"/>
          <w:noProof w:val="0"/>
          <w:rtl/>
        </w:rPr>
      </w:pPr>
      <w:r w:rsidRPr="000E380B">
        <w:rPr>
          <w:rFonts w:ascii="Arial" w:hAnsi="Arial"/>
          <w:noProof w:val="0"/>
          <w:rtl/>
        </w:rPr>
        <w:t>1</w:t>
      </w:r>
      <w:r w:rsidR="00260DD2">
        <w:rPr>
          <w:rFonts w:hint="cs" w:ascii="Arial" w:hAnsi="Arial"/>
          <w:noProof w:val="0"/>
          <w:rtl/>
        </w:rPr>
        <w:t>3</w:t>
      </w:r>
      <w:r w:rsidRPr="000E380B">
        <w:rPr>
          <w:rFonts w:ascii="Arial" w:hAnsi="Arial"/>
          <w:noProof w:val="0"/>
          <w:rtl/>
        </w:rPr>
        <w:t>.</w:t>
      </w:r>
      <w:r w:rsidRPr="000E380B">
        <w:rPr>
          <w:rFonts w:ascii="Arial" w:hAnsi="Arial"/>
          <w:noProof w:val="0"/>
          <w:rtl/>
        </w:rPr>
        <w:tab/>
        <w:t xml:space="preserve">המבקש לא צרף לבקשת רשות הערעור ולו אסמכתא אחת שיש בה להעיד על פגיעה בפרנסתו, וביכולתו לשלם צו התשלומים שהוטל עליו. </w:t>
      </w:r>
    </w:p>
    <w:p w:rsidRPr="000E380B" w:rsidR="000E380B" w:rsidP="005D6D0E" w:rsidRDefault="000E380B">
      <w:pPr>
        <w:tabs>
          <w:tab w:val="left" w:pos="26"/>
          <w:tab w:val="left" w:pos="567"/>
        </w:tabs>
        <w:spacing w:line="360" w:lineRule="auto"/>
        <w:ind w:left="567" w:hanging="539"/>
        <w:jc w:val="both"/>
        <w:rPr>
          <w:noProof w:val="0"/>
          <w:rtl/>
          <w:lang w:eastAsia="he-IL"/>
        </w:rPr>
      </w:pPr>
      <w:r w:rsidRPr="000E380B">
        <w:rPr>
          <w:rFonts w:ascii="Arial" w:hAnsi="Arial"/>
          <w:noProof w:val="0"/>
          <w:rtl/>
        </w:rPr>
        <w:t xml:space="preserve"> </w:t>
      </w:r>
      <w:r w:rsidRPr="000E380B">
        <w:rPr>
          <w:noProof w:val="0"/>
          <w:rtl/>
          <w:lang w:eastAsia="he-IL"/>
        </w:rPr>
        <w:tab/>
        <w:t xml:space="preserve">בנסיבותיו של המבקש כאן, סבורני כי הטלת ההגבלה והותרתה על כנה עד לקיום התנאים שנקבעו בהחלטת כב' הרשמת, הינה סבירה ובדין יסודה. כב' הרשמת נימקה החלטתה בכך שההגבלות הוטלו על המבקש בשל חובות פיגורי העבר בתיקים השונים לאחר שהמבקש לא </w:t>
      </w:r>
      <w:r w:rsidRPr="000E380B">
        <w:rPr>
          <w:noProof w:val="0"/>
          <w:rtl/>
          <w:lang w:eastAsia="he-IL"/>
        </w:rPr>
        <w:lastRenderedPageBreak/>
        <w:t>שילם כמעט דבר על חשבון חובותיו במשך זמן רב.</w:t>
      </w:r>
      <w:r w:rsidR="005D6D0E">
        <w:rPr>
          <w:rFonts w:hint="cs"/>
          <w:noProof w:val="0"/>
          <w:rtl/>
          <w:lang w:eastAsia="he-IL"/>
        </w:rPr>
        <w:t xml:space="preserve"> מה גם, ניתנה למבקש ברירה אחרת, והיא ביטול ההגבלה לאחר ביצוע 3 תשלומים חודשיים באופן סדיר.</w:t>
      </w:r>
    </w:p>
    <w:p w:rsidRPr="000E380B" w:rsidR="000E380B" w:rsidP="000E380B" w:rsidRDefault="000E380B">
      <w:pPr>
        <w:tabs>
          <w:tab w:val="left" w:pos="26"/>
          <w:tab w:val="left" w:pos="567"/>
        </w:tabs>
        <w:spacing w:line="360" w:lineRule="auto"/>
        <w:ind w:left="567" w:hanging="539"/>
        <w:jc w:val="both"/>
        <w:rPr>
          <w:noProof w:val="0"/>
          <w:rtl/>
          <w:lang w:eastAsia="he-IL"/>
        </w:rPr>
      </w:pPr>
    </w:p>
    <w:p w:rsidRPr="000E380B" w:rsidR="000E380B" w:rsidP="00260DD2" w:rsidRDefault="000E380B">
      <w:pPr>
        <w:tabs>
          <w:tab w:val="left" w:pos="26"/>
          <w:tab w:val="left" w:pos="567"/>
        </w:tabs>
        <w:spacing w:line="360" w:lineRule="auto"/>
        <w:ind w:left="567" w:hanging="539"/>
        <w:jc w:val="both"/>
        <w:rPr>
          <w:noProof w:val="0"/>
          <w:lang w:eastAsia="he-IL"/>
        </w:rPr>
      </w:pPr>
      <w:r w:rsidRPr="000E380B">
        <w:rPr>
          <w:noProof w:val="0"/>
          <w:rtl/>
          <w:lang w:eastAsia="he-IL"/>
        </w:rPr>
        <w:t>1</w:t>
      </w:r>
      <w:r w:rsidR="00260DD2">
        <w:rPr>
          <w:rFonts w:hint="cs"/>
          <w:noProof w:val="0"/>
          <w:rtl/>
          <w:lang w:eastAsia="he-IL"/>
        </w:rPr>
        <w:t>4</w:t>
      </w:r>
      <w:r w:rsidRPr="000E380B">
        <w:rPr>
          <w:noProof w:val="0"/>
          <w:rtl/>
          <w:lang w:eastAsia="he-IL"/>
        </w:rPr>
        <w:t>.</w:t>
      </w:r>
      <w:r w:rsidRPr="000E380B">
        <w:rPr>
          <w:noProof w:val="0"/>
          <w:rtl/>
          <w:lang w:eastAsia="he-IL"/>
        </w:rPr>
        <w:tab/>
      </w:r>
      <w:r w:rsidRPr="000E380B">
        <w:rPr>
          <w:b/>
          <w:bCs/>
          <w:noProof w:val="0"/>
          <w:rtl/>
        </w:rPr>
        <w:t>סוף דבר</w:t>
      </w:r>
      <w:r w:rsidRPr="000E380B">
        <w:rPr>
          <w:noProof w:val="0"/>
          <w:rtl/>
        </w:rPr>
        <w:t xml:space="preserve">, דין </w:t>
      </w:r>
      <w:r w:rsidR="00100A6C">
        <w:rPr>
          <w:rFonts w:hint="cs"/>
          <w:noProof w:val="0"/>
          <w:rtl/>
        </w:rPr>
        <w:t xml:space="preserve">בקשת רשות </w:t>
      </w:r>
      <w:r w:rsidRPr="000E380B">
        <w:rPr>
          <w:noProof w:val="0"/>
          <w:rtl/>
        </w:rPr>
        <w:t xml:space="preserve">הערעור </w:t>
      </w:r>
      <w:r w:rsidRPr="000E380B">
        <w:rPr>
          <w:b/>
          <w:bCs/>
          <w:noProof w:val="0"/>
          <w:rtl/>
        </w:rPr>
        <w:t xml:space="preserve">להידחות. </w:t>
      </w:r>
    </w:p>
    <w:p w:rsidRPr="000E380B" w:rsidR="000E380B" w:rsidP="000E380B" w:rsidRDefault="000E380B">
      <w:pPr>
        <w:tabs>
          <w:tab w:val="left" w:pos="26"/>
          <w:tab w:val="left" w:pos="567"/>
        </w:tabs>
        <w:spacing w:line="360" w:lineRule="auto"/>
        <w:jc w:val="both"/>
        <w:rPr>
          <w:noProof w:val="0"/>
          <w:color w:val="FFFFFF"/>
          <w:sz w:val="2"/>
          <w:szCs w:val="2"/>
          <w:rtl/>
        </w:rPr>
      </w:pPr>
      <w:r w:rsidRPr="000E380B">
        <w:rPr>
          <w:noProof w:val="0"/>
          <w:color w:val="FFFFFF"/>
          <w:sz w:val="2"/>
          <w:szCs w:val="2"/>
          <w:rtl/>
        </w:rPr>
        <w:t>5129371</w:t>
      </w:r>
      <w:r w:rsidRPr="000E380B">
        <w:rPr>
          <w:noProof w:val="0"/>
          <w:color w:val="FFFFFF"/>
          <w:sz w:val="2"/>
          <w:szCs w:val="2"/>
          <w:rtl/>
        </w:rPr>
        <w:tab/>
      </w:r>
      <w:r w:rsidRPr="000E380B">
        <w:rPr>
          <w:noProof w:val="0"/>
          <w:color w:val="FFFFFF"/>
          <w:sz w:val="2"/>
          <w:szCs w:val="2"/>
          <w:rtl/>
        </w:rPr>
        <w:tab/>
      </w:r>
    </w:p>
    <w:p w:rsidRPr="000E380B" w:rsidR="000E380B" w:rsidP="000E380B" w:rsidRDefault="000E380B">
      <w:pPr>
        <w:tabs>
          <w:tab w:val="left" w:pos="26"/>
          <w:tab w:val="left" w:pos="567"/>
        </w:tabs>
        <w:spacing w:line="360" w:lineRule="auto"/>
        <w:jc w:val="both"/>
        <w:rPr>
          <w:noProof w:val="0"/>
          <w:rtl/>
        </w:rPr>
      </w:pPr>
      <w:r w:rsidRPr="000E380B">
        <w:rPr>
          <w:noProof w:val="0"/>
          <w:color w:val="FFFFFF"/>
          <w:sz w:val="2"/>
          <w:szCs w:val="2"/>
          <w:rtl/>
        </w:rPr>
        <w:t>54678313</w:t>
      </w:r>
    </w:p>
    <w:p w:rsidRPr="000E380B" w:rsidR="000E380B" w:rsidP="000E380B" w:rsidRDefault="000E380B">
      <w:pPr>
        <w:tabs>
          <w:tab w:val="left" w:pos="26"/>
          <w:tab w:val="left" w:pos="567"/>
        </w:tabs>
        <w:spacing w:line="360" w:lineRule="auto"/>
        <w:jc w:val="both"/>
        <w:rPr>
          <w:noProof w:val="0"/>
          <w:rtl/>
        </w:rPr>
      </w:pPr>
    </w:p>
    <w:p w:rsidRPr="000E380B" w:rsidR="000E380B" w:rsidP="000E380B" w:rsidRDefault="000E380B">
      <w:pPr>
        <w:tabs>
          <w:tab w:val="left" w:pos="26"/>
          <w:tab w:val="left" w:pos="567"/>
        </w:tabs>
        <w:spacing w:line="360" w:lineRule="auto"/>
        <w:jc w:val="both"/>
        <w:rPr>
          <w:noProof w:val="0"/>
          <w:rtl/>
        </w:rPr>
      </w:pPr>
      <w:r w:rsidRPr="000E380B">
        <w:rPr>
          <w:noProof w:val="0"/>
          <w:rtl/>
        </w:rPr>
        <w:tab/>
      </w:r>
      <w:r w:rsidRPr="000E380B">
        <w:rPr>
          <w:noProof w:val="0"/>
          <w:rtl/>
        </w:rPr>
        <w:tab/>
        <w:t>בנסיבות העניין אינני עושה צו להוצאות.</w:t>
      </w:r>
    </w:p>
    <w:p w:rsidRPr="000E380B" w:rsidR="000E380B" w:rsidP="000E380B" w:rsidRDefault="000E380B">
      <w:pPr>
        <w:tabs>
          <w:tab w:val="left" w:pos="26"/>
          <w:tab w:val="left" w:pos="567"/>
        </w:tabs>
        <w:spacing w:line="360" w:lineRule="auto"/>
        <w:jc w:val="both"/>
        <w:rPr>
          <w:noProof w:val="0"/>
          <w:rtl/>
        </w:rPr>
      </w:pPr>
    </w:p>
    <w:p w:rsidRPr="000E380B" w:rsidR="000E380B" w:rsidP="00E67CC6" w:rsidRDefault="00E67CC6">
      <w:pPr>
        <w:spacing w:after="160" w:line="259" w:lineRule="auto"/>
        <w:ind w:firstLine="720"/>
        <w:rPr>
          <w:rFonts w:ascii="Calibri" w:hAnsi="Calibri"/>
          <w:noProof w:val="0"/>
        </w:rPr>
      </w:pPr>
      <w:r w:rsidRPr="00E67CC6">
        <w:rPr>
          <w:rFonts w:hint="cs" w:ascii="Calibri" w:hAnsi="Calibri"/>
          <w:noProof w:val="0"/>
          <w:rtl/>
        </w:rPr>
        <w:t>המזכירות תמציא לצדדים.</w:t>
      </w:r>
    </w:p>
    <w:p w:rsidR="00100A6C" w:rsidRDefault="00100A6C">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675EB3">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971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a39521a8a6f492b" cstate="print">
                            <a:extLst>
                              <a:ext uri="{28A0092B-C50C-407E-A947-70E740481C1C}"/>
                            </a:extLst>
                          </a:blip>
                          <a:stretch>
                            <a:fillRect/>
                          </a:stretch>
                        </pic:blipFill>
                        <pic:spPr>
                          <a:xfrm>
                            <a:off x="0" y="0"/>
                            <a:ext cx="1971675" cy="1076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28"/>
      <w:footerReference w:type="default" r:id="rId2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75EB3">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75EB3">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75EB3">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675EB3">
          <w:pPr>
            <w:rPr>
              <w:b/>
              <w:bCs/>
              <w:noProof w:val="0"/>
              <w:sz w:val="26"/>
              <w:szCs w:val="26"/>
              <w:rtl/>
            </w:rPr>
          </w:pPr>
          <w:sdt>
            <w:sdtPr>
              <w:rPr>
                <w:b/>
                <w:bCs/>
                <w:noProof w:val="0"/>
                <w:sz w:val="26"/>
                <w:szCs w:val="26"/>
                <w:rtl/>
              </w:rPr>
              <w:alias w:val="1170"/>
              <w:tag w:val="1170"/>
              <w:id w:val="299038016"/>
              <w:text w:multiLine="1"/>
            </w:sdtPr>
            <w:sdtEndPr/>
            <w:sdtContent>
              <w:r w:rsidR="00821D81">
                <w:rPr>
                  <w:b/>
                  <w:bCs/>
                  <w:noProof w:val="0"/>
                  <w:sz w:val="26"/>
                  <w:szCs w:val="26"/>
                  <w:rtl/>
                </w:rPr>
                <w:t>רע"צ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821D81">
                <w:rPr>
                  <w:b/>
                  <w:bCs/>
                  <w:noProof w:val="0"/>
                  <w:sz w:val="26"/>
                  <w:szCs w:val="26"/>
                  <w:rtl/>
                </w:rPr>
                <w:t>41658-03-18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821D81">
                <w:rPr>
                  <w:b/>
                  <w:bCs/>
                  <w:noProof w:val="0"/>
                  <w:sz w:val="26"/>
                  <w:szCs w:val="26"/>
                  <w:rtl/>
                </w:rPr>
                <w:t>חילו נ' מרכנתיל דיסקונט תל אביב סניף אבן גבירול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5226440218</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2552A"/>
    <w:multiLevelType w:val="hybridMultilevel"/>
    <w:tmpl w:val="7624CF58"/>
    <w:lvl w:ilvl="0" w:tplc="E618E348">
      <w:start w:val="1"/>
      <w:numFmt w:val="decimal"/>
      <w:lvlText w:val="%1."/>
      <w:lvlJc w:val="left"/>
      <w:pPr>
        <w:ind w:left="1884" w:hanging="360"/>
      </w:pPr>
      <w:rPr>
        <w:rFonts w:cs="David" w:hint="default"/>
        <w:b/>
        <w:bCs w:val="0"/>
      </w:rPr>
    </w:lvl>
    <w:lvl w:ilvl="1" w:tplc="04090019" w:tentative="1">
      <w:start w:val="1"/>
      <w:numFmt w:val="lowerLetter"/>
      <w:lvlText w:val="%2."/>
      <w:lvlJc w:val="left"/>
      <w:pPr>
        <w:ind w:left="2604" w:hanging="360"/>
      </w:pPr>
      <w:rPr>
        <w:rFonts w:cs="Times New Roman"/>
      </w:rPr>
    </w:lvl>
    <w:lvl w:ilvl="2" w:tplc="0409001B" w:tentative="1">
      <w:start w:val="1"/>
      <w:numFmt w:val="lowerRoman"/>
      <w:lvlText w:val="%3."/>
      <w:lvlJc w:val="right"/>
      <w:pPr>
        <w:ind w:left="3324" w:hanging="180"/>
      </w:pPr>
      <w:rPr>
        <w:rFonts w:cs="Times New Roman"/>
      </w:rPr>
    </w:lvl>
    <w:lvl w:ilvl="3" w:tplc="0409000F" w:tentative="1">
      <w:start w:val="1"/>
      <w:numFmt w:val="decimal"/>
      <w:lvlText w:val="%4."/>
      <w:lvlJc w:val="left"/>
      <w:pPr>
        <w:ind w:left="4044" w:hanging="360"/>
      </w:pPr>
      <w:rPr>
        <w:rFonts w:cs="Times New Roman"/>
      </w:rPr>
    </w:lvl>
    <w:lvl w:ilvl="4" w:tplc="04090019" w:tentative="1">
      <w:start w:val="1"/>
      <w:numFmt w:val="lowerLetter"/>
      <w:lvlText w:val="%5."/>
      <w:lvlJc w:val="left"/>
      <w:pPr>
        <w:ind w:left="4764" w:hanging="360"/>
      </w:pPr>
      <w:rPr>
        <w:rFonts w:cs="Times New Roman"/>
      </w:rPr>
    </w:lvl>
    <w:lvl w:ilvl="5" w:tplc="0409001B" w:tentative="1">
      <w:start w:val="1"/>
      <w:numFmt w:val="lowerRoman"/>
      <w:lvlText w:val="%6."/>
      <w:lvlJc w:val="right"/>
      <w:pPr>
        <w:ind w:left="5484" w:hanging="180"/>
      </w:pPr>
      <w:rPr>
        <w:rFonts w:cs="Times New Roman"/>
      </w:rPr>
    </w:lvl>
    <w:lvl w:ilvl="6" w:tplc="0409000F" w:tentative="1">
      <w:start w:val="1"/>
      <w:numFmt w:val="decimal"/>
      <w:lvlText w:val="%7."/>
      <w:lvlJc w:val="left"/>
      <w:pPr>
        <w:ind w:left="6204" w:hanging="360"/>
      </w:pPr>
      <w:rPr>
        <w:rFonts w:cs="Times New Roman"/>
      </w:rPr>
    </w:lvl>
    <w:lvl w:ilvl="7" w:tplc="04090019" w:tentative="1">
      <w:start w:val="1"/>
      <w:numFmt w:val="lowerLetter"/>
      <w:lvlText w:val="%8."/>
      <w:lvlJc w:val="left"/>
      <w:pPr>
        <w:ind w:left="6924" w:hanging="360"/>
      </w:pPr>
      <w:rPr>
        <w:rFonts w:cs="Times New Roman"/>
      </w:rPr>
    </w:lvl>
    <w:lvl w:ilvl="8" w:tplc="0409001B" w:tentative="1">
      <w:start w:val="1"/>
      <w:numFmt w:val="lowerRoman"/>
      <w:lvlText w:val="%9."/>
      <w:lvlJc w:val="right"/>
      <w:pPr>
        <w:ind w:left="7644"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8"/>
    <o:shapelayout v:ext="edit">
      <o:idmap v:ext="edit" data="1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43CF8"/>
    <w:rsid w:val="000564AB"/>
    <w:rsid w:val="000D4A02"/>
    <w:rsid w:val="000E380B"/>
    <w:rsid w:val="00100A6C"/>
    <w:rsid w:val="001072A9"/>
    <w:rsid w:val="00121F97"/>
    <w:rsid w:val="001277D7"/>
    <w:rsid w:val="00132017"/>
    <w:rsid w:val="0014234E"/>
    <w:rsid w:val="00145A87"/>
    <w:rsid w:val="00167517"/>
    <w:rsid w:val="001C4003"/>
    <w:rsid w:val="002352F7"/>
    <w:rsid w:val="00260DD2"/>
    <w:rsid w:val="0029164F"/>
    <w:rsid w:val="00381D3A"/>
    <w:rsid w:val="003823DA"/>
    <w:rsid w:val="0043595F"/>
    <w:rsid w:val="0047645A"/>
    <w:rsid w:val="00482287"/>
    <w:rsid w:val="004D49A3"/>
    <w:rsid w:val="004E6E3C"/>
    <w:rsid w:val="005124F1"/>
    <w:rsid w:val="00530BAD"/>
    <w:rsid w:val="00541598"/>
    <w:rsid w:val="00547DB7"/>
    <w:rsid w:val="00553198"/>
    <w:rsid w:val="00560C73"/>
    <w:rsid w:val="00567324"/>
    <w:rsid w:val="005B0F49"/>
    <w:rsid w:val="005C7EC6"/>
    <w:rsid w:val="005D4BDB"/>
    <w:rsid w:val="005D6D0E"/>
    <w:rsid w:val="00622BAA"/>
    <w:rsid w:val="00625C89"/>
    <w:rsid w:val="00671BD5"/>
    <w:rsid w:val="00675EB3"/>
    <w:rsid w:val="006805C1"/>
    <w:rsid w:val="006816EC"/>
    <w:rsid w:val="00694556"/>
    <w:rsid w:val="006E1A53"/>
    <w:rsid w:val="007056AA"/>
    <w:rsid w:val="00744F41"/>
    <w:rsid w:val="007A24FE"/>
    <w:rsid w:val="007A35AA"/>
    <w:rsid w:val="007F1048"/>
    <w:rsid w:val="00805176"/>
    <w:rsid w:val="00820005"/>
    <w:rsid w:val="00821D81"/>
    <w:rsid w:val="00846D27"/>
    <w:rsid w:val="008610A7"/>
    <w:rsid w:val="008E1332"/>
    <w:rsid w:val="00903896"/>
    <w:rsid w:val="00927813"/>
    <w:rsid w:val="00944D13"/>
    <w:rsid w:val="00957C90"/>
    <w:rsid w:val="009E0263"/>
    <w:rsid w:val="00A267CF"/>
    <w:rsid w:val="00A43458"/>
    <w:rsid w:val="00AC4E19"/>
    <w:rsid w:val="00AF1ED6"/>
    <w:rsid w:val="00B368FE"/>
    <w:rsid w:val="00B80CBD"/>
    <w:rsid w:val="00BA2595"/>
    <w:rsid w:val="00BC3369"/>
    <w:rsid w:val="00BE085E"/>
    <w:rsid w:val="00BF77EE"/>
    <w:rsid w:val="00C06D11"/>
    <w:rsid w:val="00C32E0F"/>
    <w:rsid w:val="00C42BF9"/>
    <w:rsid w:val="00C83E56"/>
    <w:rsid w:val="00D319B3"/>
    <w:rsid w:val="00D53924"/>
    <w:rsid w:val="00D60849"/>
    <w:rsid w:val="00D96D8C"/>
    <w:rsid w:val="00DD337E"/>
    <w:rsid w:val="00DF7CAA"/>
    <w:rsid w:val="00E00B6F"/>
    <w:rsid w:val="00E54642"/>
    <w:rsid w:val="00E67CC6"/>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4:docId w14:val="0368E1A1"/>
  <w15:docId w15:val="{948C8C28-0571-4382-BBD2-9C7CE06C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No Spacing"/>
    <w:uiPriority w:val="1"/>
    <w:qFormat/>
    <w:rsid w:val="0029164F"/>
    <w:pPr>
      <w:bidi/>
    </w:pPr>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811174" TargetMode="External" Id="rId13" /><Relationship Type="http://schemas.openxmlformats.org/officeDocument/2006/relationships/hyperlink" Target="http://www.nevo.co.il/law/74985" TargetMode="External" Id="rId18" /><Relationship Type="http://schemas.openxmlformats.org/officeDocument/2006/relationships/hyperlink" Target="http://www.nevo.co.il/law/74985" TargetMode="External" Id="rId26" /><Relationship Type="http://schemas.openxmlformats.org/officeDocument/2006/relationships/numbering" Target="numbering.xml" Id="rId3" /><Relationship Type="http://schemas.openxmlformats.org/officeDocument/2006/relationships/hyperlink" Target="http://www.nevo.co.il/law/74985/66a" TargetMode="External" Id="rId21" /><Relationship Type="http://schemas.openxmlformats.org/officeDocument/2006/relationships/footnotes" Target="footnotes.xml" Id="rId7" /><Relationship Type="http://schemas.openxmlformats.org/officeDocument/2006/relationships/hyperlink" Target="http://www.nevo.co.il/case/17930622" TargetMode="External" Id="rId12" /><Relationship Type="http://schemas.openxmlformats.org/officeDocument/2006/relationships/hyperlink" Target="http://www.nevo.co.il/safrut/bookgroup/558" TargetMode="External" Id="rId17" /><Relationship Type="http://schemas.openxmlformats.org/officeDocument/2006/relationships/hyperlink" Target="http://www.nevo.co.il/law/74985/66a.6" TargetMode="External" Id="rId25" /><Relationship Type="http://schemas.openxmlformats.org/officeDocument/2006/relationships/hyperlink" Target="http://www.nevo.co.il/law/74985/70.c" TargetMode="External" Id="rId16" /><Relationship Type="http://schemas.openxmlformats.org/officeDocument/2006/relationships/hyperlink" Target="http://www.nevo.co.il/law/74985/7.c" TargetMode="External" Id="rId20" /><Relationship Type="http://schemas.openxmlformats.org/officeDocument/2006/relationships/footer" Target="footer1.xml" Id="rId29"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985" TargetMode="External" Id="rId11" /><Relationship Type="http://schemas.openxmlformats.org/officeDocument/2006/relationships/hyperlink" Target="http://www.nevo.co.il/law/74985/66a.6" TargetMode="External" Id="rId24" /><Relationship Type="http://schemas.openxmlformats.org/officeDocument/2006/relationships/settings" Target="settings.xml" Id="rId5" /><Relationship Type="http://schemas.openxmlformats.org/officeDocument/2006/relationships/hyperlink" Target="http://www.nevo.co.il/law/74985/8.b" TargetMode="External" Id="rId15" /><Relationship Type="http://schemas.openxmlformats.org/officeDocument/2006/relationships/hyperlink" Target="http://www.nevo.co.il/law/74985/66c" TargetMode="External" Id="rId23" /><Relationship Type="http://schemas.openxmlformats.org/officeDocument/2006/relationships/header" Target="header1.xml" Id="rId28" /><Relationship Type="http://schemas.openxmlformats.org/officeDocument/2006/relationships/hyperlink" Target="http://www.nevo.co.il/law/90684" TargetMode="External" Id="rId10" /><Relationship Type="http://schemas.openxmlformats.org/officeDocument/2006/relationships/hyperlink" Target="http://www.nevo.co.il/law/74985/66a" TargetMode="External" Id="rId19" /><Relationship Type="http://schemas.openxmlformats.org/officeDocument/2006/relationships/theme" Target="theme/theme1.xml" Id="rId31" /><Relationship Type="http://schemas.openxmlformats.org/officeDocument/2006/relationships/styles" Target="styles.xml" Id="rId4" /><Relationship Type="http://schemas.openxmlformats.org/officeDocument/2006/relationships/hyperlink" Target="http://www.nevo.co.il/law/90684/119.g" TargetMode="External" Id="rId9" /><Relationship Type="http://schemas.openxmlformats.org/officeDocument/2006/relationships/hyperlink" Target="http://www.nevo.co.il/case/5982447" TargetMode="External" Id="rId14" /><Relationship Type="http://schemas.openxmlformats.org/officeDocument/2006/relationships/hyperlink" Target="http://www.nevo.co.il/law/74985/66b.a" TargetMode="External" Id="rId22" /><Relationship Type="http://schemas.openxmlformats.org/officeDocument/2006/relationships/hyperlink" Target="http://www.nevo.co.il/law/74985/66a" TargetMode="External" Id="rId27" /><Relationship Type="http://schemas.openxmlformats.org/officeDocument/2006/relationships/fontTable" Target="fontTable.xml" Id="rId30" /><Relationship Type="http://schemas.openxmlformats.org/officeDocument/2006/relationships/image" Target="/media/image2.jpg" Id="R3a39521a8a6f492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1093</Words>
  <Characters>5467</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סוהיל</cp:lastModifiedBy>
  <cp:revision>50</cp:revision>
  <cp:lastPrinted>2018-03-23T10:33:00Z</cp:lastPrinted>
  <dcterms:created xsi:type="dcterms:W3CDTF">2012-08-05T21:29:00Z</dcterms:created>
  <dcterms:modified xsi:type="dcterms:W3CDTF">2018-04-12T08:47:00Z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