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RPr="00FC53F1" w:rsidRDefault="006816EC" w:rsidP="006816EC">
      <w:pPr>
        <w:suppressLineNumbers/>
        <w:rPr>
          <w:spacing w:val="10"/>
          <w:sz w:val="26"/>
          <w:szCs w:val="26"/>
        </w:rPr>
      </w:pPr>
      <w:bookmarkStart w:id="0" w:name="_GoBack"/>
      <w:bookmarkEnd w:id="0"/>
    </w:p>
    <w:tbl>
      <w:tblPr>
        <w:tblStyle w:val="a9"/>
        <w:bidiVisual/>
        <w:tblW w:w="93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6118"/>
      </w:tblGrid>
      <w:tr w:rsidR="00FC53F1" w:rsidRPr="00FC53F1" w:rsidTr="007023E1">
        <w:trPr>
          <w:jc w:val="center"/>
        </w:trPr>
        <w:tc>
          <w:tcPr>
            <w:tcW w:w="743" w:type="dxa"/>
            <w:hideMark/>
          </w:tcPr>
          <w:p w:rsidR="006816EC" w:rsidRPr="00FC53F1" w:rsidRDefault="006816EC">
            <w:pPr>
              <w:jc w:val="both"/>
              <w:rPr>
                <w:rFonts w:ascii="Arial (W1)" w:hAnsi="Arial (W1)"/>
                <w:b/>
                <w:bCs/>
                <w:spacing w:val="10"/>
                <w:sz w:val="28"/>
                <w:szCs w:val="28"/>
              </w:rPr>
            </w:pPr>
            <w:r w:rsidRPr="00FC53F1">
              <w:rPr>
                <w:rFonts w:hint="cs"/>
                <w:b/>
                <w:bCs/>
                <w:spacing w:val="10"/>
                <w:sz w:val="28"/>
                <w:szCs w:val="28"/>
                <w:rtl/>
              </w:rPr>
              <w:t xml:space="preserve">בפני </w:t>
            </w:r>
          </w:p>
        </w:tc>
        <w:tc>
          <w:tcPr>
            <w:tcW w:w="8624" w:type="dxa"/>
            <w:gridSpan w:val="2"/>
            <w:hideMark/>
          </w:tcPr>
          <w:p w:rsidR="006816EC" w:rsidRPr="00FC53F1" w:rsidRDefault="00B32C61" w:rsidP="006816EC">
            <w:pPr>
              <w:rPr>
                <w:rFonts w:ascii="Arial" w:hAnsi="Arial"/>
                <w:b/>
                <w:bCs/>
                <w:spacing w:val="10"/>
                <w:sz w:val="28"/>
                <w:szCs w:val="28"/>
                <w:rtl/>
              </w:rPr>
            </w:pPr>
            <w:r w:rsidRPr="00FC53F1">
              <w:rPr>
                <w:rFonts w:ascii="Arial" w:hAnsi="Arial" w:hint="cs"/>
                <w:b/>
                <w:bCs/>
                <w:spacing w:val="10"/>
                <w:sz w:val="28"/>
                <w:szCs w:val="28"/>
                <w:rtl/>
              </w:rPr>
              <w:t>כבוד</w:t>
            </w:r>
            <w:r w:rsidR="006816EC" w:rsidRPr="00FC53F1">
              <w:rPr>
                <w:rFonts w:ascii="Arial" w:hAnsi="Arial" w:hint="cs"/>
                <w:b/>
                <w:bCs/>
                <w:spacing w:val="10"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FC53F1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שופט</w:t>
                </w:r>
              </w:sdtContent>
            </w:sdt>
            <w:r w:rsidR="006816EC" w:rsidRPr="00FC53F1">
              <w:rPr>
                <w:rFonts w:ascii="Arial" w:hAnsi="Arial" w:hint="cs"/>
                <w:b/>
                <w:bCs/>
                <w:spacing w:val="10"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FC53F1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אורי גולדקורן</w:t>
                </w:r>
              </w:sdtContent>
            </w:sdt>
          </w:p>
          <w:p w:rsidR="006816EC" w:rsidRPr="00FC53F1" w:rsidRDefault="006816EC" w:rsidP="006816EC">
            <w:pPr>
              <w:rPr>
                <w:spacing w:val="10"/>
                <w:sz w:val="28"/>
                <w:szCs w:val="28"/>
              </w:rPr>
            </w:pPr>
          </w:p>
        </w:tc>
      </w:tr>
      <w:tr w:rsidR="00FC53F1" w:rsidRPr="00FC53F1" w:rsidTr="007023E1">
        <w:trPr>
          <w:jc w:val="center"/>
        </w:trPr>
        <w:tc>
          <w:tcPr>
            <w:tcW w:w="3249" w:type="dxa"/>
            <w:gridSpan w:val="2"/>
          </w:tcPr>
          <w:p w:rsidR="006816EC" w:rsidRPr="00FC53F1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spacing w:val="10"/>
                <w:sz w:val="28"/>
                <w:szCs w:val="28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CD318D" w:rsidRPr="00FC53F1" w:rsidRDefault="004D7DDD" w:rsidP="004D7DDD">
                <w:pPr>
                  <w:rPr>
                    <w:rFonts w:ascii="Arial (W1)" w:hAnsi="Arial (W1)"/>
                    <w:b/>
                    <w:bCs/>
                    <w:noProof w:val="0"/>
                    <w:spacing w:val="10"/>
                    <w:sz w:val="28"/>
                    <w:szCs w:val="28"/>
                  </w:rPr>
                </w:pPr>
                <w:r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התובעת</w:t>
                </w:r>
              </w:p>
            </w:sdtContent>
          </w:sdt>
        </w:tc>
        <w:tc>
          <w:tcPr>
            <w:tcW w:w="6118" w:type="dxa"/>
          </w:tcPr>
          <w:p w:rsidR="006816EC" w:rsidRPr="00FC53F1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="006816EC" w:rsidRPr="00FC53F1" w:rsidRDefault="001F186E" w:rsidP="003E3904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פיסו חן מתכת ושרותי כ</w:t>
                </w:r>
                <w:r w:rsidR="004D7DDD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"א</w:t>
                </w:r>
                <w:r w:rsidR="00D36A71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 xml:space="preserve"> בע"מ</w:t>
                </w:r>
                <w:r w:rsidR="004D7DDD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, ח"פ 51-2084682</w:t>
                </w:r>
                <w:r w:rsidR="004D7DDD" w:rsidRPr="00FC53F1">
                  <w:rPr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br/>
                </w:r>
                <w:r w:rsidR="004D7DDD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ע"י ב"כ עו"ד</w:t>
                </w:r>
                <w:r w:rsidR="00EF4F69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 xml:space="preserve"> יעקב ח'לול</w:t>
                </w:r>
              </w:sdtContent>
            </w:sdt>
          </w:p>
        </w:tc>
      </w:tr>
      <w:tr w:rsidR="00FC53F1" w:rsidRPr="00FC53F1" w:rsidTr="007023E1">
        <w:trPr>
          <w:jc w:val="center"/>
        </w:trPr>
        <w:tc>
          <w:tcPr>
            <w:tcW w:w="3249" w:type="dxa"/>
            <w:gridSpan w:val="2"/>
          </w:tcPr>
          <w:p w:rsidR="004D7DDD" w:rsidRPr="00FC53F1" w:rsidRDefault="004D7DDD">
            <w:pPr>
              <w:bidi w:val="0"/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</w:tc>
        <w:tc>
          <w:tcPr>
            <w:tcW w:w="6118" w:type="dxa"/>
          </w:tcPr>
          <w:p w:rsidR="004D7DDD" w:rsidRPr="00FC53F1" w:rsidRDefault="004D7DDD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</w:tc>
      </w:tr>
      <w:tr w:rsidR="00FC53F1" w:rsidRPr="00FC53F1" w:rsidTr="007023E1">
        <w:trPr>
          <w:jc w:val="center"/>
        </w:trPr>
        <w:tc>
          <w:tcPr>
            <w:tcW w:w="9367" w:type="dxa"/>
            <w:gridSpan w:val="3"/>
          </w:tcPr>
          <w:p w:rsidR="006816EC" w:rsidRPr="00FC53F1" w:rsidRDefault="006816EC" w:rsidP="003E3904">
            <w:pPr>
              <w:jc w:val="center"/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r w:rsidRPr="00FC53F1">
              <w:rPr>
                <w:rFonts w:hint="cs"/>
                <w:b/>
                <w:bCs/>
                <w:noProof w:val="0"/>
                <w:spacing w:val="10"/>
                <w:sz w:val="28"/>
                <w:szCs w:val="28"/>
                <w:rtl/>
              </w:rPr>
              <w:t>נגד</w:t>
            </w:r>
          </w:p>
        </w:tc>
      </w:tr>
      <w:tr w:rsidR="00FC53F1" w:rsidRPr="00FC53F1" w:rsidTr="007023E1">
        <w:trPr>
          <w:jc w:val="center"/>
        </w:trPr>
        <w:tc>
          <w:tcPr>
            <w:tcW w:w="3249" w:type="dxa"/>
            <w:gridSpan w:val="2"/>
          </w:tcPr>
          <w:p w:rsidR="006816EC" w:rsidRPr="00FC53F1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="006816EC" w:rsidRPr="00FC53F1" w:rsidRDefault="001F186E" w:rsidP="003E3904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E3904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הנתבעת</w:t>
                </w:r>
              </w:sdtContent>
            </w:sdt>
          </w:p>
        </w:tc>
        <w:tc>
          <w:tcPr>
            <w:tcW w:w="6118" w:type="dxa"/>
          </w:tcPr>
          <w:p w:rsidR="006816EC" w:rsidRPr="00FC53F1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="006816EC" w:rsidRPr="00FC53F1" w:rsidRDefault="001F186E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7023E1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יובל אלון פרוייקטים בנדל"ן</w:t>
                </w:r>
                <w:r w:rsidR="00D36A71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 xml:space="preserve"> בע"מ</w:t>
                </w:r>
                <w:r w:rsidR="007023E1" w:rsidRPr="00FC53F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, ח"פ 51-3013359</w:t>
                </w:r>
                <w:r w:rsidR="00B3745C" w:rsidRPr="00FC53F1">
                  <w:rPr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br/>
                </w:r>
                <w:r w:rsidR="00B3745C" w:rsidRPr="00FC53F1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ע"י ב"כ עו"ד גיא אטיאס</w:t>
                </w:r>
              </w:sdtContent>
            </w:sdt>
          </w:p>
        </w:tc>
      </w:tr>
      <w:tr w:rsidR="00D36A71" w:rsidRPr="00FC53F1" w:rsidTr="007023E1">
        <w:trPr>
          <w:jc w:val="center"/>
        </w:trPr>
        <w:tc>
          <w:tcPr>
            <w:tcW w:w="9367" w:type="dxa"/>
            <w:gridSpan w:val="3"/>
          </w:tcPr>
          <w:p w:rsidR="00D36A71" w:rsidRPr="00FC53F1" w:rsidRDefault="00D36A71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</w:tc>
      </w:tr>
    </w:tbl>
    <w:p w:rsidR="006816EC" w:rsidRPr="00FC53F1" w:rsidRDefault="006816EC" w:rsidP="003823DA">
      <w:pPr>
        <w:suppressLineNumbers/>
        <w:rPr>
          <w:spacing w:val="10"/>
          <w:rtl/>
        </w:rPr>
      </w:pPr>
    </w:p>
    <w:p w:rsidR="003D266F" w:rsidRPr="00FC53F1" w:rsidRDefault="003D266F" w:rsidP="003823DA">
      <w:pPr>
        <w:suppressLineNumbers/>
        <w:rPr>
          <w:spacing w:val="10"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 w:rsidRPr="00FC53F1">
        <w:trPr>
          <w:jc w:val="center"/>
        </w:trPr>
        <w:tc>
          <w:tcPr>
            <w:tcW w:w="8820" w:type="dxa"/>
          </w:tcPr>
          <w:p w:rsidR="00694556" w:rsidRPr="00FC53F1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</w:rPr>
            </w:pPr>
            <w:r w:rsidRPr="00FC53F1"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  <w:rtl/>
              </w:rPr>
              <w:t>פסק דין</w:t>
            </w:r>
          </w:p>
        </w:tc>
      </w:tr>
    </w:tbl>
    <w:p w:rsidR="00694556" w:rsidRPr="00FC53F1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="0077212C" w:rsidRPr="00FC53F1" w:rsidRDefault="00B3745C" w:rsidP="00173BF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1.</w:t>
      </w:r>
      <w:r w:rsidRPr="00FC53F1">
        <w:rPr>
          <w:rFonts w:ascii="Arial" w:hAnsi="Arial" w:cs="FrankRuehl"/>
          <w:noProof w:val="0"/>
          <w:spacing w:val="10"/>
          <w:sz w:val="28"/>
          <w:szCs w:val="28"/>
          <w:rtl/>
        </w:rPr>
        <w:tab/>
      </w:r>
      <w:r w:rsidR="000657E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ביום 16.11.2016 הזמינה הנתבעת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, העוסקת בביצוע פרויקטים בנדל"ן,  </w:t>
      </w:r>
      <w:r w:rsidR="000657E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מהתובעת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, שהינה  חברה העוסקת בעבודות מסגרות ורתכות,  </w:t>
      </w:r>
      <w:r w:rsidR="000657E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מעקה מברזל ל</w:t>
      </w:r>
      <w:r w:rsidR="003D266F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התקנה ב</w:t>
      </w:r>
      <w:r w:rsidR="000657E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בית פרטי בעלות 27,284 ₪. משלא שילמה הנתבעת עבור המעקה</w:t>
      </w:r>
      <w:r w:rsidR="003D266F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כפי שסוכם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, הגישה נגדה התובעת את התביעה הנוכחית בסדר דין מהיר. </w:t>
      </w:r>
    </w:p>
    <w:p w:rsidR="0077212C" w:rsidRPr="00FC53F1" w:rsidRDefault="0077212C" w:rsidP="000657EE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694556" w:rsidRPr="00FC53F1" w:rsidRDefault="0077212C" w:rsidP="00173BF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2.</w:t>
      </w:r>
      <w:r w:rsidRPr="00FC53F1">
        <w:rPr>
          <w:rFonts w:ascii="Arial" w:hAnsi="Arial" w:cs="FrankRuehl"/>
          <w:noProof w:val="0"/>
          <w:spacing w:val="10"/>
          <w:sz w:val="28"/>
          <w:szCs w:val="28"/>
          <w:rtl/>
        </w:rPr>
        <w:tab/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בכתב התביעה נטען כי התובעת פעלה בהתאם להסכם ויצרה את המעקה </w:t>
      </w:r>
      <w:r w:rsidR="000A49AA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שהוכן במידות מיוחדות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 הובילה אותו והחלה בהתקנתו. תוך כדי ההתקנה</w:t>
      </w:r>
      <w:r w:rsidR="000A49AA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ביקשה הנתבעת להשתמש </w:t>
      </w:r>
      <w:r w:rsidR="000A49AA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בחומר אחר,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סירבה להמשיך את ההתקנה ודרשה מהתובעת להפסיק את העבודה. חרף דרישות התובעת לתשלום עבור המעקה</w:t>
      </w:r>
      <w:r w:rsidR="000A49AA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הנתבעת לא שילמה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את התמורה המוסכמת. </w:t>
      </w:r>
      <w:r w:rsidR="00C67272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.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כעבור כחודשיים השאירה</w:t>
      </w:r>
      <w:r w:rsidR="00C67272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הנתבעת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את המעקה</w:t>
      </w:r>
      <w:r w:rsidR="00C67272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בפתח מקום עבודתה של התובעת ו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לא שילמה 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אף</w:t>
      </w:r>
      <w:r w:rsidR="00C67272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לאחר מכן.</w:t>
      </w:r>
      <w:r w:rsidR="00603E10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התובעת צירפה 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לכתב התביעה </w:t>
      </w:r>
      <w:r w:rsidR="00603E10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העתקי מסמכי הזמנה, חשבונית עיסקה</w:t>
      </w:r>
      <w:r w:rsidR="0030470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 אישורי של</w:t>
      </w:r>
      <w:r w:rsidR="00C67272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יחת דואר ופקסים</w:t>
      </w:r>
      <w:r w:rsidR="00603E10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ותצהיר של נציג התובעת, פיסו חנניה.</w:t>
      </w:r>
    </w:p>
    <w:p w:rsidR="00603E10" w:rsidRPr="00FC53F1" w:rsidRDefault="00603E10" w:rsidP="0077212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603E10" w:rsidRPr="00FC53F1" w:rsidRDefault="00603E10" w:rsidP="00173BF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3.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  <w:t>בכתב ההגנה הנ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ת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בעת הודתה כי הזמינה את המעקה מהתובעת</w:t>
      </w:r>
      <w:r w:rsidR="006872F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אולם לטענתה  </w:t>
      </w:r>
      <w:r w:rsidR="006872F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המעקה שהוכן היה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לא תקין ולפיכך מנהל העבודה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, איברהים ריזק (להלן: </w:t>
      </w:r>
      <w:r w:rsidR="006C59B5" w:rsidRPr="00FC53F1">
        <w:rPr>
          <w:rFonts w:ascii="Arial" w:hAnsi="Arial" w:cs="Miriam" w:hint="cs"/>
          <w:noProof w:val="0"/>
          <w:spacing w:val="10"/>
          <w:rtl/>
        </w:rPr>
        <w:t>איברהים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)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מטעם הנתבעת דרש להחליפו. בעק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בות התעקשות נציג התובעת כי לאחר ההתקנה לא ייראו הליקויים, אישר איברהים להתקין חלק מהמעקה. </w:t>
      </w:r>
      <w:r w:rsidR="006872F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לאחר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שההתקנה בוצעה בצורה לקויה</w:t>
      </w:r>
      <w:r w:rsidR="006872F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lastRenderedPageBreak/>
        <w:t xml:space="preserve">דרש איברהים להוריד חלק זה ולהחזיר את המעקה לייצור מחדש או </w:t>
      </w:r>
      <w:r w:rsidR="006872FE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לתיקון, אולם</w:t>
      </w:r>
      <w:r w:rsidR="006C59B5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נציגי התובעת השאירו את המעקה בשטח. לאחר כחודש וחצי הזמינה הנתבעת הובלה והחזירה את המעקה לתובעת בתיאום עמה. 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לכתב ההגנה </w:t>
      </w:r>
      <w:r w:rsidR="00EE1238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הנתבעת צירפה תצלומים של המעקה. </w:t>
      </w:r>
    </w:p>
    <w:p w:rsidR="00B612D3" w:rsidRPr="00FC53F1" w:rsidRDefault="00B612D3" w:rsidP="006C59B5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B612D3" w:rsidRPr="00FC53F1" w:rsidRDefault="00B612D3" w:rsidP="00B612D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4.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  <w:t>באי-כוח הצדדים הסמיכוני לתת פסק דין על דרך הפשרה על-פי סעיף 79א לחוק בתי המשפט [נוסח משולב], התשמ"ד-1984 וסיכמו את טענותיהם בכתב.</w:t>
      </w:r>
    </w:p>
    <w:p w:rsidR="00B612D3" w:rsidRPr="00FC53F1" w:rsidRDefault="00B612D3" w:rsidP="00B612D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B612D3" w:rsidRPr="00FC53F1" w:rsidRDefault="00B612D3" w:rsidP="00994BE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5.</w:t>
      </w:r>
      <w:r w:rsidRPr="00FC53F1">
        <w:rPr>
          <w:rFonts w:ascii="Arial" w:hAnsi="Arial" w:cs="FrankRuehl"/>
          <w:noProof w:val="0"/>
          <w:spacing w:val="10"/>
          <w:sz w:val="28"/>
          <w:szCs w:val="28"/>
          <w:rtl/>
        </w:rPr>
        <w:tab/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בסיכומיה של התובעת הועלו הטענות הבאות: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א) הנתבעת מודה שהזמינה את המעקה, אולם </w:t>
      </w:r>
      <w:r w:rsidR="00A35C1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טוענת לליקויים במעקה. לפיכך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נטל ההוכחה רובץ לפתחה.  ב) </w:t>
      </w:r>
      <w:r w:rsidR="00A35C1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בהתאם לתקנה 6(א)(2) לתקנות הגנת הצרכן (ביטול עסקה), תשע"א-2010, </w:t>
      </w:r>
      <w:r w:rsidR="00E7323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לא ניתן לבטל הזמנה מיוחד</w:t>
      </w:r>
      <w:r w:rsidR="00A35C1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ת</w:t>
      </w:r>
      <w:r w:rsidR="00E7323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ובפרט מעקה מברזל</w:t>
      </w:r>
      <w:r w:rsidR="00A35C1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.</w:t>
      </w:r>
      <w:r w:rsidR="00E7323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 ג) הנתבעת ביטלה את ההזמנה לאחר הכנת המעקה והתקנתו בשטח.</w:t>
      </w:r>
      <w:r w:rsidR="005F1C1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הנתבעת </w:t>
      </w:r>
      <w:r w:rsidR="00A35C1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היא ש</w:t>
      </w:r>
      <w:r w:rsidR="005F1C1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פירקה את המעקה והחזירה</w:t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אותו</w:t>
      </w:r>
      <w:r w:rsidR="005F1C1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לתובעת לאחר כחודשיים.</w:t>
      </w:r>
      <w:r w:rsidR="00E7323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ד) </w:t>
      </w:r>
      <w:r w:rsidR="005F1C19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הנתבעת לא הציגה ליקויים בזמן אמת ולא צירפה חוות דעת לעניין הליקויים או עלות התיקונים.</w:t>
      </w:r>
    </w:p>
    <w:p w:rsidR="005F1C19" w:rsidRPr="00FC53F1" w:rsidRDefault="005F1C19" w:rsidP="005F1C19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5F1C19" w:rsidRPr="00FC53F1" w:rsidRDefault="005F1C19" w:rsidP="00173BF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6.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בסיכומיה של הנתבעת נטען: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א) הנתבעת הזמינה מעקה ברזל צבוע על-פי תכנית, כולל התקנתו. ב) עם הגעת המעקה</w:t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,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דרש איברהים 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להחליפו במעקה חדש</w:t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עקב ליקויים.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לאחר שהוא אישר להתקין חל</w:t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ק מהמעקה וראה שההתקנה לקויה,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דרש</w:t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איברהים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להוריד</w:t>
      </w:r>
      <w:r w:rsidR="0030470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חלק זה ולהביא מעקה תקין. 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 </w:t>
      </w:r>
      <w:r w:rsidR="0030470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ג) המצהיר מטעם התובעת לא נכח במקום ביום הבאת המעקה. 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</w:t>
      </w:r>
      <w:r w:rsidR="0030470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ד)התובעת לא הוכיחה כי פנתה לנתבעת בנושא.</w:t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 </w:t>
      </w:r>
      <w:r w:rsidR="0030470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ה)</w:t>
      </w:r>
      <w:r w:rsidR="00EE1238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הנתבעת הודיע</w:t>
      </w:r>
      <w:r w:rsidR="00994BE3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ה</w:t>
      </w:r>
      <w:r w:rsidR="00EE1238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לתובעת על אי התאמה של המעקה בהתאם לסעיף 11(3) ו-14 לחוק המכר, תשכ"ח-1968. הנתבעת החזירה את המעקה לתובעת ואין מחלוקת כי העסקה לא הושלמה.</w:t>
      </w:r>
    </w:p>
    <w:p w:rsidR="00B612D3" w:rsidRPr="00FC53F1" w:rsidRDefault="00B612D3" w:rsidP="006C59B5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46312B" w:rsidRPr="00FC53F1" w:rsidRDefault="0046312B" w:rsidP="00173BF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yellow"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7.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  <w:t xml:space="preserve">לאחר שבחנתי את כל החומר שבפניי החלטתי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u w:val="single"/>
          <w:rtl/>
        </w:rPr>
        <w:t>לקבל את התביעה בחלקה</w:t>
      </w:r>
      <w:r w:rsidR="00FD62C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. </w:t>
      </w:r>
      <w:r w:rsidR="00FD62C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  <w:t>הנני מחייב את הנתבעת לשלם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לתובעת את הסכומים הבאים:</w:t>
      </w:r>
    </w:p>
    <w:p w:rsidR="00502E3B" w:rsidRPr="00FC53F1" w:rsidRDefault="0046312B" w:rsidP="00173BFC">
      <w:pPr>
        <w:tabs>
          <w:tab w:val="left" w:pos="992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(א)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  <w:t>9,000 ₪ בצירוף הפרשי הצמדה למדד וריבית כחוק החל ממועד הגשת כתב  התביעה, 10.9.2017, ועד לתשלום המלא בפועל;</w:t>
      </w:r>
    </w:p>
    <w:p w:rsidR="00502E3B" w:rsidRPr="00FC53F1" w:rsidRDefault="0046312B" w:rsidP="00173BFC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lastRenderedPageBreak/>
        <w:t xml:space="preserve">(ב) 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ab/>
      </w:r>
      <w:r w:rsidR="00173BFC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>מחצית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אגרת התביעה בצירוף הפרשי הצמדה למדד וריבית כחוק החל ממועד הגשת כתב התביעה ועד לתשלום המלא בפועל; </w:t>
      </w:r>
    </w:p>
    <w:p w:rsidR="0046312B" w:rsidRPr="00FC53F1" w:rsidRDefault="0046312B" w:rsidP="0046312B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(ג)   </w:t>
      </w:r>
      <w:r w:rsidR="00502E3B"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   שכר טרחת עורך דין בסך 1,200</w:t>
      </w:r>
      <w:r w:rsidRPr="00FC53F1">
        <w:rPr>
          <w:rFonts w:ascii="Arial" w:hAnsi="Arial" w:cs="FrankRuehl" w:hint="cs"/>
          <w:noProof w:val="0"/>
          <w:spacing w:val="10"/>
          <w:sz w:val="28"/>
          <w:szCs w:val="28"/>
          <w:rtl/>
        </w:rPr>
        <w:t xml:space="preserve"> ₪ בצירוף הפרשי הצמדה למדד וריבית כחוק החל מהיום ועד לתשלום המלא בפועל.</w:t>
      </w:r>
    </w:p>
    <w:p w:rsidR="00694556" w:rsidRPr="00FC53F1" w:rsidRDefault="00694556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="00694556" w:rsidRPr="00FC53F1" w:rsidRDefault="00005C8B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FC53F1">
        <w:rPr>
          <w:rFonts w:ascii="Arial" w:hAnsi="Arial" w:cs="FrankRuehl"/>
          <w:noProof w:val="0"/>
          <w:spacing w:val="10"/>
          <w:sz w:val="28"/>
          <w:szCs w:val="28"/>
          <w:rtl/>
        </w:rPr>
        <w:t xml:space="preserve">ניתן היום,  </w:t>
      </w:r>
      <w:sdt>
        <w:sdtPr>
          <w:rPr>
            <w:rFonts w:cs="FrankRuehl"/>
            <w:spacing w:val="10"/>
            <w:sz w:val="28"/>
            <w:szCs w:val="28"/>
            <w:rtl/>
          </w:rPr>
          <w:alias w:val="1455"/>
          <w:tag w:val="1455"/>
          <w:id w:val="242217728"/>
          <w:text w:multiLine="1"/>
        </w:sdtPr>
        <w:sdtEndPr/>
        <w:sdtContent>
          <w:r w:rsidRPr="00FC53F1">
            <w:rPr>
              <w:rFonts w:ascii="Arial" w:hAnsi="Arial" w:cs="FrankRuehl"/>
              <w:noProof w:val="0"/>
              <w:spacing w:val="10"/>
              <w:sz w:val="28"/>
              <w:szCs w:val="28"/>
              <w:rtl/>
            </w:rPr>
            <w:t>כ"ז ניסן תשע"ח</w:t>
          </w:r>
        </w:sdtContent>
      </w:sdt>
      <w:r w:rsidRPr="00FC53F1">
        <w:rPr>
          <w:rFonts w:ascii="Arial" w:hAnsi="Arial" w:cs="FrankRuehl"/>
          <w:noProof w:val="0"/>
          <w:spacing w:val="10"/>
          <w:sz w:val="28"/>
          <w:szCs w:val="28"/>
          <w:rtl/>
        </w:rPr>
        <w:t xml:space="preserve">, </w:t>
      </w:r>
      <w:sdt>
        <w:sdtPr>
          <w:rPr>
            <w:rFonts w:cs="FrankRuehl"/>
            <w:spacing w:val="10"/>
            <w:sz w:val="28"/>
            <w:szCs w:val="28"/>
            <w:rtl/>
          </w:rPr>
          <w:alias w:val="1456"/>
          <w:tag w:val="1456"/>
          <w:id w:val="-1101635932"/>
          <w:text w:multiLine="1"/>
        </w:sdtPr>
        <w:sdtEndPr/>
        <w:sdtContent>
          <w:r w:rsidRPr="00FC53F1">
            <w:rPr>
              <w:rFonts w:ascii="Arial" w:hAnsi="Arial" w:cs="FrankRuehl"/>
              <w:noProof w:val="0"/>
              <w:spacing w:val="10"/>
              <w:sz w:val="28"/>
              <w:szCs w:val="28"/>
              <w:rtl/>
            </w:rPr>
            <w:t>12 אפריל 2018</w:t>
          </w:r>
        </w:sdtContent>
      </w:sdt>
      <w:r w:rsidRPr="00FC53F1">
        <w:rPr>
          <w:rFonts w:ascii="Arial" w:hAnsi="Arial" w:cs="FrankRuehl"/>
          <w:noProof w:val="0"/>
          <w:spacing w:val="10"/>
          <w:sz w:val="28"/>
          <w:szCs w:val="28"/>
          <w:rtl/>
        </w:rPr>
        <w:t>, בהעדר הצדדים.</w:t>
      </w:r>
    </w:p>
    <w:p w:rsidR="005B0F49" w:rsidRPr="00FC53F1" w:rsidRDefault="005B0F49" w:rsidP="00633C4F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  <w:r w:rsidRPr="00FC53F1">
        <w:rPr>
          <w:rFonts w:ascii="Arial" w:hAnsi="Arial" w:hint="cs"/>
          <w:noProof w:val="0"/>
          <w:spacing w:val="10"/>
          <w:rtl/>
        </w:rPr>
        <w:tab/>
      </w:r>
      <w:r w:rsidRPr="00FC53F1">
        <w:rPr>
          <w:rFonts w:ascii="Arial" w:hAnsi="Arial" w:hint="cs"/>
          <w:noProof w:val="0"/>
          <w:spacing w:val="10"/>
          <w:rtl/>
        </w:rPr>
        <w:tab/>
      </w:r>
      <w:r w:rsidRPr="00FC53F1">
        <w:rPr>
          <w:rFonts w:ascii="Arial" w:hAnsi="Arial" w:hint="cs"/>
          <w:noProof w:val="0"/>
          <w:spacing w:val="10"/>
          <w:rtl/>
        </w:rPr>
        <w:tab/>
      </w:r>
      <w:r w:rsidRPr="00FC53F1">
        <w:rPr>
          <w:rFonts w:ascii="Arial" w:hAnsi="Arial" w:hint="cs"/>
          <w:noProof w:val="0"/>
          <w:spacing w:val="10"/>
          <w:rtl/>
        </w:rPr>
        <w:tab/>
      </w:r>
      <w:r w:rsidRPr="00FC53F1">
        <w:rPr>
          <w:rFonts w:ascii="Arial" w:hAnsi="Arial" w:hint="cs"/>
          <w:noProof w:val="0"/>
          <w:spacing w:val="10"/>
          <w:rtl/>
        </w:rPr>
        <w:tab/>
      </w:r>
      <w:r w:rsidR="00633C4F" w:rsidRPr="00FC53F1">
        <w:rPr>
          <w:rFonts w:ascii="Arial" w:hAnsi="Arial"/>
          <w:noProof w:val="0"/>
          <w:spacing w:val="10"/>
          <w:rtl/>
        </w:rPr>
        <w:tab/>
      </w:r>
      <w:sdt>
        <w:sdtPr>
          <w:rPr>
            <w:rFonts w:ascii="Arial" w:hAnsi="Arial" w:hint="cs"/>
            <w:noProof w:val="0"/>
            <w:spacing w:val="1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 w:rsidRPr="00FC53F1">
        <w:rPr>
          <w:rFonts w:ascii="Arial" w:hAnsi="Arial" w:hint="cs"/>
          <w:noProof w:val="0"/>
          <w:spacing w:val="10"/>
          <w:rtl/>
        </w:rPr>
        <w:tab/>
      </w:r>
      <w:r w:rsidRPr="00FC53F1">
        <w:rPr>
          <w:rFonts w:ascii="Arial" w:hAnsi="Arial" w:hint="cs"/>
          <w:noProof w:val="0"/>
          <w:spacing w:val="10"/>
          <w:rtl/>
        </w:rPr>
        <w:tab/>
      </w:r>
      <w:r w:rsidR="00633C4F" w:rsidRPr="00FC53F1">
        <w:rPr>
          <w:rFonts w:ascii="Arial" w:hAnsi="Arial"/>
          <w:noProof w:val="0"/>
          <w:spacing w:val="10"/>
          <w:rtl/>
        </w:rPr>
        <w:t xml:space="preserve"> </w:t>
      </w:r>
    </w:p>
    <w:p w:rsidR="00694556" w:rsidRPr="00FC53F1" w:rsidRDefault="001F186E" w:rsidP="00633C4F">
      <w:pPr>
        <w:spacing w:line="360" w:lineRule="auto"/>
        <w:ind w:left="3600" w:firstLine="720"/>
      </w:pPr>
      <w:sdt>
        <w:sdtPr>
          <w:rPr>
            <w:rtl/>
          </w:rPr>
          <w:alias w:val="MergeField"/>
          <w:tag w:val="1237"/>
          <w:id w:val="1441179589"/>
        </w:sdtPr>
        <w:sdtEndPr/>
        <w:sdtContent>
          <w:r w:rsidRPr="00FC53F1">
            <w:drawing>
              <wp:inline distT="0" distB="0" distL="0" distR="0" wp14:editId="50D07946">
                <wp:extent cx="13716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Pr="00FC53F1" w:rsidRDefault="00694556" w:rsidP="00633C4F">
      <w:pPr>
        <w:spacing w:line="360" w:lineRule="auto"/>
        <w:ind w:left="3600" w:firstLine="720"/>
        <w:rPr>
          <w:rFonts w:ascii="Arial" w:hAnsi="Arial"/>
          <w:noProof w:val="0"/>
          <w:spacing w:val="10"/>
          <w:rtl/>
        </w:rPr>
      </w:pPr>
    </w:p>
    <w:p w:rsidR="00694556" w:rsidRPr="00FC53F1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="00694556" w:rsidRPr="00FC53F1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sectPr w:rsidR="00694556" w:rsidRPr="00FC53F1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3F1" w:rsidRDefault="00FC53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F186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F186E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3F1" w:rsidRDefault="00FC53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3F1" w:rsidRDefault="00FC53F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53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F186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19887-09-17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פיסו חן מתכת ושרותי כח אדם בע"מ נ' יובל אלון (פרוייקטים בנדל"ן)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3F1" w:rsidRDefault="00FC53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813487"/>
    <w:docVar w:name="CourtID" w:val="26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4813487&amp;lt;/CaseID&amp;gt;_x000d__x000a_        &amp;lt;DocumentID&amp;gt;265878757&amp;lt;/DocumentID&amp;gt;_x000d__x000a_      &amp;lt;/dt_DocumentCase&amp;gt;_x000d__x000a_      &amp;lt;dt_Document diffgr:id=&amp;quot;dt_Document1&amp;quot; msdata:rowOrder=&amp;quot;0&amp;quot;&amp;gt;_x000d__x000a_        &amp;lt;DocumentID&amp;gt;265878757&amp;lt;/DocumentID&amp;gt;_x000d__x000a_        &amp;lt;DocumentMainID&amp;gt;0&amp;lt;/DocumentMainID&amp;gt;_x000d__x000a_        &amp;lt;CaseID&amp;gt;74813487&amp;lt;/CaseID&amp;gt;_x000d__x000a_        &amp;lt;DocumentIncludedDate&amp;gt;2018-04-12T14:50:23.11+03:00&amp;lt;/DocumentIncludedDate&amp;gt;_x000d__x000a_        &amp;lt;DocumentDesc&amp;gt;פסק דין  שניתנה ע&amp;quot;י  אורי גולדקורן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3&amp;lt;/DocumentTypeID&amp;gt;_x000d__x000a_        &amp;lt;DocumentSavingDate&amp;gt;2018-04-12T14:50:23.11+03:00&amp;lt;/DocumentSavingDate&amp;gt;_x000d__x000a_        &amp;lt;DocumentChangeDate&amp;gt;2018-04-12T14:50:23.37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4:50:23.377+03:00&amp;lt;/DocumentStatusChangeDate&amp;gt;_x000d__x000a_        &amp;lt;TemplateVersionID&amp;gt;1&amp;lt;/TemplateVersionID&amp;gt;_x000d__x000a_        &amp;lt;DocumentChangeUserID&amp;gt;053919924@GOV.IL&amp;lt;/DocumentChangeUserID&amp;gt;_x000d__x000a_        &amp;lt;DocumentCreationUserID&amp;gt;053919924@GOV.IL&amp;lt;/DocumentCreationUserID&amp;gt;_x000d__x000a_        &amp;lt;OriginalDocumentID&amp;gt;265823211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c93db1b962010000090037f6941160bf&amp;lt;/FileID&amp;gt;_x000d__x000a_        &amp;lt;URL&amp;gt;\\CTLNFSV02\doc_repository\430\393\f89d48aa85444333a7a5dfe511edc2ee_copy.docx&amp;lt;/URL&amp;gt;_x000d__x000a_        &amp;lt;OlivePriority&amp;gt;1&amp;lt;/OlivePriority&amp;gt;_x000d__x000a_        &amp;lt;MetaDataTypeID&amp;gt;1&amp;lt;/MetaDataTypeID&amp;gt;_x000d__x000a_        &amp;lt;MetaDataChangeDate&amp;gt;2018-04-12T14:50:23.37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2&amp;amp;lt;/anyType&amp;amp;gt;_x000d__x000a_    &amp;amp;lt;anyType xsi:type=&amp;quot;xsd:string&amp;quot;&amp;amp;gt;1&amp;amp;lt;/anyType&amp;amp;gt;_x000d__x000a_    &amp;amp;lt;anyType xsi:type=&amp;quot;xsd:string&amp;quot;&amp;amp;gt;אורי גולדקורן&amp;amp;lt;/anyType&amp;amp;gt;_x000d__x000a_    &amp;amp;lt;anyType xsi:type=&amp;quot;xsd:dateTime&amp;quot;&amp;amp;gt;2018-04-12T14:49:33.246521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4:49:33.24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46C2"/>
    <w:rsid w:val="00016C35"/>
    <w:rsid w:val="000258FD"/>
    <w:rsid w:val="000564AB"/>
    <w:rsid w:val="000657EE"/>
    <w:rsid w:val="000A49AA"/>
    <w:rsid w:val="000D055F"/>
    <w:rsid w:val="000D4A02"/>
    <w:rsid w:val="001072A9"/>
    <w:rsid w:val="00121F97"/>
    <w:rsid w:val="001277D7"/>
    <w:rsid w:val="00132017"/>
    <w:rsid w:val="0014234E"/>
    <w:rsid w:val="00145A87"/>
    <w:rsid w:val="00173BFC"/>
    <w:rsid w:val="001C4003"/>
    <w:rsid w:val="001E276F"/>
    <w:rsid w:val="001F186E"/>
    <w:rsid w:val="001F5474"/>
    <w:rsid w:val="002352F7"/>
    <w:rsid w:val="00246E4B"/>
    <w:rsid w:val="0027138A"/>
    <w:rsid w:val="00296114"/>
    <w:rsid w:val="002E4336"/>
    <w:rsid w:val="0030470C"/>
    <w:rsid w:val="00345374"/>
    <w:rsid w:val="00381D3A"/>
    <w:rsid w:val="003823DA"/>
    <w:rsid w:val="003D266F"/>
    <w:rsid w:val="003E3904"/>
    <w:rsid w:val="0043595F"/>
    <w:rsid w:val="00454DB4"/>
    <w:rsid w:val="0046312B"/>
    <w:rsid w:val="0047645A"/>
    <w:rsid w:val="004D49A3"/>
    <w:rsid w:val="004D7DDD"/>
    <w:rsid w:val="004E6E3C"/>
    <w:rsid w:val="00502E3B"/>
    <w:rsid w:val="005124F1"/>
    <w:rsid w:val="00530BAD"/>
    <w:rsid w:val="00541598"/>
    <w:rsid w:val="00547DB7"/>
    <w:rsid w:val="00567324"/>
    <w:rsid w:val="00574D6B"/>
    <w:rsid w:val="00587DE0"/>
    <w:rsid w:val="005B0F49"/>
    <w:rsid w:val="005C7EC6"/>
    <w:rsid w:val="005D4BDB"/>
    <w:rsid w:val="005F1C19"/>
    <w:rsid w:val="00603E10"/>
    <w:rsid w:val="00622BAA"/>
    <w:rsid w:val="00625C89"/>
    <w:rsid w:val="00633C4F"/>
    <w:rsid w:val="00671BD5"/>
    <w:rsid w:val="006805C1"/>
    <w:rsid w:val="006816EC"/>
    <w:rsid w:val="006872FE"/>
    <w:rsid w:val="00694556"/>
    <w:rsid w:val="006C59B5"/>
    <w:rsid w:val="006E1A53"/>
    <w:rsid w:val="007023E1"/>
    <w:rsid w:val="007056AA"/>
    <w:rsid w:val="00744F41"/>
    <w:rsid w:val="0077212C"/>
    <w:rsid w:val="007A24FE"/>
    <w:rsid w:val="007A35AA"/>
    <w:rsid w:val="007F1048"/>
    <w:rsid w:val="00820005"/>
    <w:rsid w:val="00846D27"/>
    <w:rsid w:val="008610A7"/>
    <w:rsid w:val="008859B2"/>
    <w:rsid w:val="008E1332"/>
    <w:rsid w:val="00903896"/>
    <w:rsid w:val="00927813"/>
    <w:rsid w:val="00944D13"/>
    <w:rsid w:val="00956AF1"/>
    <w:rsid w:val="00957C90"/>
    <w:rsid w:val="00961072"/>
    <w:rsid w:val="00994BE3"/>
    <w:rsid w:val="009C4F90"/>
    <w:rsid w:val="009E0263"/>
    <w:rsid w:val="00A267CF"/>
    <w:rsid w:val="00A35C13"/>
    <w:rsid w:val="00A43458"/>
    <w:rsid w:val="00A8438D"/>
    <w:rsid w:val="00AC4E19"/>
    <w:rsid w:val="00AF1ED6"/>
    <w:rsid w:val="00B32C61"/>
    <w:rsid w:val="00B366E0"/>
    <w:rsid w:val="00B368FE"/>
    <w:rsid w:val="00B3745C"/>
    <w:rsid w:val="00B612D3"/>
    <w:rsid w:val="00B63457"/>
    <w:rsid w:val="00B80CBD"/>
    <w:rsid w:val="00BC3369"/>
    <w:rsid w:val="00BF77EE"/>
    <w:rsid w:val="00C04E65"/>
    <w:rsid w:val="00C32E0F"/>
    <w:rsid w:val="00C42BF9"/>
    <w:rsid w:val="00C67272"/>
    <w:rsid w:val="00C83E56"/>
    <w:rsid w:val="00CA63BA"/>
    <w:rsid w:val="00CC4CDA"/>
    <w:rsid w:val="00CD318D"/>
    <w:rsid w:val="00D07967"/>
    <w:rsid w:val="00D319B3"/>
    <w:rsid w:val="00D36A71"/>
    <w:rsid w:val="00D44A0D"/>
    <w:rsid w:val="00D53924"/>
    <w:rsid w:val="00D60849"/>
    <w:rsid w:val="00D67066"/>
    <w:rsid w:val="00D96D8C"/>
    <w:rsid w:val="00DA755B"/>
    <w:rsid w:val="00DD337E"/>
    <w:rsid w:val="00E00B6F"/>
    <w:rsid w:val="00E54642"/>
    <w:rsid w:val="00E653EE"/>
    <w:rsid w:val="00E73239"/>
    <w:rsid w:val="00E97908"/>
    <w:rsid w:val="00EE1238"/>
    <w:rsid w:val="00EF3ED0"/>
    <w:rsid w:val="00EF4F69"/>
    <w:rsid w:val="00F17E56"/>
    <w:rsid w:val="00F60442"/>
    <w:rsid w:val="00FC53F1"/>
    <w:rsid w:val="00FD62CC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672D0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516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96</cp:revision>
  <dcterms:created xsi:type="dcterms:W3CDTF">2012-08-05T21:29:00Z</dcterms:created>
  <dcterms:modified xsi:type="dcterms:W3CDTF">2018-04-12T11:50:00Z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