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אפרים צ'יזיק</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D5190" w:rsidP="00FE6D15" w:rsidRDefault="0020206E">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20206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מיכאל אלנקוה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0206E">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20206E">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איילון חברה לביטוח בע"מ</w:t>
                </w:r>
              </w:sdtContent>
            </w:sdt>
          </w:p>
          <w:p w:rsidR="0094424E" w:rsidP="00D44968" w:rsidRDefault="0020206E">
            <w:pPr>
              <w:suppressLineNumbers/>
              <w:rPr>
                <w:rtl/>
              </w:rPr>
            </w:pPr>
            <w:sdt>
              <w:sdtPr>
                <w:rPr>
                  <w:rtl/>
                </w:rPr>
                <w:alias w:val="1571"/>
                <w:tag w:val="1571"/>
                <w:id w:val="191711693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581952118"/>
                <w:text w:multiLine="1"/>
              </w:sdtPr>
              <w:sdtEndPr/>
              <w:sdtContent>
                <w:r w:rsidR="00CF6BB7">
                  <w:rPr>
                    <w:rFonts w:ascii="Arial" w:hAnsi="Arial"/>
                    <w:b/>
                    <w:bCs/>
                    <w:noProof w:val="0"/>
                    <w:sz w:val="26"/>
                    <w:szCs w:val="26"/>
                    <w:rtl/>
                  </w:rPr>
                  <w:t>קבוצת ש.ניר מערכות ביטחון מתחזוקה וניקיון בע"מ</w:t>
                </w:r>
              </w:sdtContent>
            </w:sdt>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3D5190" w:rsidRDefault="003D5190">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3D5190" w:rsidRDefault="003D5190">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00694556" w:rsidRDefault="00FE6D15">
      <w:pPr>
        <w:spacing w:line="360" w:lineRule="auto"/>
        <w:jc w:val="both"/>
        <w:rPr>
          <w:rFonts w:ascii="Arial" w:hAnsi="Arial"/>
          <w:noProof w:val="0"/>
          <w:rtl/>
        </w:rPr>
      </w:pPr>
      <w:r>
        <w:rPr>
          <w:rFonts w:hint="cs" w:ascii="Arial" w:hAnsi="Arial"/>
          <w:noProof w:val="0"/>
          <w:rtl/>
        </w:rPr>
        <w:t xml:space="preserve">במסגרת ההליכים בתובענה זאת, תובענה לפי חוק פיצויים לנפגעי תאונות דרכים תשל"ה 1975, מונה מומחה רפואי בתחום הפסיכיאטרי, ד"ר עמיקם טל, אולם בטרם נבדק, התקבלה קביעה סופית וחלוטה של שיעור הנכות במישור הפסיכיאטרי, על ידי המוסד לביטוח לאומי. </w:t>
      </w:r>
    </w:p>
    <w:p w:rsidR="00FE6D15" w:rsidRDefault="00FE6D15">
      <w:pPr>
        <w:spacing w:line="360" w:lineRule="auto"/>
        <w:jc w:val="both"/>
        <w:rPr>
          <w:rFonts w:ascii="Arial" w:hAnsi="Arial"/>
          <w:noProof w:val="0"/>
          <w:rtl/>
        </w:rPr>
      </w:pPr>
    </w:p>
    <w:p w:rsidR="00FE6D15" w:rsidRDefault="00FE6D15">
      <w:pPr>
        <w:spacing w:line="360" w:lineRule="auto"/>
        <w:jc w:val="both"/>
        <w:rPr>
          <w:rFonts w:ascii="Arial" w:hAnsi="Arial"/>
          <w:noProof w:val="0"/>
          <w:rtl/>
        </w:rPr>
      </w:pPr>
      <w:r>
        <w:rPr>
          <w:rFonts w:hint="cs" w:ascii="Arial" w:hAnsi="Arial"/>
          <w:noProof w:val="0"/>
          <w:rtl/>
        </w:rPr>
        <w:t xml:space="preserve">לאור קביעת נכות על פי דין, כמשמעותה בסעיף 6 ב' לחוק, אין צורך בהשלמת חוות הדעת בתחום הפסיכיאטרית, ויש לראות בקביעת המל"ל כמחייבת וחלה בהקשר זה. </w:t>
      </w:r>
    </w:p>
    <w:p w:rsidR="00FE6D15" w:rsidRDefault="00FE6D15">
      <w:pPr>
        <w:spacing w:line="360" w:lineRule="auto"/>
        <w:jc w:val="both"/>
        <w:rPr>
          <w:rFonts w:ascii="Arial" w:hAnsi="Arial"/>
          <w:noProof w:val="0"/>
          <w:rtl/>
        </w:rPr>
      </w:pPr>
    </w:p>
    <w:p w:rsidR="00FE6D15" w:rsidRDefault="00FE6D15">
      <w:pPr>
        <w:spacing w:line="360" w:lineRule="auto"/>
        <w:jc w:val="both"/>
        <w:rPr>
          <w:rFonts w:hint="cs" w:ascii="Arial" w:hAnsi="Arial"/>
          <w:noProof w:val="0"/>
          <w:rtl/>
        </w:rPr>
      </w:pPr>
      <w:r>
        <w:rPr>
          <w:rFonts w:hint="cs" w:ascii="Arial" w:hAnsi="Arial"/>
          <w:noProof w:val="0"/>
          <w:rtl/>
        </w:rPr>
        <w:t>הצדדים יגישו תחשיבי נזק מטעמם</w:t>
      </w:r>
      <w:r w:rsidR="00747C8B">
        <w:rPr>
          <w:rFonts w:hint="cs" w:ascii="Arial" w:hAnsi="Arial"/>
          <w:noProof w:val="0"/>
          <w:rtl/>
        </w:rPr>
        <w:t xml:space="preserve">: </w:t>
      </w:r>
    </w:p>
    <w:p w:rsidR="00747C8B" w:rsidRDefault="00747C8B">
      <w:pPr>
        <w:spacing w:line="360" w:lineRule="auto"/>
        <w:jc w:val="both"/>
        <w:rPr>
          <w:rFonts w:ascii="Arial" w:hAnsi="Arial"/>
          <w:noProof w:val="0"/>
          <w:rtl/>
        </w:rPr>
      </w:pPr>
      <w:r>
        <w:rPr>
          <w:rFonts w:hint="cs" w:ascii="Arial" w:hAnsi="Arial"/>
          <w:noProof w:val="0"/>
          <w:rtl/>
        </w:rPr>
        <w:t xml:space="preserve">התובע עד ליום 15.5.2018, הנתבעים עד ליום 15.6.2018. </w:t>
      </w:r>
    </w:p>
    <w:p w:rsidR="00747C8B" w:rsidRDefault="00747C8B">
      <w:pPr>
        <w:spacing w:line="360" w:lineRule="auto"/>
        <w:jc w:val="both"/>
        <w:rPr>
          <w:rFonts w:ascii="Arial" w:hAnsi="Arial"/>
          <w:noProof w:val="0"/>
          <w:rtl/>
        </w:rPr>
      </w:pPr>
    </w:p>
    <w:p w:rsidRPr="00DE1E7D" w:rsidR="00747C8B" w:rsidRDefault="00747C8B">
      <w:pPr>
        <w:spacing w:line="360" w:lineRule="auto"/>
        <w:jc w:val="both"/>
        <w:rPr>
          <w:rFonts w:ascii="Arial" w:hAnsi="Arial"/>
          <w:noProof w:val="0"/>
          <w:rtl/>
        </w:rPr>
      </w:pPr>
      <w:r>
        <w:rPr>
          <w:rFonts w:hint="cs" w:ascii="Arial" w:hAnsi="Arial"/>
          <w:noProof w:val="0"/>
          <w:rtl/>
        </w:rPr>
        <w:t>קדם משפט נקבע ליום 12.7.2018 שעה 09:00</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0206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001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c5bec5a36144fbb" cstate="print">
                            <a:extLst>
                              <a:ext uri="{28A0092B-C50C-407E-A947-70E740481C1C}"/>
                            </a:extLst>
                          </a:blip>
                          <a:stretch>
                            <a:fillRect/>
                          </a:stretch>
                        </pic:blipFill>
                        <pic:spPr>
                          <a:xfrm>
                            <a:off x="0" y="0"/>
                            <a:ext cx="1200150" cy="8572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D15" w:rsidRDefault="00FE6D1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0206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0206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D15" w:rsidRDefault="00FE6D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D15" w:rsidRDefault="00FE6D1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E6D1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0206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51979-06-12</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אלנקוה נ' איילון חברה לביטוח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D15" w:rsidRDefault="00FE6D1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0206E"/>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D5190"/>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7C8B"/>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E6D15"/>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236B7E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c5bec5a36144fb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C7598" w:rsidP="00BC759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C7598" w:rsidP="00BC7598">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C7598"/>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759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C759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C759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130</Words>
  <Characters>653</Characters>
  <Application>Microsoft Office Word</Application>
  <DocSecurity>0</DocSecurity>
  <Lines>5</Lines>
  <Paragraphs>1</Paragraphs>
  <ScaleCrop>false</ScaleCrop>
  <Company>Microsoft Corporation</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אפרים צ'יזיק</cp:lastModifiedBy>
  <cp:revision>117</cp:revision>
  <dcterms:created xsi:type="dcterms:W3CDTF">2012-08-06T05:16:00Z</dcterms:created>
  <dcterms:modified xsi:type="dcterms:W3CDTF">2018-04-12T08:15:00Z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