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רבקה איזנברג</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032515" w:rsidRDefault="00682A81">
                <w:pPr>
                  <w:suppressLineNumbers/>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682A81">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אברהם פרץ</w:t>
                </w:r>
              </w:sdtContent>
            </w:sdt>
          </w:p>
          <w:p w:rsidR="0094424E" w:rsidP="00D44968" w:rsidRDefault="00682A81">
            <w:pPr>
              <w:suppressLineNumbers/>
              <w:rPr>
                <w:b/>
                <w:bCs/>
                <w:noProof w:val="0"/>
                <w:sz w:val="26"/>
                <w:szCs w:val="26"/>
              </w:rPr>
            </w:pPr>
            <w:sdt>
              <w:sdtPr>
                <w:rPr>
                  <w:rtl/>
                </w:rPr>
                <w:alias w:val="1462"/>
                <w:tag w:val="1462"/>
                <w:id w:val="43639666"/>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757245375"/>
                <w:text w:multiLine="1"/>
              </w:sdtPr>
              <w:sdtEndPr/>
              <w:sdtContent>
                <w:r w:rsidR="00CF6BB7">
                  <w:rPr>
                    <w:rFonts w:ascii="Arial" w:hAnsi="Arial"/>
                    <w:b/>
                    <w:bCs/>
                    <w:noProof w:val="0"/>
                    <w:sz w:val="26"/>
                    <w:szCs w:val="26"/>
                    <w:rtl/>
                  </w:rPr>
                  <w:t>ויקטוריה פרץ</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682A81">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CF6BB7" w:rsidP="00D44968" w:rsidRDefault="00CF6BB7">
            <w:pPr>
              <w:suppressLineNumbers/>
              <w:rPr>
                <w:b/>
                <w:bCs/>
                <w:noProof w:val="0"/>
                <w:sz w:val="26"/>
                <w:szCs w:val="26"/>
                <w:rtl/>
              </w:rPr>
            </w:pPr>
          </w:p>
          <w:p w:rsidR="0094424E" w:rsidP="00D44968" w:rsidRDefault="00682A81">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קל - אוטו שירותי מימון (1998) בע"מ</w:t>
                </w:r>
              </w:sdtContent>
            </w:sdt>
          </w:p>
          <w:p w:rsidR="0094424E" w:rsidP="00D44968" w:rsidRDefault="00682A81">
            <w:pPr>
              <w:suppressLineNumbers/>
              <w:rPr>
                <w:rtl/>
              </w:rPr>
            </w:pPr>
            <w:sdt>
              <w:sdtPr>
                <w:rPr>
                  <w:rtl/>
                </w:rPr>
                <w:alias w:val="1571"/>
                <w:tag w:val="1571"/>
                <w:id w:val="1379599202"/>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116212180"/>
                <w:text w:multiLine="1"/>
              </w:sdtPr>
              <w:sdtEndPr/>
              <w:sdtContent>
                <w:r w:rsidR="00CF6BB7">
                  <w:rPr>
                    <w:rFonts w:ascii="Arial" w:hAnsi="Arial"/>
                    <w:b/>
                    <w:bCs/>
                    <w:noProof w:val="0"/>
                    <w:sz w:val="26"/>
                    <w:szCs w:val="26"/>
                    <w:rtl/>
                  </w:rPr>
                  <w:t>קרן קיימת לישראל</w:t>
                </w:r>
              </w:sdtContent>
            </w:sdt>
          </w:p>
          <w:p w:rsidR="0094424E" w:rsidP="00D44968" w:rsidRDefault="00682A81">
            <w:pPr>
              <w:suppressLineNumbers/>
              <w:rPr>
                <w:rtl/>
              </w:rPr>
            </w:pPr>
            <w:sdt>
              <w:sdtPr>
                <w:rPr>
                  <w:rtl/>
                </w:rPr>
                <w:alias w:val="1571"/>
                <w:tag w:val="1571"/>
                <w:id w:val="1461079990"/>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686648301"/>
                <w:text w:multiLine="1"/>
              </w:sdtPr>
              <w:sdtEndPr/>
              <w:sdtContent>
                <w:r w:rsidR="00CF6BB7">
                  <w:rPr>
                    <w:rFonts w:ascii="Arial" w:hAnsi="Arial"/>
                    <w:b/>
                    <w:bCs/>
                    <w:noProof w:val="0"/>
                    <w:sz w:val="26"/>
                    <w:szCs w:val="26"/>
                    <w:rtl/>
                  </w:rPr>
                  <w:t>לבנה בדיני</w:t>
                </w:r>
              </w:sdtContent>
            </w:sdt>
          </w:p>
          <w:p w:rsidR="0094424E" w:rsidP="00D44968" w:rsidRDefault="00682A81">
            <w:pPr>
              <w:suppressLineNumbers/>
              <w:rPr>
                <w:rtl/>
              </w:rPr>
            </w:pPr>
            <w:sdt>
              <w:sdtPr>
                <w:rPr>
                  <w:rtl/>
                </w:rPr>
                <w:alias w:val="1571"/>
                <w:tag w:val="1571"/>
                <w:id w:val="-1668084678"/>
                <w:text w:multiLine="1"/>
              </w:sdtPr>
              <w:sdtEndPr/>
              <w:sdtContent>
                <w:r w:rsidR="00CF6BB7">
                  <w:rPr>
                    <w:rFonts w:ascii="Arial" w:hAnsi="Arial"/>
                    <w:b/>
                    <w:bCs/>
                    <w:noProof w:val="0"/>
                    <w:sz w:val="26"/>
                    <w:szCs w:val="26"/>
                    <w:rtl/>
                  </w:rPr>
                  <w:t>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939487012"/>
                <w:text w:multiLine="1"/>
              </w:sdtPr>
              <w:sdtEndPr/>
              <w:sdtContent>
                <w:r w:rsidR="00CF6BB7">
                  <w:rPr>
                    <w:rFonts w:ascii="Arial" w:hAnsi="Arial"/>
                    <w:b/>
                    <w:bCs/>
                    <w:noProof w:val="0"/>
                    <w:sz w:val="26"/>
                    <w:szCs w:val="26"/>
                    <w:rtl/>
                  </w:rPr>
                  <w:t>משה בדיני</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032515" w:rsidRDefault="00032515">
            <w:pPr>
              <w:rPr>
                <w:rFonts w:ascii="David" w:hAnsi="David" w:eastAsia="David"/>
                <w:noProof w:val="0"/>
              </w:rPr>
            </w:pPr>
          </w:p>
        </w:tc>
        <w:tc>
          <w:tcPr>
            <w:tcW w:w="5571" w:type="dxa"/>
          </w:tcPr>
          <w:p w:rsidR="00032515" w:rsidRDefault="00032515">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032515" w:rsidRDefault="00032515">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146D78" w:rsidP="00146D78" w:rsidRDefault="00146D78">
      <w:pPr>
        <w:numPr>
          <w:ilvl w:val="0"/>
          <w:numId w:val="1"/>
        </w:numPr>
        <w:spacing w:line="360" w:lineRule="auto"/>
        <w:jc w:val="both"/>
        <w:rPr>
          <w:rFonts w:hint="cs"/>
          <w:rtl/>
        </w:rPr>
      </w:pPr>
      <w:bookmarkStart w:name="NGCSBookmark" w:id="0"/>
      <w:bookmarkEnd w:id="0"/>
      <w:r>
        <w:rPr>
          <w:rFonts w:hint="cs"/>
          <w:rtl/>
        </w:rPr>
        <w:t xml:space="preserve">לפניי בקשה לביטול פסק דין שניתן בתאריך </w:t>
      </w:r>
      <w:r w:rsidRPr="00146D78">
        <w:rPr>
          <w:rFonts w:hint="cs"/>
          <w:b/>
          <w:bCs/>
          <w:rtl/>
        </w:rPr>
        <w:t>1.1.18</w:t>
      </w:r>
      <w:r>
        <w:rPr>
          <w:rFonts w:hint="cs"/>
          <w:rtl/>
        </w:rPr>
        <w:t xml:space="preserve"> בהעדר הגנה מצד הנתבעים, על פיו חויבו לשלם לתובעים סך של </w:t>
      </w:r>
      <w:r w:rsidRPr="00146D78">
        <w:rPr>
          <w:rFonts w:hint="cs"/>
          <w:b/>
          <w:bCs/>
          <w:rtl/>
        </w:rPr>
        <w:t>157,218 ₪</w:t>
      </w:r>
      <w:r>
        <w:rPr>
          <w:rFonts w:hint="cs"/>
          <w:rtl/>
        </w:rPr>
        <w:t xml:space="preserve"> בתוספת הוצאות משפט (</w:t>
      </w:r>
      <w:r w:rsidRPr="00146D78">
        <w:rPr>
          <w:rFonts w:hint="cs"/>
          <w:b/>
          <w:bCs/>
          <w:rtl/>
        </w:rPr>
        <w:t xml:space="preserve">2,965 </w:t>
      </w:r>
      <w:r>
        <w:rPr>
          <w:rFonts w:hint="cs"/>
          <w:rtl/>
        </w:rPr>
        <w:t xml:space="preserve">₪) ושכ"ט עו"ד בסך של </w:t>
      </w:r>
      <w:r w:rsidRPr="00146D78">
        <w:rPr>
          <w:rFonts w:hint="cs"/>
          <w:b/>
          <w:bCs/>
          <w:rtl/>
        </w:rPr>
        <w:t>15,000</w:t>
      </w:r>
      <w:r>
        <w:rPr>
          <w:rFonts w:hint="cs"/>
          <w:rtl/>
        </w:rPr>
        <w:t xml:space="preserve"> ₪. המדובר בתביעה שהוגשה נגד הנתבעים בגין נזקי רכוש שנגרמו בתאונת דרכים מיום </w:t>
      </w:r>
      <w:r w:rsidRPr="00146D78">
        <w:rPr>
          <w:rFonts w:hint="cs"/>
          <w:b/>
          <w:bCs/>
          <w:rtl/>
        </w:rPr>
        <w:t>15.2.17</w:t>
      </w:r>
      <w:r>
        <w:rPr>
          <w:rFonts w:hint="cs"/>
          <w:rtl/>
        </w:rPr>
        <w:t xml:space="preserve"> כאשר על פי הנטען  בתביעה, הנתבעת 3 נכנסה לצומת למופע אור אדום ברמזור, ופגעה ברכב התובעים. </w:t>
      </w:r>
    </w:p>
    <w:p w:rsidR="00146D78" w:rsidP="00146D78" w:rsidRDefault="00146D78">
      <w:pPr>
        <w:spacing w:line="360" w:lineRule="auto"/>
        <w:jc w:val="both"/>
        <w:rPr>
          <w:rFonts w:hint="cs"/>
          <w:rtl/>
        </w:rPr>
      </w:pPr>
    </w:p>
    <w:p w:rsidR="00146D78" w:rsidP="0070434F" w:rsidRDefault="00146D78">
      <w:pPr>
        <w:numPr>
          <w:ilvl w:val="0"/>
          <w:numId w:val="1"/>
        </w:numPr>
        <w:spacing w:line="360" w:lineRule="auto"/>
        <w:jc w:val="both"/>
      </w:pPr>
      <w:r>
        <w:rPr>
          <w:rFonts w:hint="cs"/>
          <w:rtl/>
        </w:rPr>
        <w:t xml:space="preserve">לטענת הנתבעים, התיק הועבר למשרד בא כוחם יחד עם תיקים נוספים לצורך הגשת כתב הגנה, אך מבדיקה שנערכה, לא אותר התיק עד היום. הנתבעים הפנו לכך שתחילה דרשו התובעים פיצוי ע"ס </w:t>
      </w:r>
      <w:r w:rsidRPr="00146D78">
        <w:rPr>
          <w:rFonts w:hint="cs"/>
          <w:b/>
          <w:bCs/>
          <w:rtl/>
        </w:rPr>
        <w:t xml:space="preserve">81,055 </w:t>
      </w:r>
      <w:r>
        <w:rPr>
          <w:rFonts w:hint="cs"/>
          <w:rtl/>
        </w:rPr>
        <w:t xml:space="preserve">₪ אולם בכתב התביעה נקבו בסכום לא מבוטל של </w:t>
      </w:r>
      <w:r w:rsidRPr="00146D78">
        <w:rPr>
          <w:rFonts w:hint="cs"/>
          <w:b/>
          <w:bCs/>
          <w:rtl/>
        </w:rPr>
        <w:t>157,218</w:t>
      </w:r>
      <w:r>
        <w:rPr>
          <w:rFonts w:hint="cs"/>
          <w:rtl/>
        </w:rPr>
        <w:t xml:space="preserve"> ₪ וזאת ללא כל הצדקה ותוך ניסיון להאדיר את נזקיהם ,ניפוח והכללה של ראשי נזק מיותרים או מופרזים.</w:t>
      </w:r>
    </w:p>
    <w:p w:rsidR="00146D78" w:rsidP="00C33ACA" w:rsidRDefault="00146D78">
      <w:pPr>
        <w:spacing w:line="360" w:lineRule="auto"/>
        <w:ind w:left="720"/>
        <w:jc w:val="both"/>
        <w:rPr>
          <w:rFonts w:hint="cs"/>
          <w:rtl/>
        </w:rPr>
      </w:pPr>
      <w:r>
        <w:rPr>
          <w:rFonts w:hint="cs"/>
          <w:rtl/>
        </w:rPr>
        <w:t xml:space="preserve">התובעים התנגדו לבקשה וטענו </w:t>
      </w:r>
      <w:r w:rsidR="00C33ACA">
        <w:rPr>
          <w:rFonts w:hint="cs"/>
          <w:rtl/>
        </w:rPr>
        <w:t xml:space="preserve">באריכות </w:t>
      </w:r>
      <w:r>
        <w:rPr>
          <w:rFonts w:hint="cs"/>
          <w:rtl/>
        </w:rPr>
        <w:t xml:space="preserve">שלא </w:t>
      </w:r>
      <w:r w:rsidR="00C33ACA">
        <w:rPr>
          <w:rFonts w:hint="cs"/>
          <w:rtl/>
        </w:rPr>
        <w:t>הוצג</w:t>
      </w:r>
      <w:r>
        <w:rPr>
          <w:rFonts w:hint="cs"/>
          <w:rtl/>
        </w:rPr>
        <w:t xml:space="preserve"> כל טעם המצדיק קבלת הבקשה. התובעים הוסיפו כי הנתבעים לא ביססו טענות הגנה וכי הגנתם קלושה. </w:t>
      </w:r>
    </w:p>
    <w:p w:rsidR="00146D78" w:rsidP="00146D78" w:rsidRDefault="00146D78">
      <w:pPr>
        <w:spacing w:line="360" w:lineRule="auto"/>
        <w:jc w:val="both"/>
        <w:rPr>
          <w:rFonts w:hint="cs"/>
          <w:rtl/>
        </w:rPr>
      </w:pPr>
    </w:p>
    <w:p w:rsidR="00146D78" w:rsidP="00146D78" w:rsidRDefault="00146D78">
      <w:pPr>
        <w:spacing w:line="360" w:lineRule="auto"/>
        <w:jc w:val="both"/>
        <w:rPr>
          <w:rFonts w:hint="cs"/>
          <w:b/>
          <w:bCs/>
          <w:u w:val="single"/>
          <w:rtl/>
        </w:rPr>
      </w:pPr>
      <w:r>
        <w:rPr>
          <w:rFonts w:hint="cs"/>
          <w:b/>
          <w:bCs/>
          <w:u w:val="single"/>
          <w:rtl/>
        </w:rPr>
        <w:t>הכרעה</w:t>
      </w:r>
    </w:p>
    <w:p w:rsidR="00146D78" w:rsidP="00146D78" w:rsidRDefault="00146D78">
      <w:pPr>
        <w:numPr>
          <w:ilvl w:val="0"/>
          <w:numId w:val="1"/>
        </w:numPr>
        <w:spacing w:line="360" w:lineRule="auto"/>
        <w:jc w:val="both"/>
        <w:rPr>
          <w:rFonts w:hint="cs"/>
          <w:rtl/>
        </w:rPr>
      </w:pPr>
      <w:r>
        <w:rPr>
          <w:rFonts w:hint="cs"/>
          <w:rtl/>
        </w:rPr>
        <w:lastRenderedPageBreak/>
        <w:t>ההלכה הפסוקה בשאלת ביטולו של פסק דין שניתן בהעדר, נקבעה בפסק הדין המנחה של כבוד השופט זוסמן ב</w:t>
      </w:r>
      <w:hyperlink w:history="1" r:id="rId10">
        <w:r>
          <w:rPr>
            <w:rStyle w:val="Hyperlink"/>
            <w:rFonts w:hint="cs"/>
            <w:rtl/>
          </w:rPr>
          <w:t>ע"א 64/53 כהן נ' יצחק, פ"ד ח</w:t>
        </w:r>
      </w:hyperlink>
      <w:r>
        <w:rPr>
          <w:rFonts w:hint="cs"/>
          <w:rtl/>
        </w:rPr>
        <w:t>' 395, אשר קבע כי:</w:t>
      </w:r>
      <w:r>
        <w:rPr>
          <w:rFonts w:hint="cs"/>
          <w:b/>
          <w:bCs/>
          <w:rtl/>
        </w:rPr>
        <w:t>"פסק הדין אשר ניתן שלא כהלכה דרך משל: מבלי שהנתבע הוזמן כחוק – רשאי הנתבע לדרוש את ביטולו מתוך חובת הצדק..ניתן פסק דין כהלכה יציג לעצמו בית המשפט אשר אליו פנה הנתבע בבקשת ביטול שתי שאלות אלו:</w:t>
      </w:r>
    </w:p>
    <w:p w:rsidR="00146D78" w:rsidP="00146D78" w:rsidRDefault="00146D78">
      <w:pPr>
        <w:spacing w:line="360" w:lineRule="auto"/>
        <w:ind w:left="720"/>
        <w:jc w:val="both"/>
        <w:rPr>
          <w:rFonts w:hint="cs"/>
          <w:b/>
          <w:bCs/>
          <w:rtl/>
        </w:rPr>
      </w:pPr>
      <w:r>
        <w:rPr>
          <w:rFonts w:hint="cs"/>
          <w:b/>
          <w:bCs/>
          <w:u w:val="single"/>
          <w:rtl/>
        </w:rPr>
        <w:t>ראשית</w:t>
      </w:r>
      <w:r>
        <w:rPr>
          <w:rFonts w:hint="cs"/>
          <w:b/>
          <w:bCs/>
          <w:rtl/>
        </w:rPr>
        <w:t>, מהי הסיבה אשר גרמה לכך שהמבקש לא רשם הופעה, או לא הגיש את הגנתו או לא הופיע בתאריך הקבוע לבירור המשפט.</w:t>
      </w:r>
    </w:p>
    <w:p w:rsidR="00146D78" w:rsidP="00146D78" w:rsidRDefault="00146D78">
      <w:pPr>
        <w:spacing w:line="360" w:lineRule="auto"/>
        <w:ind w:left="720"/>
        <w:jc w:val="both"/>
        <w:rPr>
          <w:rFonts w:hint="cs"/>
          <w:b/>
          <w:bCs/>
          <w:rtl/>
        </w:rPr>
      </w:pPr>
      <w:r>
        <w:rPr>
          <w:rFonts w:hint="cs"/>
          <w:b/>
          <w:bCs/>
          <w:u w:val="single"/>
          <w:rtl/>
        </w:rPr>
        <w:t>שנית</w:t>
      </w:r>
      <w:r>
        <w:rPr>
          <w:rFonts w:hint="cs"/>
          <w:b/>
          <w:bCs/>
          <w:rtl/>
        </w:rPr>
        <w:t>, ושאלה זו חשובה לאין ערוך מהראשונה – מה הם סיכויי ההצלחה של הנתבע המבקש".</w:t>
      </w:r>
    </w:p>
    <w:p w:rsidR="00146D78" w:rsidP="00146D78" w:rsidRDefault="00146D78">
      <w:pPr>
        <w:spacing w:line="360" w:lineRule="auto"/>
        <w:ind w:left="720"/>
        <w:jc w:val="both"/>
        <w:rPr>
          <w:rFonts w:hint="cs"/>
          <w:rtl/>
        </w:rPr>
      </w:pPr>
      <w:r>
        <w:rPr>
          <w:rFonts w:hint="cs"/>
          <w:rtl/>
        </w:rPr>
        <w:t>ראה בנוסף, לעניין זה :</w:t>
      </w:r>
      <w:r>
        <w:rPr>
          <w:rFonts w:hint="cs"/>
          <w:rtl/>
        </w:rPr>
        <w:tab/>
      </w:r>
      <w:hyperlink w:history="1" r:id="rId11">
        <w:r>
          <w:rPr>
            <w:rStyle w:val="Hyperlink"/>
            <w:rFonts w:hint="cs"/>
            <w:rtl/>
          </w:rPr>
          <w:t>ע"א 442/89 עלאדין ואח' נ' מדינת ישראל, פ"ד מג</w:t>
        </w:r>
      </w:hyperlink>
      <w:r>
        <w:rPr>
          <w:rFonts w:hint="cs"/>
          <w:rtl/>
        </w:rPr>
        <w:t xml:space="preserve"> (3), פ"ד 824; ע"א 164/63 פרידמן נ' פרידמן, פ"ד י"ז 349.</w:t>
      </w:r>
    </w:p>
    <w:p w:rsidR="00146D78" w:rsidP="00146D78" w:rsidRDefault="00146D78">
      <w:pPr>
        <w:spacing w:line="360" w:lineRule="auto"/>
        <w:ind w:firstLine="720"/>
        <w:jc w:val="both"/>
        <w:rPr>
          <w:rFonts w:hint="cs"/>
          <w:rtl/>
        </w:rPr>
      </w:pPr>
    </w:p>
    <w:p w:rsidR="00146D78" w:rsidP="00146D78" w:rsidRDefault="00146D78">
      <w:pPr>
        <w:spacing w:line="360" w:lineRule="auto"/>
        <w:ind w:left="720"/>
        <w:jc w:val="both"/>
        <w:rPr>
          <w:rFonts w:hint="cs"/>
          <w:rtl/>
        </w:rPr>
      </w:pPr>
      <w:r>
        <w:rPr>
          <w:rFonts w:hint="cs"/>
          <w:rtl/>
        </w:rPr>
        <w:t xml:space="preserve">במקרה דנן, אין המדובר בביטול מחמת הצדק, שכן כתב ההגנה לא הוגש לשיטת הנתבעים עצמם מחמת כשל טכני ולא מחמת העדר מסירה. אישורי המסירה שבתיק מצביעים על המצאה כדין לנתבעות 2-1 ביום </w:t>
      </w:r>
      <w:r>
        <w:rPr>
          <w:rFonts w:hint="cs"/>
          <w:b/>
          <w:bCs/>
          <w:rtl/>
        </w:rPr>
        <w:t>28.11.17</w:t>
      </w:r>
      <w:r>
        <w:rPr>
          <w:rFonts w:hint="cs"/>
          <w:rtl/>
        </w:rPr>
        <w:t xml:space="preserve">, ולנתבעים 3-4 ביום </w:t>
      </w:r>
      <w:r>
        <w:rPr>
          <w:rFonts w:hint="cs"/>
          <w:b/>
          <w:bCs/>
          <w:rtl/>
        </w:rPr>
        <w:t xml:space="preserve">26.11.17. </w:t>
      </w:r>
    </w:p>
    <w:p w:rsidR="00146D78" w:rsidP="00146D78" w:rsidRDefault="00146D78">
      <w:pPr>
        <w:spacing w:line="360" w:lineRule="auto"/>
        <w:jc w:val="both"/>
        <w:rPr>
          <w:rFonts w:hint="cs"/>
          <w:rtl/>
        </w:rPr>
      </w:pPr>
    </w:p>
    <w:p w:rsidR="00146D78" w:rsidP="00C33ACA" w:rsidRDefault="00146D78">
      <w:pPr>
        <w:numPr>
          <w:ilvl w:val="0"/>
          <w:numId w:val="1"/>
        </w:numPr>
        <w:spacing w:line="360" w:lineRule="auto"/>
        <w:jc w:val="both"/>
        <w:rPr>
          <w:rFonts w:hint="cs"/>
          <w:rtl/>
        </w:rPr>
      </w:pPr>
      <w:r>
        <w:rPr>
          <w:rFonts w:hint="cs"/>
          <w:rtl/>
        </w:rPr>
        <w:t xml:space="preserve">יחד עם זאת,גם אם אין חובה לעשות כן,הרי  כאמור, לבית המשפט </w:t>
      </w:r>
      <w:r w:rsidR="00C33ACA">
        <w:rPr>
          <w:rFonts w:hint="cs"/>
          <w:rtl/>
        </w:rPr>
        <w:t>עומד בכל מקרה,</w:t>
      </w:r>
      <w:r>
        <w:rPr>
          <w:rFonts w:hint="cs"/>
          <w:rtl/>
        </w:rPr>
        <w:t>שיקול דעת לבטל את פסק הדין ולאפשר לנתבע להציג הגנתו. גם אם אין בטעות המשרדית שהובילה לאי הגשת ההגנה, כדי להצדיק ביטול פסק הדין מחמת הצדק, עדיין יש בה כדי להוות הסבר לאי הגשת ההגנה במועד ולא שוכנעתי כי מדובר בזלזול מכוון ומודע, כטענת התובעים. בעניין זה ניתן להסתפק בתצהירה של עובדת המחלקה המשפטית (לעניין העברה מן המחלקה המשפטית הלאה) ובתצהירו של המתמחה לעניין אי איתור התיק במשרד.</w:t>
      </w:r>
    </w:p>
    <w:p w:rsidR="00146D78" w:rsidP="00146D78" w:rsidRDefault="00146D78">
      <w:pPr>
        <w:spacing w:line="360" w:lineRule="auto"/>
        <w:jc w:val="both"/>
      </w:pPr>
    </w:p>
    <w:p w:rsidR="00146D78" w:rsidP="00146D78" w:rsidRDefault="00146D78">
      <w:pPr>
        <w:numPr>
          <w:ilvl w:val="0"/>
          <w:numId w:val="1"/>
        </w:numPr>
        <w:spacing w:line="360" w:lineRule="auto"/>
        <w:jc w:val="both"/>
        <w:rPr>
          <w:rFonts w:hint="cs"/>
          <w:rtl/>
        </w:rPr>
      </w:pPr>
      <w:r>
        <w:rPr>
          <w:rFonts w:hint="cs"/>
          <w:rtl/>
        </w:rPr>
        <w:t xml:space="preserve">באשר לסיכויי ההגנה-על פי ההלכה הפסוקה, בשלב זה, אין הנתבע חייב להראות כי הגנתו היא איתנה ובטוחה, ודי לו כי יראה הגנה אפשרית וכי הביטול יצמיח לו תועלת, כלומר, ששמיעת עמדתו בנושא המחלוקת, עשויה להוביל את בית המשפט למתן החלטה שונה מזו שניתנה (ראה בספרו של </w:t>
      </w:r>
      <w:hyperlink w:history="1" r:id="rId12">
        <w:r>
          <w:rPr>
            <w:rStyle w:val="Hyperlink"/>
            <w:rFonts w:hint="cs"/>
            <w:rtl/>
          </w:rPr>
          <w:t>גורן "סוגיות בסדר דין אזרחי"</w:t>
        </w:r>
      </w:hyperlink>
      <w:r>
        <w:rPr>
          <w:rFonts w:hint="cs"/>
          <w:rtl/>
        </w:rPr>
        <w:t>, מהדורה תשיעית בעמ' 356).</w:t>
      </w:r>
    </w:p>
    <w:p w:rsidR="00146D78" w:rsidP="00146D78" w:rsidRDefault="00146D78">
      <w:pPr>
        <w:spacing w:line="360" w:lineRule="auto"/>
        <w:ind w:left="720"/>
        <w:jc w:val="both"/>
      </w:pPr>
    </w:p>
    <w:p w:rsidR="00146D78" w:rsidP="007D7A70" w:rsidRDefault="00C33ACA">
      <w:pPr>
        <w:spacing w:line="360" w:lineRule="auto"/>
        <w:ind w:left="720"/>
        <w:jc w:val="both"/>
        <w:rPr>
          <w:rFonts w:hint="cs"/>
          <w:rtl/>
        </w:rPr>
      </w:pPr>
      <w:r>
        <w:rPr>
          <w:rFonts w:hint="cs"/>
          <w:rtl/>
        </w:rPr>
        <w:t xml:space="preserve">בהערת אגב </w:t>
      </w:r>
      <w:r w:rsidR="00146D78">
        <w:rPr>
          <w:rFonts w:hint="cs"/>
          <w:rtl/>
        </w:rPr>
        <w:t>אציין כי התנסחות התובעים</w:t>
      </w:r>
      <w:r>
        <w:rPr>
          <w:rFonts w:hint="cs"/>
          <w:rtl/>
        </w:rPr>
        <w:t xml:space="preserve"> בתגובתם,אינה ראויה, בלשון המעטה</w:t>
      </w:r>
      <w:r w:rsidR="00146D78">
        <w:rPr>
          <w:rFonts w:hint="cs"/>
          <w:rtl/>
        </w:rPr>
        <w:t>(רא</w:t>
      </w:r>
      <w:r>
        <w:rPr>
          <w:rFonts w:hint="cs"/>
          <w:rtl/>
        </w:rPr>
        <w:t>ה בעיקר סעיף 16 (ט</w:t>
      </w:r>
      <w:r w:rsidR="00146D78">
        <w:rPr>
          <w:rFonts w:hint="cs"/>
          <w:rtl/>
        </w:rPr>
        <w:t>'</w:t>
      </w:r>
      <w:r w:rsidR="007D7A70">
        <w:rPr>
          <w:rFonts w:hint="cs"/>
          <w:rtl/>
        </w:rPr>
        <w:t>,י'</w:t>
      </w:r>
      <w:r w:rsidR="00146D78">
        <w:rPr>
          <w:rFonts w:hint="cs"/>
          <w:rtl/>
        </w:rPr>
        <w:t>) לתגובה). גם אופן ניסוח הבקשה מצד ב"כ הנתבעים, אינו חף מקשיים</w:t>
      </w:r>
      <w:r w:rsidR="007D7A70">
        <w:rPr>
          <w:rFonts w:hint="cs"/>
          <w:rtl/>
        </w:rPr>
        <w:t xml:space="preserve"> ומן הראוי ששני הצדדים היו נוקטים בניסוח מעודן יותר.</w:t>
      </w:r>
      <w:r w:rsidR="00146D78">
        <w:rPr>
          <w:rFonts w:hint="cs"/>
          <w:rtl/>
        </w:rPr>
        <w:t xml:space="preserve"> </w:t>
      </w:r>
    </w:p>
    <w:p w:rsidR="00146D78" w:rsidP="00146D78" w:rsidRDefault="00146D78">
      <w:pPr>
        <w:spacing w:line="360" w:lineRule="auto"/>
        <w:ind w:left="720"/>
        <w:jc w:val="both"/>
        <w:rPr>
          <w:rFonts w:hint="cs"/>
          <w:rtl/>
        </w:rPr>
      </w:pPr>
    </w:p>
    <w:p w:rsidR="00146D78" w:rsidP="007D7A70" w:rsidRDefault="00146D78">
      <w:pPr>
        <w:numPr>
          <w:ilvl w:val="0"/>
          <w:numId w:val="1"/>
        </w:numPr>
        <w:spacing w:line="360" w:lineRule="auto"/>
        <w:jc w:val="both"/>
      </w:pPr>
      <w:r>
        <w:rPr>
          <w:rFonts w:hint="cs"/>
          <w:rtl/>
        </w:rPr>
        <w:t xml:space="preserve">בניגוד לדעת התובעים, איני סבורה המדובר  </w:t>
      </w:r>
      <w:r w:rsidR="007D7A70">
        <w:rPr>
          <w:rFonts w:hint="cs"/>
          <w:rtl/>
        </w:rPr>
        <w:t>ב</w:t>
      </w:r>
      <w:r>
        <w:rPr>
          <w:rFonts w:hint="cs"/>
          <w:rtl/>
        </w:rPr>
        <w:t>בקשה "הזויה ומופרכת", או כאילו אין בפי</w:t>
      </w:r>
      <w:r w:rsidR="007D7A70">
        <w:rPr>
          <w:rFonts w:hint="cs"/>
          <w:rtl/>
        </w:rPr>
        <w:t xml:space="preserve"> הנתבעים</w:t>
      </w:r>
      <w:r>
        <w:rPr>
          <w:rFonts w:hint="cs"/>
          <w:rtl/>
        </w:rPr>
        <w:t xml:space="preserve"> כל טענת הגנה אפשרית.  מדובר בטענות הגנה הראויות לליבון ושמיעה. אמנם עיון מדוקדק בבקשה מגלה כי נתבעת </w:t>
      </w:r>
      <w:r w:rsidR="007D7A70">
        <w:rPr>
          <w:rFonts w:hint="cs"/>
          <w:rtl/>
        </w:rPr>
        <w:t xml:space="preserve">3 מודה באחריותה העיקרית לתאונה </w:t>
      </w:r>
      <w:r>
        <w:rPr>
          <w:rFonts w:hint="cs"/>
          <w:rtl/>
        </w:rPr>
        <w:t>, אך בהחלט לא ניתן לשלול טענ</w:t>
      </w:r>
      <w:r w:rsidR="007D7A70">
        <w:rPr>
          <w:rFonts w:hint="cs"/>
          <w:rtl/>
        </w:rPr>
        <w:t>ת הנתבעים</w:t>
      </w:r>
      <w:r>
        <w:rPr>
          <w:rFonts w:hint="cs"/>
          <w:rtl/>
        </w:rPr>
        <w:t xml:space="preserve"> לרשלנות תורמת עקב כניסה במהירות</w:t>
      </w:r>
      <w:r w:rsidR="007D7A70">
        <w:rPr>
          <w:rFonts w:hint="cs"/>
          <w:rtl/>
        </w:rPr>
        <w:t xml:space="preserve"> לצומת לא פנוי כפי הנטען בבקשה. בעניין זה,</w:t>
      </w:r>
      <w:r>
        <w:rPr>
          <w:rFonts w:hint="cs"/>
          <w:rtl/>
        </w:rPr>
        <w:t xml:space="preserve">הפסיקה קובעת כי זכות הקדימה של התובע אינה זכות מוחלטת, אלא זכות יחסית שאין להשתמש בה "בעיניים עצומות". </w:t>
      </w:r>
    </w:p>
    <w:p w:rsidR="00146D78" w:rsidP="007D7A70" w:rsidRDefault="00146D78">
      <w:pPr>
        <w:spacing w:line="360" w:lineRule="auto"/>
        <w:ind w:left="720"/>
        <w:jc w:val="both"/>
        <w:rPr>
          <w:rFonts w:hint="cs"/>
          <w:rtl/>
        </w:rPr>
      </w:pPr>
      <w:r>
        <w:rPr>
          <w:rFonts w:hint="cs"/>
          <w:rtl/>
        </w:rPr>
        <w:t xml:space="preserve">יתרה מכך, גם אם תתקבל טענת התובעים לאחריות  (עיקרית) של הנתבעים (בעיקר נתבעת 3 כנהגת), עדיין, ובנוסף </w:t>
      </w:r>
      <w:r w:rsidR="0035554E">
        <w:rPr>
          <w:rFonts w:hint="cs"/>
          <w:rtl/>
        </w:rPr>
        <w:t xml:space="preserve">לשאלת </w:t>
      </w:r>
      <w:r>
        <w:rPr>
          <w:rFonts w:hint="cs"/>
          <w:rtl/>
        </w:rPr>
        <w:t xml:space="preserve"> </w:t>
      </w:r>
      <w:r w:rsidR="0035554E">
        <w:rPr>
          <w:rFonts w:hint="cs"/>
          <w:rtl/>
        </w:rPr>
        <w:t>ה</w:t>
      </w:r>
      <w:r>
        <w:rPr>
          <w:rFonts w:hint="cs"/>
          <w:rtl/>
        </w:rPr>
        <w:t xml:space="preserve">רשלנות </w:t>
      </w:r>
      <w:r w:rsidR="0035554E">
        <w:rPr>
          <w:rFonts w:hint="cs"/>
          <w:rtl/>
        </w:rPr>
        <w:t>ה</w:t>
      </w:r>
      <w:r>
        <w:rPr>
          <w:rFonts w:hint="cs"/>
          <w:rtl/>
        </w:rPr>
        <w:t xml:space="preserve">תורמת (ככל שהטענה תתקבל כאמור) </w:t>
      </w:r>
      <w:r w:rsidR="0035554E">
        <w:rPr>
          <w:rFonts w:hint="cs"/>
          <w:rtl/>
        </w:rPr>
        <w:t>,</w:t>
      </w:r>
      <w:r>
        <w:rPr>
          <w:rFonts w:hint="cs"/>
          <w:rtl/>
        </w:rPr>
        <w:t>יהיה צורך לבחון את גובה הנזקים הנטענים. בעניין זה אציין כי ההלכה היא, שהנזק תמיד שנוי במחלוקת והוא נקבע על יסוד הערכה בלבד. לפיכך ברי כי קיים סיכוי שככל שתינתן לנתבעים אפשרות להתגונן, הנזק שייפסק יהיה נמוך יותר מזה שנפסק.</w:t>
      </w:r>
      <w:r w:rsidR="007D7A70">
        <w:rPr>
          <w:rFonts w:hint="cs"/>
          <w:rtl/>
        </w:rPr>
        <w:t xml:space="preserve"> כך לדוגמא-</w:t>
      </w:r>
      <w:r>
        <w:rPr>
          <w:rFonts w:hint="cs"/>
          <w:rtl/>
        </w:rPr>
        <w:t xml:space="preserve"> בכתב התביעה עתרו התובעים להחזר בגין הפסד על ההלוואה שנאלצו לקחת, אך בהחלט לא ניתן לשלול את טענת ההגנה שהועלתה בבקשה (</w:t>
      </w:r>
      <w:r w:rsidR="0035554E">
        <w:rPr>
          <w:rFonts w:hint="cs"/>
          <w:rtl/>
        </w:rPr>
        <w:t>וה</w:t>
      </w:r>
      <w:r>
        <w:rPr>
          <w:rFonts w:hint="cs"/>
          <w:rtl/>
        </w:rPr>
        <w:t>מצריכה בירור), במסגרתה נטען כי התובעים</w:t>
      </w:r>
      <w:r w:rsidR="0035554E">
        <w:rPr>
          <w:rFonts w:hint="cs"/>
          <w:rtl/>
        </w:rPr>
        <w:t xml:space="preserve"> יכלו</w:t>
      </w:r>
      <w:r>
        <w:rPr>
          <w:rFonts w:hint="cs"/>
          <w:rtl/>
        </w:rPr>
        <w:t xml:space="preserve"> להפעיל, חלף הלוואה, את פוליסת ביטוח המקיף שלהם , ובהימנעותם מלעשות כן לא עמדו </w:t>
      </w:r>
      <w:r w:rsidR="0035554E">
        <w:rPr>
          <w:rFonts w:hint="cs"/>
          <w:rtl/>
        </w:rPr>
        <w:t>לכאורה,</w:t>
      </w:r>
      <w:r>
        <w:rPr>
          <w:rFonts w:hint="cs"/>
          <w:rtl/>
        </w:rPr>
        <w:t xml:space="preserve"> בחובת הקטנת הנזק הקבועה בדין. כמו כן, לא ניתן להתעלם מכך שדרישת עוגמת הנפש, בייחוד בתביעת</w:t>
      </w:r>
      <w:r w:rsidR="007D7A70">
        <w:rPr>
          <w:rFonts w:hint="cs"/>
          <w:rtl/>
        </w:rPr>
        <w:t xml:space="preserve"> פח</w:t>
      </w:r>
      <w:r>
        <w:rPr>
          <w:rFonts w:hint="cs"/>
          <w:rtl/>
        </w:rPr>
        <w:t xml:space="preserve"> </w:t>
      </w:r>
      <w:r w:rsidR="0035554E">
        <w:rPr>
          <w:rFonts w:hint="cs"/>
          <w:rtl/>
        </w:rPr>
        <w:t>מסוג זה,</w:t>
      </w:r>
      <w:r>
        <w:rPr>
          <w:rFonts w:hint="cs"/>
          <w:rtl/>
        </w:rPr>
        <w:t xml:space="preserve"> היא </w:t>
      </w:r>
      <w:r w:rsidR="0035554E">
        <w:rPr>
          <w:rFonts w:hint="cs"/>
          <w:rtl/>
        </w:rPr>
        <w:t xml:space="preserve">לכאורה </w:t>
      </w:r>
      <w:r>
        <w:rPr>
          <w:rFonts w:hint="cs"/>
          <w:rtl/>
        </w:rPr>
        <w:t xml:space="preserve">מופרזת, כמו גם הנזקים העקיפים דוגמת הפסד ימי עבודה. עוד לא ניתן לשלול הגנה ביחס למספר ימי ההשבתה; הנזק הישיר (החלפה לחלקיים מקוריים לכאורה); היעדר ירידת ערך נטענת לרכב. </w:t>
      </w:r>
      <w:r w:rsidR="007D7A70">
        <w:rPr>
          <w:rFonts w:hint="cs"/>
          <w:rtl/>
        </w:rPr>
        <w:t>המדובר בטענות אשר בירורן,יכול ויביא לפסק דין בסכום שונה מזה שניתן בפסק הדין בהעדר הגנה.</w:t>
      </w:r>
    </w:p>
    <w:p w:rsidR="00146D78" w:rsidP="00146D78" w:rsidRDefault="00146D78">
      <w:pPr>
        <w:spacing w:line="360" w:lineRule="auto"/>
        <w:jc w:val="both"/>
        <w:rPr>
          <w:rFonts w:hint="cs"/>
          <w:rtl/>
        </w:rPr>
      </w:pPr>
    </w:p>
    <w:p w:rsidR="00146D78" w:rsidP="007D7A70" w:rsidRDefault="00146D78">
      <w:pPr>
        <w:numPr>
          <w:ilvl w:val="0"/>
          <w:numId w:val="1"/>
        </w:numPr>
        <w:spacing w:line="360" w:lineRule="auto"/>
        <w:jc w:val="both"/>
        <w:rPr>
          <w:rFonts w:hint="cs"/>
          <w:rtl/>
        </w:rPr>
      </w:pPr>
      <w:r>
        <w:rPr>
          <w:rFonts w:hint="cs"/>
          <w:rtl/>
        </w:rPr>
        <w:t>זכות הגישה לערכאות הפכה בשנים האחרונות לזכות מעין חוקתית ובית המשפט יעדיף תמיד דיון ענייני בטענות הצדדים על פני הכרעה</w:t>
      </w:r>
      <w:r w:rsidR="0035554E">
        <w:rPr>
          <w:rFonts w:hint="cs"/>
          <w:rtl/>
        </w:rPr>
        <w:t xml:space="preserve"> שניתנה בהעדר הגנה. לאור האמור,</w:t>
      </w:r>
      <w:r>
        <w:rPr>
          <w:rFonts w:hint="cs"/>
          <w:rtl/>
        </w:rPr>
        <w:t xml:space="preserve"> שוכנעתי כי יש להורות על ביטול פסק הדין ולאפשר לנתבעים להגיש הגנתם, זאת על מנת לא למנוע מהם את יומם בבית המשפט. </w:t>
      </w:r>
    </w:p>
    <w:p w:rsidR="00146D78" w:rsidP="00146D78" w:rsidRDefault="00146D78">
      <w:pPr>
        <w:spacing w:line="360" w:lineRule="auto"/>
        <w:jc w:val="both"/>
      </w:pPr>
    </w:p>
    <w:p w:rsidR="00146D78" w:rsidP="0035554E" w:rsidRDefault="00146D78">
      <w:pPr>
        <w:spacing w:line="360" w:lineRule="auto"/>
        <w:ind w:left="720"/>
        <w:jc w:val="both"/>
      </w:pPr>
      <w:r>
        <w:rPr>
          <w:rFonts w:hint="cs"/>
          <w:rtl/>
        </w:rPr>
        <w:t>יחד עם זאת, על מנת שהתובעים יפוצו על הטרחה שנגרמה להם בגין הצורך בהגשת הבקשה למתן פסק דין בהעדר הגנה ובגין הצורך במתן תשובה לבקשה זו, יבוטל פסק הדין בתנאי ו</w:t>
      </w:r>
      <w:r w:rsidR="0035554E">
        <w:rPr>
          <w:rFonts w:hint="cs"/>
          <w:rtl/>
        </w:rPr>
        <w:t>ב</w:t>
      </w:r>
      <w:r>
        <w:rPr>
          <w:rFonts w:hint="cs"/>
          <w:rtl/>
        </w:rPr>
        <w:t xml:space="preserve">כפוף להפקדת הוצאות התובעים בסכום של </w:t>
      </w:r>
      <w:r w:rsidR="0035554E">
        <w:rPr>
          <w:rFonts w:hint="cs"/>
          <w:b/>
          <w:bCs/>
          <w:rtl/>
        </w:rPr>
        <w:t>1,600</w:t>
      </w:r>
      <w:r>
        <w:rPr>
          <w:rFonts w:hint="cs"/>
          <w:b/>
          <w:bCs/>
          <w:rtl/>
        </w:rPr>
        <w:t xml:space="preserve"> ₪</w:t>
      </w:r>
      <w:r>
        <w:rPr>
          <w:rFonts w:hint="cs"/>
          <w:rtl/>
        </w:rPr>
        <w:t xml:space="preserve"> בקופת בית המשפט וזאת תוך 20 יום. ככל שיופקדו ההוצאות, יגישו הנתבעים הגנתם תוך 30 יום לאחר מכן והמזכירות תעביר הסכום שיופקד ל</w:t>
      </w:r>
      <w:r w:rsidR="0035554E">
        <w:rPr>
          <w:rFonts w:hint="cs"/>
          <w:rtl/>
        </w:rPr>
        <w:t>ב"כ ה</w:t>
      </w:r>
      <w:r>
        <w:rPr>
          <w:rFonts w:hint="cs"/>
          <w:rtl/>
        </w:rPr>
        <w:t xml:space="preserve">תובעים. </w:t>
      </w:r>
    </w:p>
    <w:p w:rsidR="00146D78" w:rsidP="00146D78" w:rsidRDefault="00146D78">
      <w:pPr>
        <w:spacing w:line="360" w:lineRule="auto"/>
        <w:ind w:left="720"/>
        <w:jc w:val="both"/>
        <w:rPr>
          <w:rFonts w:hint="cs"/>
          <w:rtl/>
        </w:rPr>
      </w:pPr>
    </w:p>
    <w:p w:rsidR="007D7A70" w:rsidP="00146D78" w:rsidRDefault="00146D78">
      <w:pPr>
        <w:spacing w:line="360" w:lineRule="auto"/>
        <w:ind w:left="720"/>
        <w:jc w:val="both"/>
        <w:rPr>
          <w:rtl/>
        </w:rPr>
      </w:pPr>
      <w:r>
        <w:rPr>
          <w:rFonts w:hint="cs"/>
          <w:b/>
          <w:bCs/>
          <w:rtl/>
        </w:rPr>
        <w:lastRenderedPageBreak/>
        <w:t>לא יופקדו ההוצאות במועד כאמור, יוותר פסק הדין על כנו</w:t>
      </w:r>
      <w:r>
        <w:rPr>
          <w:rFonts w:hint="cs"/>
          <w:rtl/>
        </w:rPr>
        <w:t xml:space="preserve">. </w:t>
      </w:r>
    </w:p>
    <w:p w:rsidR="007D7A70" w:rsidP="007D7A70" w:rsidRDefault="00146D78">
      <w:pPr>
        <w:spacing w:line="360" w:lineRule="auto"/>
        <w:ind w:left="720"/>
        <w:jc w:val="both"/>
        <w:rPr>
          <w:rtl/>
        </w:rPr>
      </w:pPr>
      <w:r>
        <w:rPr>
          <w:rFonts w:hint="cs"/>
          <w:rtl/>
        </w:rPr>
        <w:t xml:space="preserve">ב"כ הנתבעים יצרף יפוי כוח לגבי כלל הנתבעים. </w:t>
      </w:r>
    </w:p>
    <w:p w:rsidR="00146D78" w:rsidP="007D7A70" w:rsidRDefault="007D7A70">
      <w:pPr>
        <w:spacing w:line="360" w:lineRule="auto"/>
        <w:ind w:left="720"/>
        <w:jc w:val="both"/>
        <w:rPr>
          <w:rFonts w:hint="cs"/>
          <w:rtl/>
        </w:rPr>
      </w:pPr>
      <w:r>
        <w:rPr>
          <w:rFonts w:hint="cs"/>
          <w:rtl/>
        </w:rPr>
        <w:t>כמו כן,</w:t>
      </w:r>
      <w:bookmarkStart w:name="_GoBack" w:id="1"/>
      <w:bookmarkEnd w:id="1"/>
      <w:r w:rsidR="00146D78">
        <w:rPr>
          <w:rFonts w:hint="cs"/>
          <w:rtl/>
        </w:rPr>
        <w:t xml:space="preserve">הנתבעים יפעלו על פי הודעתם ויעבירו לידי ב"כ התובעים את הסכום שאינו שנוי במחלוקת בהקדם. </w:t>
      </w:r>
    </w:p>
    <w:p w:rsidR="00146D78" w:rsidP="00146D78" w:rsidRDefault="00146D78">
      <w:pPr>
        <w:spacing w:line="360" w:lineRule="auto"/>
        <w:ind w:left="720"/>
        <w:jc w:val="both"/>
        <w:rPr>
          <w:rFonts w:hint="cs"/>
          <w:rtl/>
        </w:rPr>
      </w:pPr>
    </w:p>
    <w:p w:rsidR="00146D78" w:rsidP="00146D78" w:rsidRDefault="00146D78">
      <w:pPr>
        <w:spacing w:line="360" w:lineRule="auto"/>
        <w:ind w:firstLine="720"/>
        <w:jc w:val="both"/>
        <w:rPr>
          <w:rFonts w:hint="cs"/>
          <w:rtl/>
        </w:rPr>
      </w:pPr>
      <w:r>
        <w:rPr>
          <w:rFonts w:hint="cs"/>
          <w:rtl/>
        </w:rPr>
        <w:t xml:space="preserve">אין צו נוסף להוצאות. </w:t>
      </w:r>
    </w:p>
    <w:p w:rsidR="00146D78" w:rsidP="00146D78" w:rsidRDefault="00146D78">
      <w:pPr>
        <w:spacing w:line="360" w:lineRule="auto"/>
        <w:jc w:val="both"/>
        <w:rPr>
          <w:rFonts w:hint="cs"/>
          <w:rtl/>
        </w:rPr>
      </w:pPr>
    </w:p>
    <w:p w:rsidR="00146D78" w:rsidP="00146D78" w:rsidRDefault="00146D78">
      <w:pPr>
        <w:spacing w:line="360" w:lineRule="auto"/>
        <w:jc w:val="both"/>
        <w:rPr>
          <w:rFonts w:hint="cs"/>
          <w:rtl/>
        </w:rPr>
      </w:pPr>
    </w:p>
    <w:p w:rsidR="00146D78" w:rsidP="00146D78" w:rsidRDefault="00146D78">
      <w:pPr>
        <w:spacing w:line="360" w:lineRule="auto"/>
        <w:jc w:val="both"/>
        <w:rPr>
          <w:rFonts w:hint="cs"/>
          <w:rtl/>
        </w:rPr>
      </w:pPr>
    </w:p>
    <w:p w:rsidR="00146D78" w:rsidP="00146D78" w:rsidRDefault="00146D78">
      <w:pPr>
        <w:spacing w:line="360" w:lineRule="auto"/>
        <w:jc w:val="both"/>
        <w:rPr>
          <w:rFonts w:hint="cs"/>
          <w:rtl/>
        </w:rPr>
      </w:pPr>
    </w:p>
    <w:p w:rsidR="00146D78" w:rsidP="00146D78" w:rsidRDefault="00146D78">
      <w:pPr>
        <w:spacing w:line="360" w:lineRule="auto"/>
        <w:jc w:val="both"/>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682A8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21308" cy="850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c09df0d242a4d72" cstate="print">
                            <a:extLst>
                              <a:ext uri="{28A0092B-C50C-407E-A947-70E740481C1C}"/>
                            </a:extLst>
                          </a:blip>
                          <a:stretch>
                            <a:fillRect/>
                          </a:stretch>
                        </pic:blipFill>
                        <pic:spPr>
                          <a:xfrm>
                            <a:off x="0" y="0"/>
                            <a:ext cx="1321308" cy="850392"/>
                          </a:xfrm>
                          <a:prstGeom prst="rect">
                            <a:avLst/>
                          </a:prstGeom>
                        </pic:spPr>
                      </pic:pic>
                    </a:graphicData>
                  </a:graphic>
                </wp:inline>
              </w:drawing>
            </w:r>
          </w:p>
        </w:sdtContent>
      </w:sdt>
    </w:p>
    <w:sectPr w:rsidR="00694556" w:rsidSect="006C30C5">
      <w:headerReference w:type="even" r:id="rId13"/>
      <w:headerReference w:type="default" r:id="rId14"/>
      <w:footerReference w:type="even" r:id="rId15"/>
      <w:footerReference w:type="default" r:id="rId16"/>
      <w:headerReference w:type="first" r:id="rId17"/>
      <w:footerReference w:type="first" r:id="rId18"/>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78" w:rsidRDefault="00146D7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82A81">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82A81">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78" w:rsidRDefault="00146D7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78" w:rsidRDefault="00146D7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46D78">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82A81">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36384-11-17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פרץ ואח' נ' קל - אוטו שירותי מימון (1998)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D78" w:rsidRDefault="00146D7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544D0"/>
    <w:multiLevelType w:val="hybridMultilevel"/>
    <w:tmpl w:val="930EE78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32515"/>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46D78"/>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5554E"/>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2A8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D7A70"/>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3ACA"/>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21CD9"/>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055CAA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semiHidden/>
    <w:unhideWhenUsed/>
    <w:rsid w:val="00146D78"/>
    <w:rPr>
      <w:rFonts w:ascii="Times New Roman" w:hAnsi="Times New Roman" w:cs="Times New Roman" w:hint="default"/>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75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www.nevo.co.il/safrut/bookgroup/669" TargetMode="External" Id="rId12" /><Relationship Type="http://schemas.openxmlformats.org/officeDocument/2006/relationships/header" Target="header3.xml" Id="rId17" /><Relationship Type="http://schemas.openxmlformats.org/officeDocument/2006/relationships/footer" Target="footer2.xml" Id="rId16" /><Relationship Type="http://schemas.openxmlformats.org/officeDocument/2006/relationships/glossaryDocument" Target="glossary/document.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case/17945445"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www.nevo.co.il/case/17945112"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image" Target="/media/image2.jpg" Id="Rec09df0d242a4d7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C169D" w:rsidP="008C169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8C169D" w:rsidP="008C169D">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8C169D"/>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169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C169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8C169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896</Words>
  <Characters>4485</Characters>
  <Application>Microsoft Office Word</Application>
  <DocSecurity>0</DocSecurity>
  <Lines>37</Lines>
  <Paragraphs>10</Paragraphs>
  <ScaleCrop>false</ScaleCrop>
  <Company>Microsoft Corporation</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רבקה איזנברג</cp:lastModifiedBy>
  <cp:revision>120</cp:revision>
  <dcterms:created xsi:type="dcterms:W3CDTF">2012-08-06T05:16:00Z</dcterms:created>
  <dcterms:modified xsi:type="dcterms:W3CDTF">2018-04-11T11:32:00Z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