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סגנית נשיא</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לימור רייך</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1D3CCE" w:rsidRDefault="00D25E0F">
                <w:pPr>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D17BFB">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D17BFB">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איי אי ג'י ישראל חברה לביטוח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לאחר עיון בבקשה למינוי מומחה רפואי, על נספחיה, כמו גם תגובת הנתבעת, אני מחליטה בשלב זה על מינוי מומחה שיחווה דעתו בדבר מצבו הרפואי של התובע, אשר נפגע בתאונת דרכים מיום </w:t>
      </w:r>
      <w:r>
        <w:rPr>
          <w:rFonts w:hint="cs" w:ascii="Arial" w:hAnsi="Arial"/>
          <w:noProof w:val="0"/>
          <w:rtl/>
        </w:rPr>
        <w:t>19.9.16</w:t>
      </w:r>
      <w:r w:rsidRPr="003A0949">
        <w:rPr>
          <w:rFonts w:ascii="Arial" w:hAnsi="Arial"/>
          <w:noProof w:val="0"/>
          <w:rtl/>
        </w:rPr>
        <w:t xml:space="preserve"> (להלן: </w:t>
      </w:r>
      <w:r w:rsidRPr="003A0949">
        <w:rPr>
          <w:rFonts w:ascii="Arial" w:hAnsi="Arial"/>
          <w:b/>
          <w:bCs/>
          <w:noProof w:val="0"/>
          <w:rtl/>
        </w:rPr>
        <w:t>"התאונה"</w:t>
      </w:r>
      <w:r w:rsidRPr="003A0949">
        <w:rPr>
          <w:rFonts w:ascii="Arial" w:hAnsi="Arial"/>
          <w:noProof w:val="0"/>
          <w:rtl/>
        </w:rPr>
        <w:t xml:space="preserve">). </w:t>
      </w:r>
    </w:p>
    <w:p w:rsidRPr="003A0949" w:rsidR="003A0949" w:rsidP="003A0949" w:rsidRDefault="003A0949">
      <w:pPr>
        <w:spacing w:line="360" w:lineRule="auto"/>
        <w:ind w:left="360"/>
        <w:contextualSpacing/>
        <w:jc w:val="both"/>
        <w:rPr>
          <w:rFonts w:ascii="Arial" w:hAnsi="Arial"/>
          <w:b/>
          <w:bCs/>
          <w:noProof w:val="0"/>
          <w:rtl/>
        </w:rPr>
      </w:pPr>
    </w:p>
    <w:p w:rsidRPr="003A0949" w:rsidR="003A0949" w:rsidP="003A0949" w:rsidRDefault="003A0949">
      <w:pPr>
        <w:spacing w:line="360" w:lineRule="auto"/>
        <w:ind w:left="360"/>
        <w:contextualSpacing/>
        <w:jc w:val="both"/>
        <w:rPr>
          <w:rFonts w:ascii="Arial" w:hAnsi="Arial"/>
          <w:noProof w:val="0"/>
          <w:rtl/>
        </w:rPr>
      </w:pPr>
      <w:r w:rsidRPr="003A0949">
        <w:rPr>
          <w:rFonts w:ascii="Arial" w:hAnsi="Arial"/>
          <w:b/>
          <w:bCs/>
          <w:noProof w:val="0"/>
          <w:rtl/>
        </w:rPr>
        <w:t xml:space="preserve">אני ממנה את </w:t>
      </w:r>
      <w:r>
        <w:rPr>
          <w:rFonts w:hint="cs" w:ascii="Arial" w:hAnsi="Arial"/>
          <w:b/>
          <w:bCs/>
          <w:noProof w:val="0"/>
          <w:rtl/>
        </w:rPr>
        <w:t>פרופ' דוד ירניצקי</w:t>
      </w:r>
      <w:r w:rsidRPr="003A0949">
        <w:rPr>
          <w:rFonts w:ascii="Arial" w:hAnsi="Arial"/>
          <w:b/>
          <w:bCs/>
          <w:noProof w:val="0"/>
          <w:rtl/>
        </w:rPr>
        <w:t xml:space="preserve"> כמומחה רפואי מטעם בית-המשפט בתחום </w:t>
      </w:r>
      <w:r>
        <w:rPr>
          <w:rFonts w:hint="cs" w:ascii="Arial" w:hAnsi="Arial"/>
          <w:b/>
          <w:bCs/>
          <w:noProof w:val="0"/>
          <w:rtl/>
        </w:rPr>
        <w:t>הנוירולוגיה</w:t>
      </w:r>
      <w:r w:rsidRPr="003A0949">
        <w:rPr>
          <w:rFonts w:ascii="Arial" w:hAnsi="Arial"/>
          <w:b/>
          <w:bCs/>
          <w:noProof w:val="0"/>
          <w:rtl/>
        </w:rPr>
        <w:t xml:space="preserve"> (להלן: "המומחה"</w:t>
      </w:r>
      <w:r w:rsidRPr="003A0949">
        <w:rPr>
          <w:rFonts w:ascii="Arial" w:hAnsi="Arial"/>
          <w:noProof w:val="0"/>
          <w:rtl/>
        </w:rPr>
        <w:t xml:space="preserve">).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spacing w:line="360" w:lineRule="auto"/>
        <w:ind w:left="360"/>
        <w:contextualSpacing/>
        <w:jc w:val="both"/>
        <w:rPr>
          <w:rFonts w:ascii="Arial" w:hAnsi="Arial"/>
          <w:noProof w:val="0"/>
        </w:rPr>
      </w:pPr>
      <w:r>
        <w:rPr>
          <w:rFonts w:ascii="Arial" w:hAnsi="Arial"/>
          <w:noProof w:val="0"/>
          <w:rtl/>
        </w:rPr>
        <w:t>שכר המומחה בסך של 4,500 ₪</w:t>
      </w:r>
      <w:r w:rsidRPr="003A0949">
        <w:rPr>
          <w:rFonts w:ascii="Arial" w:hAnsi="Arial"/>
          <w:noProof w:val="0"/>
          <w:rtl/>
        </w:rPr>
        <w:t xml:space="preserve"> בתוספת מע"מ, ישולם בשלב זה ע"י הנתבעת, שתהא רשאית לעתור לקיזוז שכר המומחה מכל סכום פיצוי שיקבע לתובע, אם לא תמצא נכות כלשהי. באחריות ב"כ הנתבעת לדאוג, כי שכר טרחת המומחה ישולם ישירות למומחה עובר לבדיקה.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ב"כ הצדדים יעבירו למומחה, טרם הבדיקה, את כל החומר הרפואי שבידיהם, למעט חוות דעת רפואית, תוך 30 יום מהיום. בטרם יועבר החומר הרפואי שבידי ב"כ הצדדים לידי המומחה, ידאגו ב"כ הצדדים שניהם להעביר האחד למשנהו את כל החומר הרפואי שבכוונתם להעביר לידי המומחה 7 ימים בטרם יוגש למומחה, על מנת לאפשר התנגדות להעברת החומר באמצעות הגשת בקשה מתאימה לצד שכנגד ולביהמ"ש במידת הצורך. </w:t>
      </w:r>
    </w:p>
    <w:p w:rsidRPr="003A0949" w:rsidR="003A0949" w:rsidP="003A0949" w:rsidRDefault="003A0949">
      <w:pPr>
        <w:spacing w:line="360" w:lineRule="auto"/>
        <w:ind w:left="360"/>
        <w:contextualSpacing/>
        <w:jc w:val="both"/>
        <w:rPr>
          <w:rFonts w:ascii="Arial" w:hAnsi="Arial"/>
          <w:noProof w:val="0"/>
          <w:rtl/>
        </w:rPr>
      </w:pPr>
      <w:r w:rsidRPr="003A0949">
        <w:rPr>
          <w:rFonts w:ascii="Arial" w:hAnsi="Arial"/>
          <w:noProof w:val="0"/>
          <w:rtl/>
        </w:rPr>
        <w:t xml:space="preserve">על המומחה לציין בחוות דעתו אלו מסמכים רפואיים עמדו בפניו בטרם מתן חוות הדעת.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tl/>
        </w:rPr>
      </w:pPr>
      <w:r w:rsidRPr="003A0949">
        <w:rPr>
          <w:rFonts w:ascii="Arial" w:hAnsi="Arial"/>
          <w:noProof w:val="0"/>
          <w:rtl/>
        </w:rPr>
        <w:t xml:space="preserve">המומחה יחל בבדיקה החל מ- 60 יום מהיום והוא מתבקש לשלוח חוות דעתו לב"כ הצדדים וכן לתיק ביהמ"ש </w:t>
      </w:r>
      <w:r w:rsidRPr="003A0949">
        <w:rPr>
          <w:rFonts w:ascii="Arial" w:hAnsi="Arial"/>
          <w:b/>
          <w:bCs/>
          <w:noProof w:val="0"/>
          <w:rtl/>
        </w:rPr>
        <w:t xml:space="preserve">עד ליום </w:t>
      </w:r>
      <w:r>
        <w:rPr>
          <w:rFonts w:hint="cs" w:ascii="Arial" w:hAnsi="Arial"/>
          <w:b/>
          <w:bCs/>
          <w:noProof w:val="0"/>
          <w:rtl/>
        </w:rPr>
        <w:t>11.7.18.</w:t>
      </w:r>
    </w:p>
    <w:p w:rsidRPr="003A0949" w:rsidR="003A0949" w:rsidP="003A0949" w:rsidRDefault="003A0949">
      <w:pPr>
        <w:spacing w:line="360" w:lineRule="auto"/>
        <w:jc w:val="both"/>
        <w:rPr>
          <w:rFonts w:ascii="Arial" w:hAnsi="Arial"/>
          <w:noProof w:val="0"/>
          <w:rtl/>
        </w:rPr>
      </w:pP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lastRenderedPageBreak/>
        <w:t xml:space="preserve">המומחה יחווה דעתו באם לתובע נותרה נכות זמנית או צמיתה כתוצאה מהתאונה, ואם כן באיזה שיעור. כמו כן, יקבע המומחה את תקופת אי הכושר, אם בכלל. </w:t>
      </w: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t>האם יש לצפות לשיפור או להחמרה במצבה בעתיד?</w:t>
      </w: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t>מה הן המגבלות התפקודיות של התובע, אם בכלל, גם בשים לב לעבודתו ולמקצועו?</w:t>
      </w: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t>האם יזדקק התובע לטיפולים רפואיים בעתיד? אם כן, מהם סוגי הטיפולים ומהי העלות המשוערת של הטיפולים בהתאם למחירים הנכונים להיום?</w:t>
      </w: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t xml:space="preserve">המומחה יתייחס, בין היתר, למצבו הרפואי הרלוונטי של התובע עובר לתאונה. </w:t>
      </w:r>
    </w:p>
    <w:p w:rsidRPr="003A0949" w:rsidR="003A0949" w:rsidP="003A0949" w:rsidRDefault="003A0949">
      <w:pPr>
        <w:numPr>
          <w:ilvl w:val="0"/>
          <w:numId w:val="1"/>
        </w:numPr>
        <w:spacing w:line="360" w:lineRule="auto"/>
        <w:contextualSpacing/>
        <w:jc w:val="both"/>
        <w:rPr>
          <w:rFonts w:ascii="Arial" w:hAnsi="Arial"/>
          <w:noProof w:val="0"/>
        </w:rPr>
      </w:pPr>
      <w:r w:rsidRPr="003A0949">
        <w:rPr>
          <w:rFonts w:ascii="Arial" w:hAnsi="Arial"/>
          <w:noProof w:val="0"/>
          <w:rtl/>
        </w:rPr>
        <w:t xml:space="preserve">המומחה יחווה דעתו בדבר הצורך במינוי מומחים נוספים. </w:t>
      </w:r>
    </w:p>
    <w:p w:rsidRPr="003A0949" w:rsidR="003A0949" w:rsidP="003A0949" w:rsidRDefault="003A0949">
      <w:pPr>
        <w:spacing w:line="360" w:lineRule="auto"/>
        <w:jc w:val="both"/>
        <w:rPr>
          <w:rFonts w:ascii="Arial" w:hAnsi="Arial"/>
          <w:noProof w:val="0"/>
          <w:rtl/>
        </w:rPr>
      </w:pPr>
    </w:p>
    <w:p w:rsidRPr="003A0949" w:rsidR="003A0949" w:rsidP="003A0949" w:rsidRDefault="003A0949">
      <w:pPr>
        <w:spacing w:line="360" w:lineRule="auto"/>
        <w:jc w:val="both"/>
        <w:rPr>
          <w:rFonts w:ascii="Arial" w:hAnsi="Arial"/>
          <w:noProof w:val="0"/>
        </w:rPr>
      </w:pPr>
      <w:r w:rsidRPr="003A0949">
        <w:rPr>
          <w:rFonts w:ascii="Arial" w:hAnsi="Arial"/>
          <w:noProof w:val="0"/>
          <w:rtl/>
        </w:rPr>
        <w:t xml:space="preserve">ב"כ הצדדים ישלחו למומחה שאלות הבהרה, ככל שהם מעוניינים בכך, תוך 30 יום מיום קבלת חוות הדעת, והמומחה ישיב עליהן תוך 30 יום מיום קבלתן.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ב"כ הצדדים יגישו לתיק ביהמ"ש ובמישרין לצד שכנגד תחשיבי נזק בצירוף כל המסמכים עליהם מבקשים הם להסתמך, לרבות חוות דעת אקטוארית. ב"כ התובע </w:t>
      </w:r>
      <w:r w:rsidRPr="003A0949">
        <w:rPr>
          <w:rFonts w:ascii="Arial" w:hAnsi="Arial"/>
          <w:b/>
          <w:bCs/>
          <w:noProof w:val="0"/>
          <w:rtl/>
        </w:rPr>
        <w:t xml:space="preserve">עד ליום </w:t>
      </w:r>
      <w:r>
        <w:rPr>
          <w:rFonts w:hint="cs" w:ascii="Arial" w:hAnsi="Arial"/>
          <w:b/>
          <w:bCs/>
          <w:noProof w:val="0"/>
          <w:rtl/>
        </w:rPr>
        <w:t xml:space="preserve">12.8.18 </w:t>
      </w:r>
      <w:r w:rsidRPr="003A0949">
        <w:rPr>
          <w:rFonts w:ascii="Arial" w:hAnsi="Arial"/>
          <w:noProof w:val="0"/>
          <w:rtl/>
        </w:rPr>
        <w:t xml:space="preserve">וב"כ הנתבעת </w:t>
      </w:r>
      <w:r w:rsidRPr="003A0949">
        <w:rPr>
          <w:rFonts w:ascii="Arial" w:hAnsi="Arial"/>
          <w:b/>
          <w:bCs/>
          <w:noProof w:val="0"/>
          <w:rtl/>
        </w:rPr>
        <w:t xml:space="preserve">עד ליום </w:t>
      </w:r>
      <w:r>
        <w:rPr>
          <w:rFonts w:hint="cs" w:ascii="Arial" w:hAnsi="Arial"/>
          <w:b/>
          <w:bCs/>
          <w:noProof w:val="0"/>
          <w:rtl/>
        </w:rPr>
        <w:t>12.9.18</w:t>
      </w:r>
      <w:r w:rsidRPr="003A0949">
        <w:rPr>
          <w:rFonts w:ascii="Arial" w:hAnsi="Arial"/>
          <w:b/>
          <w:bCs/>
          <w:noProof w:val="0"/>
          <w:rtl/>
        </w:rPr>
        <w:t xml:space="preserve">. </w:t>
      </w:r>
      <w:r w:rsidRPr="003A0949">
        <w:rPr>
          <w:rFonts w:ascii="Arial" w:hAnsi="Arial"/>
          <w:noProof w:val="0"/>
          <w:rtl/>
        </w:rPr>
        <w:t xml:space="preserve">לאחר קבלת תחשיבי הנזק אשגר הצעה לצדדים. צד המבקש כי לא אשגר ההצעה בדואר, יודיע על כך במועד הגשת תחשיב הנזק מטעמו.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דו"חות חקירה, אם וככל שיש בהם לתמוך בטענות הנתבעת, יוגשו במעטפה סגורה ישירות ללשכתי במקביל להגשת תחשיב הנזק מטעם הנתבעת. הדו"חות ישמשו לצורך קבלת הצעת ביהמ"ש ולעיון ביהמ"ש בלבד.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כל בקשה בעניינים המנויים בתקנה 143 לתקנות תוגש לתיק ביהמ"ש ובמישרין לצד שכנגד עד 30 יום לפני ישיבת קדם המשפט והתשובה לבקשה תוגש כאמור עד 10 ימים לפני המועד האמור.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לאחר שיגור ההצעה, יבקש ביהמ"ש לשמוע עמדת הצדדים באשר להצעתו ליתן פסק-דין לפי סעיף 4(ג) לחוק הפיצויים לנפגעי תאונות דרכים, התשל"ה-1975.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Pr>
      </w:pPr>
      <w:r w:rsidRPr="003A0949">
        <w:rPr>
          <w:rFonts w:ascii="Arial" w:hAnsi="Arial"/>
          <w:noProof w:val="0"/>
          <w:rtl/>
        </w:rPr>
        <w:t xml:space="preserve">הואיל והחלטה זו ניתנת בהעדר הצדדים, רשאי כל צד לבקש את ביטולה או שינויה, בבקשה בכתב שתוגש תוך 30 יום. </w:t>
      </w:r>
    </w:p>
    <w:p w:rsidRPr="003A0949" w:rsidR="003A0949" w:rsidP="003A0949" w:rsidRDefault="003A0949">
      <w:pPr>
        <w:spacing w:line="360" w:lineRule="auto"/>
        <w:ind w:left="360"/>
        <w:contextualSpacing/>
        <w:jc w:val="both"/>
        <w:rPr>
          <w:rFonts w:ascii="Arial" w:hAnsi="Arial"/>
          <w:noProof w:val="0"/>
        </w:rPr>
      </w:pPr>
    </w:p>
    <w:p w:rsidRPr="003A0949" w:rsidR="003A0949" w:rsidP="003A0949" w:rsidRDefault="003A0949">
      <w:pPr>
        <w:numPr>
          <w:ilvl w:val="0"/>
          <w:numId w:val="2"/>
        </w:numPr>
        <w:spacing w:line="360" w:lineRule="auto"/>
        <w:contextualSpacing/>
        <w:jc w:val="both"/>
        <w:rPr>
          <w:rFonts w:ascii="Arial" w:hAnsi="Arial"/>
          <w:noProof w:val="0"/>
          <w:rtl/>
        </w:rPr>
      </w:pPr>
      <w:r w:rsidRPr="003A0949">
        <w:rPr>
          <w:rFonts w:ascii="Arial" w:hAnsi="Arial"/>
          <w:noProof w:val="0"/>
          <w:rtl/>
        </w:rPr>
        <w:lastRenderedPageBreak/>
        <w:t xml:space="preserve">הנתבעים ו/או תובעים שכנגד ו/או צדדים שלישיים שכתבי טענות מטעמם יוגשו לאחר מתן ההחלטה יפעלו להשלמת ההליכים המפורטים בהחלטה בהתאם. </w:t>
      </w:r>
    </w:p>
    <w:p w:rsidRPr="003A0949" w:rsidR="003A0949" w:rsidP="003A0949" w:rsidRDefault="003A0949">
      <w:pPr>
        <w:spacing w:line="360" w:lineRule="auto"/>
        <w:jc w:val="both"/>
        <w:rPr>
          <w:rFonts w:ascii="Arial" w:hAnsi="Arial"/>
          <w:noProof w:val="0"/>
          <w:rtl/>
        </w:rPr>
      </w:pPr>
    </w:p>
    <w:p w:rsidRPr="003A0949" w:rsidR="003A0949" w:rsidP="00D25E0F" w:rsidRDefault="00D25E0F">
      <w:pPr>
        <w:spacing w:line="360" w:lineRule="auto"/>
        <w:jc w:val="both"/>
        <w:rPr>
          <w:rFonts w:ascii="Arial" w:hAnsi="Arial"/>
          <w:b/>
          <w:bCs/>
          <w:noProof w:val="0"/>
          <w:rtl/>
        </w:rPr>
      </w:pPr>
      <w:r>
        <w:rPr>
          <w:rFonts w:hint="cs" w:ascii="Arial" w:hAnsi="Arial"/>
          <w:b/>
          <w:bCs/>
          <w:noProof w:val="0"/>
          <w:rtl/>
        </w:rPr>
        <w:t>ה</w:t>
      </w:r>
      <w:r w:rsidRPr="003A0949" w:rsidR="003A0949">
        <w:rPr>
          <w:rFonts w:ascii="Arial" w:hAnsi="Arial"/>
          <w:b/>
          <w:bCs/>
          <w:noProof w:val="0"/>
          <w:rtl/>
        </w:rPr>
        <w:t xml:space="preserve">תז"פ </w:t>
      </w:r>
      <w:r>
        <w:rPr>
          <w:rFonts w:hint="cs" w:ascii="Arial" w:hAnsi="Arial"/>
          <w:b/>
          <w:bCs/>
          <w:noProof w:val="0"/>
          <w:rtl/>
        </w:rPr>
        <w:t xml:space="preserve">הקבוע ליום 27.4.18 נדחה </w:t>
      </w:r>
      <w:r w:rsidRPr="003A0949" w:rsidR="003A0949">
        <w:rPr>
          <w:rFonts w:ascii="Arial" w:hAnsi="Arial"/>
          <w:b/>
          <w:bCs/>
          <w:noProof w:val="0"/>
          <w:rtl/>
        </w:rPr>
        <w:t xml:space="preserve">ליום </w:t>
      </w:r>
      <w:r>
        <w:rPr>
          <w:rFonts w:hint="cs" w:ascii="Arial" w:hAnsi="Arial"/>
          <w:b/>
          <w:bCs/>
          <w:noProof w:val="0"/>
          <w:rtl/>
        </w:rPr>
        <w:t>13.9.18</w:t>
      </w:r>
      <w:r w:rsidRPr="003A0949" w:rsidR="003A0949">
        <w:rPr>
          <w:rFonts w:ascii="Arial" w:hAnsi="Arial"/>
          <w:b/>
          <w:bCs/>
          <w:noProof w:val="0"/>
          <w:rtl/>
        </w:rPr>
        <w:t xml:space="preserve"> לשם משלוח הצעתי לצדדים. </w:t>
      </w:r>
    </w:p>
    <w:p w:rsidRPr="003A0949" w:rsidR="003A0949" w:rsidP="003A0949" w:rsidRDefault="003A0949">
      <w:pPr>
        <w:spacing w:line="360" w:lineRule="auto"/>
        <w:jc w:val="both"/>
        <w:rPr>
          <w:rFonts w:ascii="Arial" w:hAnsi="Arial"/>
          <w:noProof w:val="0"/>
          <w:rtl/>
        </w:rPr>
      </w:pPr>
    </w:p>
    <w:p w:rsidRPr="003A0949" w:rsidR="003A0949" w:rsidP="003A0949" w:rsidRDefault="003A0949">
      <w:pPr>
        <w:spacing w:after="160" w:line="259" w:lineRule="auto"/>
        <w:rPr>
          <w:rFonts w:ascii="Calibri" w:hAnsi="Calibri" w:cs="Arial"/>
          <w:noProof w:val="0"/>
          <w:sz w:val="22"/>
          <w:szCs w:val="22"/>
        </w:rPr>
      </w:pPr>
    </w:p>
    <w:p w:rsidRPr="003A0949"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17BF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0532" cy="1037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1801d9737ee4747" cstate="print">
                            <a:extLst>
                              <a:ext uri="{28A0092B-C50C-407E-A947-70E740481C1C}"/>
                            </a:extLst>
                          </a:blip>
                          <a:stretch>
                            <a:fillRect/>
                          </a:stretch>
                        </pic:blipFill>
                        <pic:spPr>
                          <a:xfrm>
                            <a:off x="0" y="0"/>
                            <a:ext cx="1970532" cy="1037844"/>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17BFB">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17BFB">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17BF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D17BFB">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975-04-17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5276CD"/>
    <w:multiLevelType w:val="hybridMultilevel"/>
    <w:tmpl w:val="706435CE"/>
    <w:lvl w:ilvl="0" w:tplc="8E44681A">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F9612D7"/>
    <w:multiLevelType w:val="hybridMultilevel"/>
    <w:tmpl w:val="78188C3C"/>
    <w:lvl w:ilvl="0" w:tplc="56C2BE5C">
      <w:start w:val="1"/>
      <w:numFmt w:val="decimal"/>
      <w:lvlText w:val="%1."/>
      <w:lvlJc w:val="left"/>
      <w:pPr>
        <w:ind w:left="360" w:hanging="360"/>
      </w:pPr>
      <w:rPr>
        <w:rFonts w:cs="David"/>
        <w:b/>
        <w:bCs/>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3CCE"/>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0949"/>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17BFB"/>
    <w:rsid w:val="00D25E0F"/>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0EDC"/>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51801d9737ee47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55D77" w:rsidP="00055D77">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055D77" w:rsidP="00055D77">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55D77"/>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5D7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055D7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055D7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503</Words>
  <Characters>2520</Characters>
  <Application>Microsoft Office Word</Application>
  <DocSecurity>0</DocSecurity>
  <Lines>21</Lines>
  <Paragraphs>6</Paragraphs>
  <ScaleCrop>false</ScaleCrop>
  <Company>Microsoft Corporation</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לימור רייך</cp:lastModifiedBy>
  <cp:revision>104</cp:revision>
  <dcterms:created xsi:type="dcterms:W3CDTF">2012-08-06T05:16:00Z</dcterms:created>
  <dcterms:modified xsi:type="dcterms:W3CDTF">2018-04-11T08:08:00Z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