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43"/>
        <w:gridCol w:w="2506"/>
        <w:gridCol w:w="5571"/>
      </w:tblGrid>
      <w:tr w:rsidR="00231B02" w:rsidRPr="00C9749F" w:rsidTr="00231B02">
        <w:trPr>
          <w:jc w:val="center"/>
        </w:trPr>
        <w:tc>
          <w:tcPr>
            <w:tcW w:w="743" w:type="dxa"/>
            <w:hideMark/>
          </w:tcPr>
          <w:p w:rsidR="00231B02" w:rsidRPr="00C9749F" w:rsidRDefault="00746ECE">
            <w:pPr>
              <w:jc w:val="both"/>
              <w:rPr>
                <w:rFonts w:ascii="Arial (W1)" w:hAnsi="Arial (W1)"/>
                <w:b/>
                <w:bCs/>
              </w:rPr>
            </w:pPr>
            <w:r w:rsidRPr="00C9749F">
              <w:rPr>
                <w:rFonts w:hint="cs"/>
                <w:b/>
                <w:bCs/>
                <w:rtl/>
              </w:rPr>
              <w:t xml:space="preserve">בפני </w:t>
            </w:r>
          </w:p>
        </w:tc>
        <w:tc>
          <w:tcPr>
            <w:tcW w:w="8077" w:type="dxa"/>
            <w:gridSpan w:val="2"/>
            <w:hideMark/>
          </w:tcPr>
          <w:p w:rsidR="00231B02" w:rsidRPr="00C9749F" w:rsidRDefault="00746ECE">
            <w:pPr>
              <w:rPr>
                <w:rFonts w:ascii="Arial" w:hAnsi="Arial"/>
                <w:b/>
                <w:bCs/>
              </w:rPr>
            </w:pPr>
            <w:r w:rsidRPr="00C9749F">
              <w:rPr>
                <w:rFonts w:ascii="Arial" w:hAnsi="Arial" w:hint="cs"/>
                <w:b/>
                <w:bCs/>
                <w:rtl/>
              </w:rPr>
              <w:t>כבוד ה</w:t>
            </w:r>
            <w:sdt>
              <w:sdtPr>
                <w:rPr>
                  <w:rFonts w:hint="cs"/>
                  <w:rtl/>
                </w:rPr>
                <w:alias w:val="1574"/>
                <w:tag w:val="1574"/>
                <w:id w:val="-868990752"/>
                <w:text w:multiLine="1"/>
              </w:sdtPr>
              <w:sdtEndPr/>
              <w:sdtContent>
                <w:r w:rsidRPr="00C9749F">
                  <w:rPr>
                    <w:rFonts w:ascii="Arial" w:hAnsi="Arial" w:hint="cs"/>
                    <w:b/>
                    <w:bCs/>
                    <w:rtl/>
                  </w:rPr>
                  <w:t>שופטת</w:t>
                </w:r>
              </w:sdtContent>
            </w:sdt>
            <w:r w:rsidRPr="00C9749F">
              <w:rPr>
                <w:rFonts w:ascii="Arial" w:hAnsi="Arial" w:hint="cs"/>
                <w:b/>
                <w:bCs/>
                <w:rtl/>
              </w:rPr>
              <w:t xml:space="preserve">  </w:t>
            </w:r>
            <w:sdt>
              <w:sdtPr>
                <w:rPr>
                  <w:rFonts w:hint="cs"/>
                  <w:rtl/>
                </w:rPr>
                <w:alias w:val="1573"/>
                <w:tag w:val="1573"/>
                <w:id w:val="407734867"/>
                <w:text w:multiLine="1"/>
              </w:sdtPr>
              <w:sdtEndPr/>
              <w:sdtContent>
                <w:r w:rsidRPr="00C9749F">
                  <w:rPr>
                    <w:rFonts w:ascii="Arial" w:hAnsi="Arial" w:hint="cs"/>
                    <w:b/>
                    <w:bCs/>
                    <w:rtl/>
                  </w:rPr>
                  <w:t>שולמית ברסלב</w:t>
                </w:r>
              </w:sdtContent>
            </w:sdt>
          </w:p>
        </w:tc>
      </w:tr>
      <w:tr w:rsidR="00231B02" w:rsidRPr="00C9749F" w:rsidTr="00231B02">
        <w:trPr>
          <w:jc w:val="center"/>
        </w:trPr>
        <w:tc>
          <w:tcPr>
            <w:tcW w:w="3249" w:type="dxa"/>
            <w:gridSpan w:val="2"/>
          </w:tcPr>
          <w:p w:rsidR="00231B02" w:rsidRPr="00C9749F" w:rsidRDefault="00C3073C">
            <w:pPr>
              <w:bidi w:val="0"/>
              <w:rPr>
                <w:rFonts w:ascii="Arial (W1)" w:hAnsi="Arial (W1)"/>
                <w:b/>
                <w:bCs/>
                <w:rtl/>
              </w:rPr>
            </w:pPr>
          </w:p>
          <w:sdt>
            <w:sdtPr>
              <w:rPr>
                <w:rtl/>
              </w:rPr>
              <w:alias w:val="1180"/>
              <w:tag w:val="1180"/>
              <w:id w:val="-803768281"/>
              <w:text w:multiLine="1"/>
            </w:sdtPr>
            <w:sdtEndPr/>
            <w:sdtContent>
              <w:p w:rsidR="00231B02" w:rsidRPr="00C9749F" w:rsidRDefault="00746ECE">
                <w:pPr>
                  <w:rPr>
                    <w:rFonts w:ascii="Arial (W1)" w:hAnsi="Arial (W1)"/>
                    <w:b/>
                    <w:bCs/>
                    <w:rtl/>
                  </w:rPr>
                </w:pPr>
                <w:r w:rsidRPr="00C9749F">
                  <w:rPr>
                    <w:rFonts w:hint="cs"/>
                    <w:b/>
                    <w:bCs/>
                    <w:rtl/>
                  </w:rPr>
                  <w:t>התובעת</w:t>
                </w:r>
              </w:p>
            </w:sdtContent>
          </w:sdt>
        </w:tc>
        <w:tc>
          <w:tcPr>
            <w:tcW w:w="5571" w:type="dxa"/>
          </w:tcPr>
          <w:p w:rsidR="00231B02" w:rsidRPr="00C9749F" w:rsidRDefault="00C3073C">
            <w:pPr>
              <w:rPr>
                <w:rFonts w:ascii="Arial (W1)" w:hAnsi="Arial (W1)"/>
                <w:b/>
                <w:bCs/>
              </w:rPr>
            </w:pPr>
          </w:p>
          <w:p w:rsidR="00231B02" w:rsidRPr="00C9749F" w:rsidRDefault="00C3073C">
            <w:pPr>
              <w:rPr>
                <w:rFonts w:ascii="Arial (W1)" w:hAnsi="Arial (W1)"/>
                <w:b/>
                <w:bCs/>
                <w:rtl/>
              </w:rPr>
            </w:pPr>
            <w:sdt>
              <w:sdtPr>
                <w:rPr>
                  <w:rFonts w:hint="cs"/>
                  <w:rtl/>
                </w:rPr>
                <w:alias w:val="1478"/>
                <w:tag w:val="1478"/>
                <w:id w:val="160126198"/>
                <w:text w:multiLine="1"/>
              </w:sdtPr>
              <w:sdtEndPr/>
              <w:sdtContent>
                <w:r w:rsidR="00746ECE" w:rsidRPr="00C9749F">
                  <w:rPr>
                    <w:rFonts w:hint="cs"/>
                    <w:b/>
                    <w:bCs/>
                    <w:rtl/>
                  </w:rPr>
                  <w:t>גוינט ישראל (חל"צ)</w:t>
                </w:r>
                <w:r w:rsidR="00746ECE" w:rsidRPr="00C9749F">
                  <w:rPr>
                    <w:rFonts w:hint="cs"/>
                    <w:b/>
                    <w:bCs/>
                    <w:rtl/>
                  </w:rPr>
                  <w:br/>
                </w:r>
                <w:r w:rsidR="00746ECE" w:rsidRPr="00C9749F">
                  <w:rPr>
                    <w:rFonts w:hint="cs"/>
                    <w:rtl/>
                  </w:rPr>
                  <w:t>ע"י ב''כ עוה''ד מיכאל מאיר ואח'</w:t>
                </w:r>
              </w:sdtContent>
            </w:sdt>
          </w:p>
        </w:tc>
      </w:tr>
      <w:tr w:rsidR="00231B02" w:rsidRPr="00C9749F" w:rsidTr="00231B02">
        <w:trPr>
          <w:jc w:val="center"/>
        </w:trPr>
        <w:tc>
          <w:tcPr>
            <w:tcW w:w="8820" w:type="dxa"/>
            <w:gridSpan w:val="3"/>
          </w:tcPr>
          <w:p w:rsidR="00231B02" w:rsidRPr="00C9749F" w:rsidRDefault="00C3073C">
            <w:pPr>
              <w:rPr>
                <w:rFonts w:ascii="Arial (W1)" w:hAnsi="Arial (W1)"/>
                <w:b/>
                <w:bCs/>
              </w:rPr>
            </w:pPr>
          </w:p>
          <w:p w:rsidR="00231B02" w:rsidRPr="00C9749F" w:rsidRDefault="00746ECE">
            <w:pPr>
              <w:jc w:val="center"/>
              <w:rPr>
                <w:b/>
                <w:bCs/>
                <w:rtl/>
              </w:rPr>
            </w:pPr>
            <w:r w:rsidRPr="00C9749F">
              <w:rPr>
                <w:rFonts w:hint="cs"/>
                <w:b/>
                <w:bCs/>
                <w:rtl/>
              </w:rPr>
              <w:t>נגד</w:t>
            </w:r>
          </w:p>
          <w:p w:rsidR="00231B02" w:rsidRPr="00C9749F" w:rsidRDefault="00C3073C">
            <w:pPr>
              <w:rPr>
                <w:rFonts w:ascii="Arial (W1)" w:hAnsi="Arial (W1)"/>
                <w:b/>
                <w:bCs/>
                <w:rtl/>
              </w:rPr>
            </w:pPr>
          </w:p>
        </w:tc>
      </w:tr>
      <w:tr w:rsidR="00231B02" w:rsidRPr="00C9749F" w:rsidTr="00231B02">
        <w:trPr>
          <w:jc w:val="center"/>
        </w:trPr>
        <w:tc>
          <w:tcPr>
            <w:tcW w:w="3249" w:type="dxa"/>
            <w:gridSpan w:val="2"/>
          </w:tcPr>
          <w:p w:rsidR="00231B02" w:rsidRPr="00C9749F" w:rsidRDefault="00C3073C">
            <w:pPr>
              <w:rPr>
                <w:rFonts w:ascii="Arial (W1)" w:hAnsi="Arial (W1)"/>
                <w:b/>
                <w:bCs/>
              </w:rPr>
            </w:pPr>
          </w:p>
          <w:p w:rsidR="00231B02" w:rsidRPr="00C9749F" w:rsidRDefault="00C3073C">
            <w:pPr>
              <w:rPr>
                <w:rFonts w:ascii="Arial (W1)" w:hAnsi="Arial (W1)"/>
                <w:b/>
                <w:bCs/>
                <w:rtl/>
              </w:rPr>
            </w:pPr>
            <w:sdt>
              <w:sdtPr>
                <w:rPr>
                  <w:rFonts w:hint="cs"/>
                  <w:rtl/>
                </w:rPr>
                <w:alias w:val="1184"/>
                <w:tag w:val="1184"/>
                <w:id w:val="-910234160"/>
                <w:text w:multiLine="1"/>
              </w:sdtPr>
              <w:sdtEndPr/>
              <w:sdtContent>
                <w:r w:rsidR="00746ECE" w:rsidRPr="00C9749F">
                  <w:rPr>
                    <w:rFonts w:hint="cs"/>
                    <w:b/>
                    <w:bCs/>
                    <w:rtl/>
                  </w:rPr>
                  <w:t>הנתבעת</w:t>
                </w:r>
              </w:sdtContent>
            </w:sdt>
          </w:p>
        </w:tc>
        <w:tc>
          <w:tcPr>
            <w:tcW w:w="5571" w:type="dxa"/>
          </w:tcPr>
          <w:p w:rsidR="00231B02" w:rsidRPr="00C9749F" w:rsidRDefault="00C3073C">
            <w:pPr>
              <w:rPr>
                <w:rFonts w:ascii="Arial (W1)" w:hAnsi="Arial (W1)"/>
                <w:b/>
                <w:bCs/>
              </w:rPr>
            </w:pPr>
          </w:p>
          <w:p w:rsidR="00231B02" w:rsidRPr="00C9749F" w:rsidRDefault="00C3073C">
            <w:pPr>
              <w:rPr>
                <w:rFonts w:ascii="Arial (W1)" w:hAnsi="Arial (W1)"/>
                <w:b/>
                <w:bCs/>
                <w:rtl/>
              </w:rPr>
            </w:pPr>
            <w:sdt>
              <w:sdtPr>
                <w:rPr>
                  <w:rFonts w:hint="cs"/>
                  <w:rtl/>
                </w:rPr>
                <w:alias w:val="1486"/>
                <w:tag w:val="1486"/>
                <w:id w:val="1487590763"/>
                <w:text w:multiLine="1"/>
              </w:sdtPr>
              <w:sdtEndPr/>
              <w:sdtContent>
                <w:r w:rsidR="00746ECE" w:rsidRPr="00C9749F">
                  <w:rPr>
                    <w:rFonts w:hint="cs"/>
                    <w:b/>
                    <w:bCs/>
                    <w:rtl/>
                  </w:rPr>
                  <w:t>עמותת אחוה-איגוד רב תחומי לאנשים עם מוגלות</w:t>
                </w:r>
              </w:sdtContent>
            </w:sdt>
          </w:p>
        </w:tc>
      </w:tr>
    </w:tbl>
    <w:p w:rsidR="001434F7" w:rsidRDefault="00C3073C">
      <w:pPr>
        <w:rPr>
          <w:rtl/>
        </w:rPr>
      </w:pP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20"/>
      </w:tblGrid>
      <w:tr w:rsidR="00694556" w:rsidRPr="00DE1E7D">
        <w:trPr>
          <w:jc w:val="center"/>
        </w:trPr>
        <w:tc>
          <w:tcPr>
            <w:tcW w:w="8820" w:type="dxa"/>
          </w:tcPr>
          <w:p w:rsidR="00694556" w:rsidRDefault="00180519">
            <w:pPr>
              <w:bidi w:val="0"/>
              <w:jc w:val="center"/>
              <w:rPr>
                <w:rFonts w:ascii="Arial" w:hAnsi="Arial"/>
                <w:b/>
                <w:bCs/>
                <w:noProof w:val="0"/>
                <w:sz w:val="28"/>
                <w:szCs w:val="28"/>
                <w:u w:val="single"/>
              </w:rPr>
            </w:pPr>
            <w:r w:rsidRPr="00D44968">
              <w:rPr>
                <w:rFonts w:ascii="Arial" w:hAnsi="Arial" w:hint="cs"/>
                <w:b/>
                <w:bCs/>
                <w:noProof w:val="0"/>
                <w:sz w:val="28"/>
                <w:szCs w:val="28"/>
                <w:u w:val="single"/>
                <w:rtl/>
              </w:rPr>
              <w:t>החלטה</w:t>
            </w:r>
          </w:p>
          <w:p w:rsidR="00D44968" w:rsidRPr="00D44968" w:rsidRDefault="00D44968" w:rsidP="00D44968">
            <w:pPr>
              <w:bidi w:val="0"/>
              <w:jc w:val="center"/>
              <w:rPr>
                <w:rFonts w:ascii="Arial" w:hAnsi="Arial"/>
                <w:b/>
                <w:bCs/>
                <w:noProof w:val="0"/>
                <w:sz w:val="28"/>
                <w:szCs w:val="28"/>
                <w:u w:val="single"/>
              </w:rPr>
            </w:pPr>
          </w:p>
        </w:tc>
      </w:tr>
    </w:tbl>
    <w:p w:rsidR="00794B94" w:rsidRDefault="00794B94" w:rsidP="0060571C">
      <w:pPr>
        <w:spacing w:after="160" w:line="360" w:lineRule="auto"/>
        <w:ind w:left="283" w:right="-567" w:hanging="567"/>
        <w:jc w:val="both"/>
        <w:rPr>
          <w:rFonts w:asciiTheme="minorHAnsi" w:hAnsiTheme="minorHAnsi"/>
          <w:rtl/>
        </w:rPr>
      </w:pPr>
      <w:bookmarkStart w:id="0" w:name="NGCSBookmark"/>
      <w:bookmarkEnd w:id="0"/>
      <w:r>
        <w:rPr>
          <w:rFonts w:asciiTheme="minorHAnsi" w:hAnsiTheme="minorHAnsi" w:hint="cs"/>
          <w:rtl/>
        </w:rPr>
        <w:t>1.</w:t>
      </w:r>
      <w:r>
        <w:rPr>
          <w:rFonts w:asciiTheme="minorHAnsi" w:hAnsiTheme="minorHAnsi" w:hint="cs"/>
          <w:rtl/>
        </w:rPr>
        <w:tab/>
        <w:t>לפני בקשה חוזרת למתן פסק דין בהעדר הגנה.</w:t>
      </w:r>
    </w:p>
    <w:p w:rsidR="00794B94" w:rsidRDefault="00794B94" w:rsidP="006A69B5">
      <w:pPr>
        <w:spacing w:after="160" w:line="360" w:lineRule="auto"/>
        <w:ind w:left="283" w:right="-567" w:hanging="567"/>
        <w:jc w:val="both"/>
        <w:rPr>
          <w:rFonts w:asciiTheme="minorHAnsi" w:hAnsiTheme="minorHAnsi"/>
          <w:rtl/>
        </w:rPr>
      </w:pPr>
      <w:r>
        <w:rPr>
          <w:rFonts w:asciiTheme="minorHAnsi" w:hAnsiTheme="minorHAnsi" w:hint="cs"/>
          <w:rtl/>
        </w:rPr>
        <w:t>2.</w:t>
      </w:r>
      <w:r>
        <w:rPr>
          <w:rFonts w:asciiTheme="minorHAnsi" w:hAnsiTheme="minorHAnsi" w:hint="cs"/>
          <w:rtl/>
        </w:rPr>
        <w:tab/>
      </w:r>
      <w:r w:rsidR="00415797">
        <w:rPr>
          <w:rFonts w:asciiTheme="minorHAnsi" w:hAnsiTheme="minorHAnsi" w:hint="cs"/>
          <w:rtl/>
        </w:rPr>
        <w:t>בהתאם להלכה הפסוקה</w:t>
      </w:r>
      <w:r w:rsidR="00415797">
        <w:rPr>
          <w:rFonts w:asciiTheme="minorHAnsi" w:hAnsiTheme="minorHAnsi" w:hint="cs"/>
          <w:b/>
          <w:bCs/>
          <w:rtl/>
        </w:rPr>
        <w:t>:</w:t>
      </w:r>
      <w:r>
        <w:rPr>
          <w:rFonts w:asciiTheme="minorHAnsi" w:hAnsiTheme="minorHAnsi" w:hint="cs"/>
          <w:b/>
          <w:bCs/>
          <w:rtl/>
        </w:rPr>
        <w:t xml:space="preserve"> "כל עוד לא ניתן פסק דין מחוסר הגנה, רשאי הנתבע להגיש כתב הגנה אפילו עבר המועד ודינו כדין הנתבע שהגיש הגנתו בזמן". </w:t>
      </w:r>
      <w:r>
        <w:rPr>
          <w:rFonts w:asciiTheme="minorHAnsi" w:hAnsiTheme="minorHAnsi" w:hint="cs"/>
          <w:rtl/>
        </w:rPr>
        <w:t>הלכה זו</w:t>
      </w:r>
      <w:r w:rsidR="008E5769">
        <w:rPr>
          <w:rFonts w:asciiTheme="minorHAnsi" w:hAnsiTheme="minorHAnsi" w:hint="cs"/>
          <w:rtl/>
        </w:rPr>
        <w:t xml:space="preserve">, </w:t>
      </w:r>
      <w:r>
        <w:rPr>
          <w:rFonts w:asciiTheme="minorHAnsi" w:hAnsiTheme="minorHAnsi" w:hint="cs"/>
          <w:rtl/>
        </w:rPr>
        <w:t xml:space="preserve">מהווה </w:t>
      </w:r>
      <w:r w:rsidRPr="007908E3">
        <w:rPr>
          <w:rFonts w:asciiTheme="minorHAnsi" w:hAnsiTheme="minorHAnsi" w:hint="cs"/>
          <w:u w:val="single"/>
          <w:rtl/>
        </w:rPr>
        <w:t>סייג</w:t>
      </w:r>
      <w:r>
        <w:rPr>
          <w:rFonts w:asciiTheme="minorHAnsi" w:hAnsiTheme="minorHAnsi" w:hint="cs"/>
          <w:rtl/>
        </w:rPr>
        <w:t xml:space="preserve"> ל</w:t>
      </w:r>
      <w:r w:rsidR="00BD091A">
        <w:rPr>
          <w:rFonts w:asciiTheme="minorHAnsi" w:hAnsiTheme="minorHAnsi" w:hint="cs"/>
          <w:rtl/>
        </w:rPr>
        <w:t>כלל הקבוע ב</w:t>
      </w:r>
      <w:r>
        <w:rPr>
          <w:rFonts w:asciiTheme="minorHAnsi" w:hAnsiTheme="minorHAnsi" w:hint="cs"/>
          <w:rtl/>
        </w:rPr>
        <w:t>תקנה 97(א) לתקנו</w:t>
      </w:r>
      <w:r w:rsidR="00224BFB">
        <w:rPr>
          <w:rFonts w:asciiTheme="minorHAnsi" w:hAnsiTheme="minorHAnsi" w:hint="cs"/>
          <w:rtl/>
        </w:rPr>
        <w:t>ת סדר הדין האזרחי התשמ''ד- 1984</w:t>
      </w:r>
      <w:r w:rsidR="007908E3">
        <w:rPr>
          <w:rFonts w:asciiTheme="minorHAnsi" w:hAnsiTheme="minorHAnsi" w:hint="cs"/>
          <w:rtl/>
        </w:rPr>
        <w:t xml:space="preserve"> (להלן "התקנות").</w:t>
      </w:r>
      <w:r w:rsidR="00224BFB" w:rsidRPr="00224BFB">
        <w:rPr>
          <w:rFonts w:asciiTheme="minorHAnsi" w:hAnsiTheme="minorHAnsi" w:hint="cs"/>
          <w:rtl/>
        </w:rPr>
        <w:t xml:space="preserve"> </w:t>
      </w:r>
      <w:r w:rsidR="008E5769">
        <w:rPr>
          <w:rFonts w:asciiTheme="minorHAnsi" w:hAnsiTheme="minorHAnsi" w:hint="cs"/>
          <w:rtl/>
        </w:rPr>
        <w:t xml:space="preserve">'הגבול העליון', </w:t>
      </w:r>
      <w:r w:rsidR="008A0A0F">
        <w:rPr>
          <w:rFonts w:asciiTheme="minorHAnsi" w:hAnsiTheme="minorHAnsi" w:hint="cs"/>
          <w:rtl/>
        </w:rPr>
        <w:t xml:space="preserve">אשר לאחריו לא ניתן להתחשב בכתב הגנה שהוגש באיחור, </w:t>
      </w:r>
      <w:r w:rsidR="00224BFB">
        <w:rPr>
          <w:rFonts w:asciiTheme="minorHAnsi" w:hAnsiTheme="minorHAnsi" w:hint="cs"/>
          <w:rtl/>
        </w:rPr>
        <w:t xml:space="preserve">הוא מועד </w:t>
      </w:r>
      <w:r w:rsidR="0024602D">
        <w:rPr>
          <w:rFonts w:asciiTheme="minorHAnsi" w:hAnsiTheme="minorHAnsi" w:hint="cs"/>
          <w:rtl/>
        </w:rPr>
        <w:t>הדיון ב</w:t>
      </w:r>
      <w:r w:rsidR="008922F2">
        <w:rPr>
          <w:rFonts w:asciiTheme="minorHAnsi" w:hAnsiTheme="minorHAnsi" w:hint="cs"/>
          <w:rtl/>
        </w:rPr>
        <w:t xml:space="preserve">בקשה למתן </w:t>
      </w:r>
      <w:r w:rsidR="00224BFB">
        <w:rPr>
          <w:rFonts w:asciiTheme="minorHAnsi" w:hAnsiTheme="minorHAnsi" w:hint="cs"/>
          <w:rtl/>
        </w:rPr>
        <w:t>פסק דין בהעדר הגנה</w:t>
      </w:r>
      <w:r w:rsidR="00C345B5">
        <w:rPr>
          <w:rFonts w:asciiTheme="minorHAnsi" w:hAnsiTheme="minorHAnsi" w:hint="cs"/>
          <w:rtl/>
        </w:rPr>
        <w:t>,</w:t>
      </w:r>
      <w:r w:rsidR="00574852">
        <w:rPr>
          <w:rFonts w:asciiTheme="minorHAnsi" w:hAnsiTheme="minorHAnsi" w:hint="cs"/>
          <w:rtl/>
        </w:rPr>
        <w:t xml:space="preserve"> </w:t>
      </w:r>
      <w:r w:rsidR="00D62E77">
        <w:rPr>
          <w:rFonts w:asciiTheme="minorHAnsi" w:hAnsiTheme="minorHAnsi" w:hint="cs"/>
          <w:rtl/>
        </w:rPr>
        <w:t xml:space="preserve">קרי: המועד בו הגיעה הבקשה למתן פסק דין לעיונו של השופט, </w:t>
      </w:r>
      <w:r w:rsidR="0061503C">
        <w:rPr>
          <w:rFonts w:asciiTheme="minorHAnsi" w:hAnsiTheme="minorHAnsi" w:hint="cs"/>
          <w:rtl/>
        </w:rPr>
        <w:t>ו</w:t>
      </w:r>
      <w:r w:rsidR="0061503C" w:rsidRPr="000F7418">
        <w:rPr>
          <w:rFonts w:asciiTheme="minorHAnsi" w:hAnsiTheme="minorHAnsi" w:hint="cs"/>
          <w:u w:val="single"/>
          <w:rtl/>
        </w:rPr>
        <w:t>לא</w:t>
      </w:r>
      <w:r w:rsidR="00D62E77">
        <w:rPr>
          <w:rFonts w:asciiTheme="minorHAnsi" w:hAnsiTheme="minorHAnsi" w:hint="cs"/>
          <w:rtl/>
        </w:rPr>
        <w:t xml:space="preserve"> </w:t>
      </w:r>
      <w:r w:rsidR="00574852">
        <w:rPr>
          <w:rFonts w:asciiTheme="minorHAnsi" w:hAnsiTheme="minorHAnsi" w:hint="cs"/>
          <w:rtl/>
        </w:rPr>
        <w:t xml:space="preserve">מועד </w:t>
      </w:r>
      <w:r w:rsidR="00224BFB">
        <w:rPr>
          <w:rFonts w:asciiTheme="minorHAnsi" w:hAnsiTheme="minorHAnsi" w:hint="cs"/>
          <w:rtl/>
        </w:rPr>
        <w:t>הגשת הבקשה</w:t>
      </w:r>
      <w:r w:rsidR="00574852">
        <w:rPr>
          <w:rFonts w:asciiTheme="minorHAnsi" w:hAnsiTheme="minorHAnsi" w:hint="cs"/>
          <w:rtl/>
        </w:rPr>
        <w:t xml:space="preserve"> (</w:t>
      </w:r>
      <w:r>
        <w:rPr>
          <w:rFonts w:asciiTheme="minorHAnsi" w:hAnsiTheme="minorHAnsi" w:hint="cs"/>
          <w:rtl/>
        </w:rPr>
        <w:t xml:space="preserve">ראו: ע"א 392/89, 410/85 </w:t>
      </w:r>
      <w:r>
        <w:rPr>
          <w:rFonts w:asciiTheme="minorHAnsi" w:hAnsiTheme="minorHAnsi" w:hint="cs"/>
          <w:b/>
          <w:bCs/>
          <w:rtl/>
        </w:rPr>
        <w:t>ע</w:t>
      </w:r>
      <w:r w:rsidR="008A0A0F">
        <w:rPr>
          <w:rFonts w:asciiTheme="minorHAnsi" w:hAnsiTheme="minorHAnsi" w:hint="cs"/>
          <w:b/>
          <w:bCs/>
          <w:rtl/>
        </w:rPr>
        <w:t>ינ</w:t>
      </w:r>
      <w:r>
        <w:rPr>
          <w:rFonts w:asciiTheme="minorHAnsi" w:hAnsiTheme="minorHAnsi" w:hint="cs"/>
          <w:b/>
          <w:bCs/>
          <w:rtl/>
        </w:rPr>
        <w:t>צ'י נ' הסוכנות היהודית לארץ ישראל</w:t>
      </w:r>
      <w:r>
        <w:rPr>
          <w:rFonts w:asciiTheme="minorHAnsi" w:hAnsiTheme="minorHAnsi" w:hint="cs"/>
          <w:rtl/>
        </w:rPr>
        <w:t xml:space="preserve"> פ"ד מד(4) 4 (1990)</w:t>
      </w:r>
      <w:r w:rsidR="00FD0E0F">
        <w:rPr>
          <w:rFonts w:asciiTheme="minorHAnsi" w:hAnsiTheme="minorHAnsi" w:hint="cs"/>
          <w:rtl/>
        </w:rPr>
        <w:t xml:space="preserve"> (להלן "</w:t>
      </w:r>
      <w:r w:rsidR="00557094">
        <w:rPr>
          <w:rFonts w:asciiTheme="minorHAnsi" w:hAnsiTheme="minorHAnsi" w:hint="cs"/>
          <w:rtl/>
        </w:rPr>
        <w:t>עניין</w:t>
      </w:r>
      <w:r w:rsidR="00FD0E0F">
        <w:rPr>
          <w:rFonts w:asciiTheme="minorHAnsi" w:hAnsiTheme="minorHAnsi" w:hint="cs"/>
          <w:rtl/>
        </w:rPr>
        <w:t xml:space="preserve"> ע</w:t>
      </w:r>
      <w:r w:rsidR="008A0A0F">
        <w:rPr>
          <w:rFonts w:asciiTheme="minorHAnsi" w:hAnsiTheme="minorHAnsi" w:hint="cs"/>
          <w:rtl/>
        </w:rPr>
        <w:t>ינ</w:t>
      </w:r>
      <w:r w:rsidR="00FD0E0F">
        <w:rPr>
          <w:rFonts w:asciiTheme="minorHAnsi" w:hAnsiTheme="minorHAnsi" w:hint="cs"/>
          <w:rtl/>
        </w:rPr>
        <w:t>צ'י")</w:t>
      </w:r>
      <w:r>
        <w:rPr>
          <w:rFonts w:asciiTheme="minorHAnsi" w:hAnsiTheme="minorHAnsi" w:hint="cs"/>
          <w:rtl/>
        </w:rPr>
        <w:t xml:space="preserve">; </w:t>
      </w:r>
      <w:r w:rsidR="0061503C">
        <w:rPr>
          <w:rFonts w:asciiTheme="minorHAnsi" w:hAnsiTheme="minorHAnsi" w:hint="cs"/>
          <w:rtl/>
        </w:rPr>
        <w:t xml:space="preserve">וראו גם למשל: </w:t>
      </w:r>
      <w:r w:rsidR="00BD091A">
        <w:rPr>
          <w:rFonts w:asciiTheme="minorHAnsi" w:hAnsiTheme="minorHAnsi" w:hint="cs"/>
          <w:rtl/>
        </w:rPr>
        <w:t xml:space="preserve">ע"א 10152/07 </w:t>
      </w:r>
      <w:r w:rsidR="00BD091A">
        <w:rPr>
          <w:rFonts w:asciiTheme="minorHAnsi" w:hAnsiTheme="minorHAnsi" w:hint="cs"/>
          <w:b/>
          <w:bCs/>
          <w:rtl/>
        </w:rPr>
        <w:t>פדידה נ' רפאלי</w:t>
      </w:r>
      <w:r w:rsidR="00BD091A">
        <w:rPr>
          <w:rFonts w:asciiTheme="minorHAnsi" w:hAnsiTheme="minorHAnsi" w:hint="cs"/>
          <w:rtl/>
        </w:rPr>
        <w:t xml:space="preserve"> (15.12.10);</w:t>
      </w:r>
      <w:r w:rsidR="0061503C">
        <w:rPr>
          <w:rFonts w:asciiTheme="minorHAnsi" w:hAnsiTheme="minorHAnsi" w:hint="cs"/>
          <w:rtl/>
        </w:rPr>
        <w:t xml:space="preserve"> </w:t>
      </w:r>
      <w:r w:rsidR="00D659B3">
        <w:rPr>
          <w:rFonts w:asciiTheme="minorHAnsi" w:hAnsiTheme="minorHAnsi" w:hint="cs"/>
          <w:rtl/>
        </w:rPr>
        <w:t xml:space="preserve">ע"א 519/82 </w:t>
      </w:r>
      <w:r w:rsidR="00D659B3">
        <w:rPr>
          <w:rFonts w:asciiTheme="minorHAnsi" w:hAnsiTheme="minorHAnsi" w:hint="cs"/>
          <w:b/>
          <w:bCs/>
          <w:rtl/>
        </w:rPr>
        <w:t>פ"ש ת"א נ. נחושתן</w:t>
      </w:r>
      <w:r w:rsidR="00D659B3">
        <w:rPr>
          <w:rFonts w:asciiTheme="minorHAnsi" w:hAnsiTheme="minorHAnsi" w:hint="cs"/>
          <w:rtl/>
        </w:rPr>
        <w:t xml:space="preserve"> פ"ד לט(3) 240 (1985)</w:t>
      </w:r>
      <w:r w:rsidR="002727A6">
        <w:rPr>
          <w:rFonts w:asciiTheme="minorHAnsi" w:hAnsiTheme="minorHAnsi" w:hint="cs"/>
          <w:rtl/>
        </w:rPr>
        <w:t>;</w:t>
      </w:r>
      <w:r w:rsidR="00D659B3">
        <w:rPr>
          <w:rFonts w:asciiTheme="minorHAnsi" w:hAnsiTheme="minorHAnsi" w:hint="cs"/>
          <w:rtl/>
        </w:rPr>
        <w:t xml:space="preserve"> </w:t>
      </w:r>
      <w:r>
        <w:rPr>
          <w:rFonts w:asciiTheme="minorHAnsi" w:hAnsiTheme="minorHAnsi" w:hint="cs"/>
          <w:rtl/>
        </w:rPr>
        <w:t xml:space="preserve">ע"א 6265/04 </w:t>
      </w:r>
      <w:r>
        <w:rPr>
          <w:rFonts w:asciiTheme="minorHAnsi" w:hAnsiTheme="minorHAnsi" w:hint="cs"/>
          <w:b/>
          <w:bCs/>
          <w:rtl/>
        </w:rPr>
        <w:t xml:space="preserve">כסיף נ. רובין </w:t>
      </w:r>
      <w:r>
        <w:rPr>
          <w:rFonts w:asciiTheme="minorHAnsi" w:hAnsiTheme="minorHAnsi" w:hint="cs"/>
          <w:rtl/>
        </w:rPr>
        <w:t>פ"ד נט (</w:t>
      </w:r>
      <w:r w:rsidR="000800CC">
        <w:rPr>
          <w:rFonts w:asciiTheme="minorHAnsi" w:hAnsiTheme="minorHAnsi" w:hint="cs"/>
          <w:rtl/>
        </w:rPr>
        <w:t>3</w:t>
      </w:r>
      <w:r w:rsidR="00971E8B">
        <w:rPr>
          <w:rFonts w:asciiTheme="minorHAnsi" w:hAnsiTheme="minorHAnsi" w:hint="cs"/>
          <w:rtl/>
        </w:rPr>
        <w:t>) 913 (2004);</w:t>
      </w:r>
      <w:r>
        <w:rPr>
          <w:rFonts w:asciiTheme="minorHAnsi" w:hAnsiTheme="minorHAnsi" w:hint="cs"/>
          <w:rtl/>
        </w:rPr>
        <w:t xml:space="preserve"> ת.א. (מחוזי חיפה) 60287-11-14 </w:t>
      </w:r>
      <w:r>
        <w:rPr>
          <w:rFonts w:asciiTheme="minorHAnsi" w:hAnsiTheme="minorHAnsi" w:hint="cs"/>
          <w:b/>
          <w:bCs/>
          <w:rtl/>
        </w:rPr>
        <w:t>החברה לאיתור ולהשבת נכסים של נספי השואה בע''מ</w:t>
      </w:r>
      <w:r>
        <w:rPr>
          <w:rFonts w:asciiTheme="minorHAnsi" w:hAnsiTheme="minorHAnsi" w:hint="cs"/>
          <w:rtl/>
        </w:rPr>
        <w:t xml:space="preserve"> </w:t>
      </w:r>
      <w:r>
        <w:rPr>
          <w:rFonts w:asciiTheme="minorHAnsi" w:hAnsiTheme="minorHAnsi" w:hint="cs"/>
          <w:b/>
          <w:bCs/>
          <w:rtl/>
        </w:rPr>
        <w:t>נ' נתיבי ישראל החברה הלאומית לתשתיות תחבורה בע''מ</w:t>
      </w:r>
      <w:r>
        <w:rPr>
          <w:rFonts w:asciiTheme="minorHAnsi" w:hAnsiTheme="minorHAnsi" w:hint="cs"/>
          <w:rtl/>
        </w:rPr>
        <w:t xml:space="preserve"> (27.01.15); ת.א. (מחוזי מרכז) 4130-05-08 </w:t>
      </w:r>
      <w:r>
        <w:rPr>
          <w:rFonts w:asciiTheme="minorHAnsi" w:hAnsiTheme="minorHAnsi" w:hint="cs"/>
          <w:b/>
          <w:bCs/>
          <w:rtl/>
        </w:rPr>
        <w:t xml:space="preserve">ברוך נ. </w:t>
      </w:r>
      <w:r>
        <w:rPr>
          <w:rFonts w:asciiTheme="minorHAnsi" w:hAnsiTheme="minorHAnsi"/>
          <w:b/>
          <w:bCs/>
        </w:rPr>
        <w:t xml:space="preserve">LTD </w:t>
      </w:r>
      <w:r>
        <w:rPr>
          <w:rFonts w:asciiTheme="minorHAnsi" w:hAnsiTheme="minorHAnsi" w:hint="cs"/>
          <w:b/>
          <w:bCs/>
          <w:rtl/>
        </w:rPr>
        <w:t xml:space="preserve"> 12-12</w:t>
      </w:r>
      <w:r>
        <w:rPr>
          <w:rFonts w:asciiTheme="minorHAnsi" w:hAnsiTheme="minorHAnsi" w:hint="cs"/>
          <w:rtl/>
        </w:rPr>
        <w:t xml:space="preserve"> (05.07.09)</w:t>
      </w:r>
      <w:r w:rsidR="0079075F">
        <w:rPr>
          <w:rFonts w:asciiTheme="minorHAnsi" w:hAnsiTheme="minorHAnsi" w:hint="cs"/>
          <w:rtl/>
        </w:rPr>
        <w:t xml:space="preserve">; י. זוסמן </w:t>
      </w:r>
      <w:r w:rsidR="0079075F" w:rsidRPr="006A69B5">
        <w:rPr>
          <w:rFonts w:asciiTheme="minorHAnsi" w:hAnsiTheme="minorHAnsi" w:hint="cs"/>
          <w:b/>
          <w:bCs/>
          <w:rtl/>
        </w:rPr>
        <w:t>"סדרי הדין האזרחי"</w:t>
      </w:r>
      <w:r w:rsidR="0079075F">
        <w:rPr>
          <w:rFonts w:asciiTheme="minorHAnsi" w:hAnsiTheme="minorHAnsi" w:hint="cs"/>
          <w:rtl/>
        </w:rPr>
        <w:t xml:space="preserve"> מהדורה שביעית </w:t>
      </w:r>
      <w:r w:rsidR="0079075F">
        <w:rPr>
          <w:rFonts w:asciiTheme="minorHAnsi" w:hAnsiTheme="minorHAnsi"/>
          <w:rtl/>
        </w:rPr>
        <w:t>–</w:t>
      </w:r>
      <w:r w:rsidR="0079075F">
        <w:rPr>
          <w:rFonts w:asciiTheme="minorHAnsi" w:hAnsiTheme="minorHAnsi" w:hint="cs"/>
          <w:rtl/>
        </w:rPr>
        <w:t xml:space="preserve"> 1995, עמוד </w:t>
      </w:r>
      <w:r w:rsidR="00971E8B">
        <w:rPr>
          <w:rFonts w:asciiTheme="minorHAnsi" w:hAnsiTheme="minorHAnsi" w:hint="cs"/>
          <w:rtl/>
        </w:rPr>
        <w:t>260</w:t>
      </w:r>
      <w:r>
        <w:rPr>
          <w:rFonts w:asciiTheme="minorHAnsi" w:hAnsiTheme="minorHAnsi" w:hint="cs"/>
          <w:rtl/>
        </w:rPr>
        <w:t xml:space="preserve">). </w:t>
      </w:r>
    </w:p>
    <w:p w:rsidR="00794B94" w:rsidRDefault="00794B94" w:rsidP="00586CDF">
      <w:pPr>
        <w:spacing w:after="160" w:line="360" w:lineRule="auto"/>
        <w:ind w:left="283" w:right="-567" w:hanging="567"/>
        <w:jc w:val="both"/>
        <w:rPr>
          <w:rFonts w:asciiTheme="minorHAnsi" w:hAnsiTheme="minorHAnsi"/>
          <w:rtl/>
        </w:rPr>
      </w:pPr>
      <w:r>
        <w:rPr>
          <w:rFonts w:asciiTheme="minorHAnsi" w:hAnsiTheme="minorHAnsi" w:hint="cs"/>
          <w:rtl/>
        </w:rPr>
        <w:t>3.</w:t>
      </w:r>
      <w:r>
        <w:rPr>
          <w:rFonts w:asciiTheme="minorHAnsi" w:hAnsiTheme="minorHAnsi" w:hint="cs"/>
          <w:rtl/>
        </w:rPr>
        <w:tab/>
        <w:t>ומן הכלל אל הפרט</w:t>
      </w:r>
      <w:r w:rsidR="00586CDF">
        <w:rPr>
          <w:rFonts w:asciiTheme="minorHAnsi" w:hAnsiTheme="minorHAnsi" w:hint="cs"/>
          <w:rtl/>
        </w:rPr>
        <w:t>:</w:t>
      </w:r>
      <w:r>
        <w:rPr>
          <w:rFonts w:asciiTheme="minorHAnsi" w:hAnsiTheme="minorHAnsi" w:hint="cs"/>
          <w:rtl/>
        </w:rPr>
        <w:t xml:space="preserve"> </w:t>
      </w:r>
    </w:p>
    <w:p w:rsidR="007D09A4" w:rsidRDefault="00F765F2" w:rsidP="006A69B5">
      <w:pPr>
        <w:spacing w:after="160" w:line="360" w:lineRule="auto"/>
        <w:ind w:left="283" w:right="-567"/>
        <w:jc w:val="both"/>
        <w:rPr>
          <w:rFonts w:asciiTheme="minorHAnsi" w:hAnsiTheme="minorHAnsi"/>
          <w:rtl/>
        </w:rPr>
      </w:pPr>
      <w:r>
        <w:rPr>
          <w:rFonts w:asciiTheme="minorHAnsi" w:hAnsiTheme="minorHAnsi" w:hint="cs"/>
          <w:rtl/>
        </w:rPr>
        <w:t>-</w:t>
      </w:r>
      <w:r w:rsidR="007D09A4">
        <w:rPr>
          <w:rFonts w:asciiTheme="minorHAnsi" w:hAnsiTheme="minorHAnsi" w:hint="cs"/>
          <w:b/>
          <w:rtl/>
        </w:rPr>
        <w:t>ביום</w:t>
      </w:r>
      <w:r w:rsidR="007D09A4">
        <w:rPr>
          <w:rFonts w:asciiTheme="minorHAnsi" w:hAnsiTheme="minorHAnsi" w:hint="cs"/>
          <w:b/>
          <w:bCs/>
          <w:rtl/>
        </w:rPr>
        <w:t xml:space="preserve"> 22.10.17 </w:t>
      </w:r>
      <w:r w:rsidR="007D09A4" w:rsidRPr="007D09A4">
        <w:rPr>
          <w:rFonts w:asciiTheme="minorHAnsi" w:hAnsiTheme="minorHAnsi" w:hint="cs"/>
          <w:b/>
          <w:rtl/>
        </w:rPr>
        <w:t xml:space="preserve">הוגשה לפני תביעה זו </w:t>
      </w:r>
      <w:r w:rsidR="00794B94" w:rsidRPr="007D09A4">
        <w:rPr>
          <w:rFonts w:asciiTheme="minorHAnsi" w:hAnsiTheme="minorHAnsi" w:hint="cs"/>
          <w:rtl/>
        </w:rPr>
        <w:t>לפינוי</w:t>
      </w:r>
      <w:r w:rsidR="00794B94">
        <w:rPr>
          <w:rFonts w:asciiTheme="minorHAnsi" w:hAnsiTheme="minorHAnsi" w:hint="cs"/>
          <w:rtl/>
        </w:rPr>
        <w:t xml:space="preserve"> נכס</w:t>
      </w:r>
      <w:r w:rsidR="006A69B5">
        <w:rPr>
          <w:rFonts w:asciiTheme="minorHAnsi" w:hAnsiTheme="minorHAnsi" w:hint="cs"/>
          <w:rtl/>
        </w:rPr>
        <w:t>, הנמצא בבנין ברחוב תל אביב 11, חיפה (להלן "הנכס")</w:t>
      </w:r>
      <w:r w:rsidR="007D09A4">
        <w:rPr>
          <w:rFonts w:asciiTheme="minorHAnsi" w:hAnsiTheme="minorHAnsi" w:hint="cs"/>
          <w:rtl/>
        </w:rPr>
        <w:t>.</w:t>
      </w:r>
      <w:r w:rsidR="00794B94">
        <w:rPr>
          <w:rFonts w:asciiTheme="minorHAnsi" w:hAnsiTheme="minorHAnsi" w:hint="cs"/>
          <w:rtl/>
        </w:rPr>
        <w:t xml:space="preserve"> </w:t>
      </w:r>
    </w:p>
    <w:p w:rsidR="00794B94" w:rsidRDefault="00F765F2" w:rsidP="006A69B5">
      <w:pPr>
        <w:spacing w:after="160" w:line="360" w:lineRule="auto"/>
        <w:ind w:left="283" w:right="-567"/>
        <w:jc w:val="both"/>
        <w:rPr>
          <w:rFonts w:asciiTheme="minorHAnsi" w:hAnsiTheme="minorHAnsi"/>
          <w:rtl/>
        </w:rPr>
      </w:pPr>
      <w:r>
        <w:rPr>
          <w:rFonts w:asciiTheme="minorHAnsi" w:hAnsiTheme="minorHAnsi" w:hint="cs"/>
          <w:rtl/>
        </w:rPr>
        <w:t xml:space="preserve">- </w:t>
      </w:r>
      <w:r w:rsidR="007D09A4">
        <w:rPr>
          <w:rFonts w:asciiTheme="minorHAnsi" w:hAnsiTheme="minorHAnsi" w:hint="cs"/>
          <w:rtl/>
        </w:rPr>
        <w:t>ביום</w:t>
      </w:r>
      <w:r w:rsidR="007D09A4">
        <w:rPr>
          <w:rFonts w:asciiTheme="minorHAnsi" w:hAnsiTheme="minorHAnsi" w:hint="cs"/>
          <w:b/>
          <w:bCs/>
          <w:rtl/>
        </w:rPr>
        <w:t xml:space="preserve"> 29.10.17</w:t>
      </w:r>
      <w:r w:rsidR="007D09A4">
        <w:rPr>
          <w:rFonts w:asciiTheme="minorHAnsi" w:hAnsiTheme="minorHAnsi" w:hint="cs"/>
          <w:rtl/>
        </w:rPr>
        <w:t xml:space="preserve"> הומצא </w:t>
      </w:r>
      <w:r w:rsidR="00794B94">
        <w:rPr>
          <w:rFonts w:asciiTheme="minorHAnsi" w:hAnsiTheme="minorHAnsi" w:hint="cs"/>
          <w:rtl/>
        </w:rPr>
        <w:t>כתב התביעה לנתבעת</w:t>
      </w:r>
      <w:r w:rsidR="007D09A4">
        <w:rPr>
          <w:rFonts w:asciiTheme="minorHAnsi" w:hAnsiTheme="minorHAnsi" w:hint="cs"/>
          <w:rtl/>
        </w:rPr>
        <w:t xml:space="preserve"> (</w:t>
      </w:r>
      <w:r w:rsidR="006A69B5">
        <w:rPr>
          <w:rFonts w:asciiTheme="minorHAnsi" w:hAnsiTheme="minorHAnsi" w:hint="cs"/>
          <w:rtl/>
        </w:rPr>
        <w:t>ו</w:t>
      </w:r>
      <w:r w:rsidR="007D09A4">
        <w:rPr>
          <w:rFonts w:asciiTheme="minorHAnsi" w:hAnsiTheme="minorHAnsi" w:hint="cs"/>
          <w:rtl/>
        </w:rPr>
        <w:t>ראו גם</w:t>
      </w:r>
      <w:r w:rsidR="006A69B5">
        <w:rPr>
          <w:rFonts w:asciiTheme="minorHAnsi" w:hAnsiTheme="minorHAnsi" w:hint="cs"/>
          <w:rtl/>
        </w:rPr>
        <w:t>:</w:t>
      </w:r>
      <w:r w:rsidR="007D09A4">
        <w:rPr>
          <w:rFonts w:asciiTheme="minorHAnsi" w:hAnsiTheme="minorHAnsi" w:hint="cs"/>
          <w:rtl/>
        </w:rPr>
        <w:t xml:space="preserve"> הודאת הנתבעת בבקשתה לארכה).</w:t>
      </w:r>
      <w:r w:rsidR="00794B94">
        <w:rPr>
          <w:rFonts w:asciiTheme="minorHAnsi" w:hAnsiTheme="minorHAnsi" w:hint="cs"/>
          <w:rtl/>
        </w:rPr>
        <w:t xml:space="preserve"> </w:t>
      </w:r>
    </w:p>
    <w:p w:rsidR="00794B94" w:rsidRDefault="00F765F2" w:rsidP="00F765F2">
      <w:pPr>
        <w:spacing w:after="160" w:line="360" w:lineRule="auto"/>
        <w:ind w:left="283" w:right="-567"/>
        <w:jc w:val="both"/>
        <w:rPr>
          <w:rFonts w:asciiTheme="minorHAnsi" w:hAnsiTheme="minorHAnsi"/>
          <w:rtl/>
        </w:rPr>
      </w:pPr>
      <w:r>
        <w:rPr>
          <w:rFonts w:asciiTheme="minorHAnsi" w:hAnsiTheme="minorHAnsi" w:hint="cs"/>
          <w:rtl/>
        </w:rPr>
        <w:t xml:space="preserve">- </w:t>
      </w:r>
      <w:r w:rsidR="00794B94">
        <w:rPr>
          <w:rFonts w:asciiTheme="minorHAnsi" w:hAnsiTheme="minorHAnsi" w:hint="cs"/>
          <w:rtl/>
        </w:rPr>
        <w:t xml:space="preserve">ביום </w:t>
      </w:r>
      <w:r w:rsidR="00794B94">
        <w:rPr>
          <w:rFonts w:asciiTheme="minorHAnsi" w:hAnsiTheme="minorHAnsi" w:hint="cs"/>
          <w:b/>
          <w:bCs/>
          <w:rtl/>
        </w:rPr>
        <w:t xml:space="preserve">22.11.17 </w:t>
      </w:r>
      <w:r w:rsidR="00794B94">
        <w:rPr>
          <w:rFonts w:asciiTheme="minorHAnsi" w:hAnsiTheme="minorHAnsi" w:hint="cs"/>
          <w:rtl/>
        </w:rPr>
        <w:t>הגישה הנתבעת בקשה למתן ארכה בת 90 יום להגשת כתב הגנה.</w:t>
      </w:r>
    </w:p>
    <w:p w:rsidR="00794B94" w:rsidRDefault="00F765F2" w:rsidP="00F765F2">
      <w:pPr>
        <w:spacing w:after="160" w:line="360" w:lineRule="auto"/>
        <w:ind w:left="283" w:right="-567"/>
        <w:jc w:val="both"/>
        <w:rPr>
          <w:rFonts w:asciiTheme="minorHAnsi" w:hAnsiTheme="minorHAnsi"/>
          <w:rtl/>
        </w:rPr>
      </w:pPr>
      <w:r>
        <w:rPr>
          <w:rFonts w:asciiTheme="minorHAnsi" w:hAnsiTheme="minorHAnsi" w:hint="cs"/>
          <w:rtl/>
        </w:rPr>
        <w:t xml:space="preserve">- </w:t>
      </w:r>
      <w:r w:rsidR="00794B94">
        <w:rPr>
          <w:rFonts w:asciiTheme="minorHAnsi" w:hAnsiTheme="minorHAnsi" w:hint="cs"/>
          <w:rtl/>
        </w:rPr>
        <w:t xml:space="preserve">ביום </w:t>
      </w:r>
      <w:r w:rsidR="00794B94">
        <w:rPr>
          <w:rFonts w:asciiTheme="minorHAnsi" w:hAnsiTheme="minorHAnsi" w:hint="cs"/>
          <w:b/>
          <w:bCs/>
          <w:rtl/>
        </w:rPr>
        <w:t>23.11.17</w:t>
      </w:r>
      <w:r w:rsidR="00794B94">
        <w:rPr>
          <w:rFonts w:asciiTheme="minorHAnsi" w:hAnsiTheme="minorHAnsi" w:hint="cs"/>
          <w:rtl/>
        </w:rPr>
        <w:t xml:space="preserve"> ניתנה לנתבעת ארכה בת 45 יום להגשת כתב הגנה, קרי: היה עלי</w:t>
      </w:r>
      <w:r w:rsidR="0060571C">
        <w:rPr>
          <w:rFonts w:asciiTheme="minorHAnsi" w:hAnsiTheme="minorHAnsi" w:hint="cs"/>
          <w:rtl/>
        </w:rPr>
        <w:t>ה</w:t>
      </w:r>
      <w:r w:rsidR="00794B94">
        <w:rPr>
          <w:rFonts w:asciiTheme="minorHAnsi" w:hAnsiTheme="minorHAnsi" w:hint="cs"/>
          <w:rtl/>
        </w:rPr>
        <w:t xml:space="preserve"> להגיש את כתב ההגנה עד ליום 12.1.18, ובשים לב לכך שמדובר ביום ו' – עד ליום </w:t>
      </w:r>
      <w:r w:rsidR="00794B94">
        <w:rPr>
          <w:rFonts w:asciiTheme="minorHAnsi" w:hAnsiTheme="minorHAnsi" w:hint="cs"/>
          <w:b/>
          <w:bCs/>
          <w:rtl/>
        </w:rPr>
        <w:t>14.1.18</w:t>
      </w:r>
      <w:r w:rsidR="0060571C">
        <w:rPr>
          <w:rFonts w:asciiTheme="minorHAnsi" w:hAnsiTheme="minorHAnsi" w:hint="cs"/>
          <w:rtl/>
        </w:rPr>
        <w:t xml:space="preserve"> (</w:t>
      </w:r>
      <w:r w:rsidR="006A69B5">
        <w:rPr>
          <w:rFonts w:asciiTheme="minorHAnsi" w:hAnsiTheme="minorHAnsi" w:hint="cs"/>
          <w:rtl/>
        </w:rPr>
        <w:t>ו</w:t>
      </w:r>
      <w:r w:rsidR="0060571C">
        <w:rPr>
          <w:rFonts w:asciiTheme="minorHAnsi" w:hAnsiTheme="minorHAnsi" w:hint="cs"/>
          <w:rtl/>
        </w:rPr>
        <w:t>ראו</w:t>
      </w:r>
      <w:r w:rsidR="006A69B5">
        <w:rPr>
          <w:rFonts w:asciiTheme="minorHAnsi" w:hAnsiTheme="minorHAnsi" w:hint="cs"/>
          <w:rtl/>
        </w:rPr>
        <w:t xml:space="preserve"> גם</w:t>
      </w:r>
      <w:r w:rsidR="0060571C">
        <w:rPr>
          <w:rFonts w:asciiTheme="minorHAnsi" w:hAnsiTheme="minorHAnsi" w:hint="cs"/>
          <w:rtl/>
        </w:rPr>
        <w:t>:</w:t>
      </w:r>
      <w:r w:rsidR="00CD4DEC">
        <w:rPr>
          <w:rFonts w:asciiTheme="minorHAnsi" w:hAnsiTheme="minorHAnsi" w:hint="cs"/>
          <w:rtl/>
        </w:rPr>
        <w:t xml:space="preserve"> סעיף 10 (א) לחוק הפרשנות התמ"א-1981; </w:t>
      </w:r>
      <w:r w:rsidR="0060571C">
        <w:rPr>
          <w:rFonts w:asciiTheme="minorHAnsi" w:hAnsiTheme="minorHAnsi"/>
        </w:rPr>
        <w:t xml:space="preserve"> </w:t>
      </w:r>
      <w:r w:rsidR="00CD4DEC">
        <w:rPr>
          <w:rFonts w:asciiTheme="minorHAnsi" w:hAnsiTheme="minorHAnsi" w:hint="cs"/>
          <w:rtl/>
        </w:rPr>
        <w:t xml:space="preserve">ע"א 7193/13 </w:t>
      </w:r>
      <w:r w:rsidR="00CD4DEC" w:rsidRPr="0083294F">
        <w:rPr>
          <w:rFonts w:asciiTheme="minorHAnsi" w:hAnsiTheme="minorHAnsi" w:hint="cs"/>
          <w:b/>
          <w:bCs/>
          <w:rtl/>
        </w:rPr>
        <w:t>ש.א. פתרונות בע"מ נ' ברנע</w:t>
      </w:r>
      <w:r w:rsidR="00CD4DEC">
        <w:rPr>
          <w:rFonts w:asciiTheme="minorHAnsi" w:hAnsiTheme="minorHAnsi" w:hint="cs"/>
          <w:rtl/>
        </w:rPr>
        <w:t xml:space="preserve"> (22.9.14)).</w:t>
      </w:r>
    </w:p>
    <w:p w:rsidR="00794B94" w:rsidRDefault="00F765F2" w:rsidP="00F765F2">
      <w:pPr>
        <w:spacing w:after="160" w:line="360" w:lineRule="auto"/>
        <w:ind w:left="283" w:right="-567"/>
        <w:jc w:val="both"/>
        <w:rPr>
          <w:rFonts w:asciiTheme="minorHAnsi" w:hAnsiTheme="minorHAnsi"/>
          <w:rtl/>
        </w:rPr>
      </w:pPr>
      <w:r>
        <w:rPr>
          <w:rFonts w:asciiTheme="minorHAnsi" w:hAnsiTheme="minorHAnsi" w:hint="cs"/>
          <w:rtl/>
        </w:rPr>
        <w:t xml:space="preserve">- </w:t>
      </w:r>
      <w:r w:rsidR="00794B94">
        <w:rPr>
          <w:rFonts w:asciiTheme="minorHAnsi" w:hAnsiTheme="minorHAnsi" w:hint="cs"/>
          <w:rtl/>
        </w:rPr>
        <w:t>ב</w:t>
      </w:r>
      <w:r w:rsidR="007D09A4">
        <w:rPr>
          <w:rFonts w:asciiTheme="minorHAnsi" w:hAnsiTheme="minorHAnsi" w:hint="cs"/>
          <w:rtl/>
        </w:rPr>
        <w:t>י</w:t>
      </w:r>
      <w:r w:rsidR="00794B94">
        <w:rPr>
          <w:rFonts w:asciiTheme="minorHAnsi" w:hAnsiTheme="minorHAnsi" w:hint="cs"/>
          <w:rtl/>
        </w:rPr>
        <w:t xml:space="preserve">ום </w:t>
      </w:r>
      <w:r w:rsidR="00794B94">
        <w:rPr>
          <w:rFonts w:asciiTheme="minorHAnsi" w:hAnsiTheme="minorHAnsi" w:hint="cs"/>
          <w:b/>
          <w:bCs/>
          <w:rtl/>
        </w:rPr>
        <w:t>15.01.18</w:t>
      </w:r>
      <w:r w:rsidR="00794B94">
        <w:rPr>
          <w:rFonts w:asciiTheme="minorHAnsi" w:hAnsiTheme="minorHAnsi" w:hint="cs"/>
          <w:rtl/>
        </w:rPr>
        <w:t xml:space="preserve"> הגיש</w:t>
      </w:r>
      <w:r w:rsidR="007D09A4">
        <w:rPr>
          <w:rFonts w:asciiTheme="minorHAnsi" w:hAnsiTheme="minorHAnsi" w:hint="cs"/>
          <w:rtl/>
        </w:rPr>
        <w:t>ה</w:t>
      </w:r>
      <w:r w:rsidR="00794B94">
        <w:rPr>
          <w:rFonts w:asciiTheme="minorHAnsi" w:hAnsiTheme="minorHAnsi" w:hint="cs"/>
          <w:rtl/>
        </w:rPr>
        <w:t xml:space="preserve"> התובע</w:t>
      </w:r>
      <w:r w:rsidR="007D09A4">
        <w:rPr>
          <w:rFonts w:asciiTheme="minorHAnsi" w:hAnsiTheme="minorHAnsi" w:hint="cs"/>
          <w:rtl/>
        </w:rPr>
        <w:t>ת</w:t>
      </w:r>
      <w:r w:rsidR="00794B94">
        <w:rPr>
          <w:rFonts w:asciiTheme="minorHAnsi" w:hAnsiTheme="minorHAnsi" w:hint="cs"/>
          <w:rtl/>
        </w:rPr>
        <w:t xml:space="preserve"> בקשה למתן פסק דין בהעדר הגנה.</w:t>
      </w:r>
    </w:p>
    <w:p w:rsidR="00794B94" w:rsidRDefault="00F765F2" w:rsidP="00F765F2">
      <w:pPr>
        <w:spacing w:after="160" w:line="360" w:lineRule="auto"/>
        <w:ind w:left="283" w:right="-567"/>
        <w:jc w:val="both"/>
        <w:rPr>
          <w:rFonts w:asciiTheme="minorHAnsi" w:hAnsiTheme="minorHAnsi"/>
          <w:rtl/>
        </w:rPr>
      </w:pPr>
      <w:r>
        <w:rPr>
          <w:rFonts w:asciiTheme="minorHAnsi" w:hAnsiTheme="minorHAnsi" w:hint="cs"/>
          <w:rtl/>
        </w:rPr>
        <w:lastRenderedPageBreak/>
        <w:t xml:space="preserve">- </w:t>
      </w:r>
      <w:r w:rsidR="00794B94">
        <w:rPr>
          <w:rFonts w:asciiTheme="minorHAnsi" w:hAnsiTheme="minorHAnsi" w:hint="cs"/>
          <w:rtl/>
        </w:rPr>
        <w:t xml:space="preserve">ביום </w:t>
      </w:r>
      <w:r w:rsidR="00794B94">
        <w:rPr>
          <w:rFonts w:asciiTheme="minorHAnsi" w:hAnsiTheme="minorHAnsi" w:hint="cs"/>
          <w:b/>
          <w:bCs/>
          <w:rtl/>
        </w:rPr>
        <w:t>23.01.18</w:t>
      </w:r>
      <w:r w:rsidR="00794B94">
        <w:rPr>
          <w:rFonts w:asciiTheme="minorHAnsi" w:hAnsiTheme="minorHAnsi" w:hint="cs"/>
          <w:rtl/>
        </w:rPr>
        <w:t xml:space="preserve"> הוגש כתב ההגנה.</w:t>
      </w:r>
    </w:p>
    <w:p w:rsidR="00794B94" w:rsidRDefault="00F765F2" w:rsidP="00F765F2">
      <w:pPr>
        <w:spacing w:after="160" w:line="360" w:lineRule="auto"/>
        <w:ind w:left="283" w:right="-567"/>
        <w:jc w:val="both"/>
        <w:rPr>
          <w:rFonts w:asciiTheme="minorHAnsi" w:hAnsiTheme="minorHAnsi"/>
          <w:rtl/>
        </w:rPr>
      </w:pPr>
      <w:r>
        <w:rPr>
          <w:rFonts w:asciiTheme="minorHAnsi" w:hAnsiTheme="minorHAnsi" w:hint="cs"/>
          <w:rtl/>
        </w:rPr>
        <w:t>-</w:t>
      </w:r>
      <w:r w:rsidR="00794B94">
        <w:rPr>
          <w:rFonts w:asciiTheme="minorHAnsi" w:hAnsiTheme="minorHAnsi" w:hint="cs"/>
          <w:rtl/>
        </w:rPr>
        <w:t xml:space="preserve">ביום </w:t>
      </w:r>
      <w:r w:rsidR="00794B94">
        <w:rPr>
          <w:rFonts w:asciiTheme="minorHAnsi" w:hAnsiTheme="minorHAnsi" w:hint="cs"/>
          <w:b/>
          <w:bCs/>
          <w:rtl/>
        </w:rPr>
        <w:t>23.01.18</w:t>
      </w:r>
      <w:r w:rsidR="00794B94">
        <w:rPr>
          <w:rFonts w:asciiTheme="minorHAnsi" w:hAnsiTheme="minorHAnsi" w:hint="cs"/>
          <w:rtl/>
        </w:rPr>
        <w:t xml:space="preserve"> </w:t>
      </w:r>
      <w:r w:rsidR="00C033B1">
        <w:rPr>
          <w:rFonts w:asciiTheme="minorHAnsi" w:hAnsiTheme="minorHAnsi" w:hint="cs"/>
          <w:rtl/>
        </w:rPr>
        <w:t xml:space="preserve">ניתנה ההחלטה לפיה </w:t>
      </w:r>
      <w:r w:rsidR="00794B94">
        <w:rPr>
          <w:rFonts w:asciiTheme="minorHAnsi" w:hAnsiTheme="minorHAnsi" w:hint="cs"/>
          <w:rtl/>
        </w:rPr>
        <w:t>משהוגש כתב הגנה - הבקשה נמחקת; והצדדים זו</w:t>
      </w:r>
      <w:r w:rsidR="007D09A4">
        <w:rPr>
          <w:rFonts w:asciiTheme="minorHAnsi" w:hAnsiTheme="minorHAnsi" w:hint="cs"/>
          <w:rtl/>
        </w:rPr>
        <w:t xml:space="preserve">מנו לישיבת מקדמית ביום </w:t>
      </w:r>
      <w:r w:rsidR="007D09A4" w:rsidRPr="007D09A4">
        <w:rPr>
          <w:rFonts w:asciiTheme="minorHAnsi" w:hAnsiTheme="minorHAnsi" w:hint="cs"/>
          <w:b/>
          <w:bCs/>
          <w:rtl/>
        </w:rPr>
        <w:t>20.02.18</w:t>
      </w:r>
      <w:r w:rsidR="00794B94" w:rsidRPr="007D09A4">
        <w:rPr>
          <w:rFonts w:asciiTheme="minorHAnsi" w:hAnsiTheme="minorHAnsi" w:hint="cs"/>
          <w:b/>
          <w:bCs/>
          <w:rtl/>
        </w:rPr>
        <w:t>.</w:t>
      </w:r>
      <w:r w:rsidR="00794B94">
        <w:rPr>
          <w:rFonts w:asciiTheme="minorHAnsi" w:hAnsiTheme="minorHAnsi" w:hint="cs"/>
          <w:rtl/>
        </w:rPr>
        <w:t xml:space="preserve"> על החלטה זו הוגשה בקשת רשות ערעור</w:t>
      </w:r>
      <w:r w:rsidR="007D09A4">
        <w:rPr>
          <w:rFonts w:asciiTheme="minorHAnsi" w:hAnsiTheme="minorHAnsi" w:hint="cs"/>
          <w:rtl/>
        </w:rPr>
        <w:t xml:space="preserve">, במסגרתה </w:t>
      </w:r>
      <w:r w:rsidR="009E13B1">
        <w:rPr>
          <w:rFonts w:asciiTheme="minorHAnsi" w:hAnsiTheme="minorHAnsi" w:hint="cs"/>
          <w:rtl/>
        </w:rPr>
        <w:t>הלינה התובעת גם על אי מתן החלטה בבקשה חוזרת למתן פסק דין מיום 23.1.18, אשר הובאה לפני יחד עם הבר"ע.</w:t>
      </w:r>
      <w:r>
        <w:rPr>
          <w:rFonts w:asciiTheme="minorHAnsi" w:hAnsiTheme="minorHAnsi"/>
          <w:rtl/>
        </w:rPr>
        <w:br/>
      </w:r>
      <w:r w:rsidR="00794B94">
        <w:rPr>
          <w:rFonts w:asciiTheme="minorHAnsi" w:hAnsiTheme="minorHAnsi" w:hint="cs"/>
          <w:rtl/>
        </w:rPr>
        <w:t xml:space="preserve">בהתאם להחלטה כב' השופטת ב. טאובר מיום 11.02.18, התיק חזר על מנת לשקול מתן החלטה מנומקת בבקשה </w:t>
      </w:r>
      <w:r w:rsidR="007D09A4">
        <w:rPr>
          <w:rFonts w:asciiTheme="minorHAnsi" w:hAnsiTheme="minorHAnsi" w:hint="cs"/>
          <w:rtl/>
        </w:rPr>
        <w:t xml:space="preserve">החוזרת </w:t>
      </w:r>
      <w:r w:rsidR="00794B94">
        <w:rPr>
          <w:rFonts w:asciiTheme="minorHAnsi" w:hAnsiTheme="minorHAnsi" w:hint="cs"/>
          <w:rtl/>
        </w:rPr>
        <w:t xml:space="preserve">לאחר קבלת תגובת הנתבעת. משכך, </w:t>
      </w:r>
      <w:r w:rsidR="009E13B1">
        <w:rPr>
          <w:rFonts w:asciiTheme="minorHAnsi" w:hAnsiTheme="minorHAnsi" w:hint="cs"/>
          <w:rtl/>
        </w:rPr>
        <w:t xml:space="preserve">בו ביום </w:t>
      </w:r>
      <w:r w:rsidR="00D62E77">
        <w:rPr>
          <w:rFonts w:asciiTheme="minorHAnsi" w:hAnsiTheme="minorHAnsi" w:hint="cs"/>
          <w:rtl/>
        </w:rPr>
        <w:t xml:space="preserve">ניתנה הוריה </w:t>
      </w:r>
      <w:r w:rsidR="00794B94">
        <w:rPr>
          <w:rFonts w:asciiTheme="minorHAnsi" w:hAnsiTheme="minorHAnsi" w:hint="cs"/>
          <w:rtl/>
        </w:rPr>
        <w:t xml:space="preserve">על </w:t>
      </w:r>
      <w:r w:rsidR="00D62E77">
        <w:rPr>
          <w:rFonts w:asciiTheme="minorHAnsi" w:hAnsiTheme="minorHAnsi" w:hint="cs"/>
          <w:rtl/>
        </w:rPr>
        <w:t xml:space="preserve">מתן </w:t>
      </w:r>
      <w:r w:rsidR="00794B94">
        <w:rPr>
          <w:rFonts w:asciiTheme="minorHAnsi" w:hAnsiTheme="minorHAnsi" w:hint="cs"/>
          <w:rtl/>
        </w:rPr>
        <w:t xml:space="preserve">תשובות הצדדים </w:t>
      </w:r>
      <w:r w:rsidR="009E13B1">
        <w:rPr>
          <w:rFonts w:asciiTheme="minorHAnsi" w:hAnsiTheme="minorHAnsi" w:hint="cs"/>
          <w:rtl/>
        </w:rPr>
        <w:t xml:space="preserve">לבקשה </w:t>
      </w:r>
      <w:r w:rsidR="00794B94">
        <w:rPr>
          <w:rFonts w:asciiTheme="minorHAnsi" w:hAnsiTheme="minorHAnsi" w:hint="cs"/>
          <w:rtl/>
        </w:rPr>
        <w:t>על פי התקנות.</w:t>
      </w:r>
    </w:p>
    <w:p w:rsidR="00794B94" w:rsidRDefault="00F765F2" w:rsidP="003B797B">
      <w:pPr>
        <w:spacing w:after="160" w:line="360" w:lineRule="auto"/>
        <w:ind w:left="283" w:right="-567"/>
        <w:jc w:val="both"/>
        <w:rPr>
          <w:rFonts w:asciiTheme="minorHAnsi" w:hAnsiTheme="minorHAnsi"/>
          <w:rtl/>
        </w:rPr>
      </w:pPr>
      <w:r>
        <w:rPr>
          <w:rFonts w:asciiTheme="minorHAnsi" w:hAnsiTheme="minorHAnsi" w:hint="cs"/>
          <w:rtl/>
        </w:rPr>
        <w:t>-</w:t>
      </w:r>
      <w:r w:rsidR="009E13B1">
        <w:rPr>
          <w:rFonts w:asciiTheme="minorHAnsi" w:hAnsiTheme="minorHAnsi" w:hint="cs"/>
          <w:rtl/>
        </w:rPr>
        <w:t>ה</w:t>
      </w:r>
      <w:r w:rsidR="00794B94">
        <w:rPr>
          <w:rFonts w:asciiTheme="minorHAnsi" w:hAnsiTheme="minorHAnsi" w:hint="cs"/>
          <w:rtl/>
        </w:rPr>
        <w:t>נתבעת לא ה</w:t>
      </w:r>
      <w:r w:rsidR="00D62E77">
        <w:rPr>
          <w:rFonts w:asciiTheme="minorHAnsi" w:hAnsiTheme="minorHAnsi" w:hint="cs"/>
          <w:rtl/>
        </w:rPr>
        <w:t>ג</w:t>
      </w:r>
      <w:r w:rsidR="00794B94">
        <w:rPr>
          <w:rFonts w:asciiTheme="minorHAnsi" w:hAnsiTheme="minorHAnsi" w:hint="cs"/>
          <w:rtl/>
        </w:rPr>
        <w:t>יב</w:t>
      </w:r>
      <w:r w:rsidR="009E13B1">
        <w:rPr>
          <w:rFonts w:asciiTheme="minorHAnsi" w:hAnsiTheme="minorHAnsi" w:hint="cs"/>
          <w:rtl/>
        </w:rPr>
        <w:t>ה</w:t>
      </w:r>
      <w:r w:rsidR="00794B94">
        <w:rPr>
          <w:rFonts w:asciiTheme="minorHAnsi" w:hAnsiTheme="minorHAnsi" w:hint="cs"/>
          <w:rtl/>
        </w:rPr>
        <w:t xml:space="preserve"> </w:t>
      </w:r>
      <w:r w:rsidR="009E13B1">
        <w:rPr>
          <w:rFonts w:asciiTheme="minorHAnsi" w:hAnsiTheme="minorHAnsi" w:hint="cs"/>
          <w:rtl/>
        </w:rPr>
        <w:t xml:space="preserve">לבקשה החוזרת, </w:t>
      </w:r>
      <w:r w:rsidR="00794B94">
        <w:rPr>
          <w:rFonts w:asciiTheme="minorHAnsi" w:hAnsiTheme="minorHAnsi" w:hint="cs"/>
          <w:rtl/>
        </w:rPr>
        <w:t>במועד או בכלל</w:t>
      </w:r>
      <w:r w:rsidR="00C033B1">
        <w:rPr>
          <w:rFonts w:asciiTheme="minorHAnsi" w:hAnsiTheme="minorHAnsi" w:hint="cs"/>
          <w:rtl/>
        </w:rPr>
        <w:t>, למרות ש</w:t>
      </w:r>
      <w:r w:rsidR="007908E3">
        <w:rPr>
          <w:rFonts w:asciiTheme="minorHAnsi" w:hAnsiTheme="minorHAnsi" w:hint="cs"/>
          <w:rtl/>
        </w:rPr>
        <w:t xml:space="preserve">על פניו, </w:t>
      </w:r>
      <w:r w:rsidR="00C033B1">
        <w:rPr>
          <w:rFonts w:asciiTheme="minorHAnsi" w:hAnsiTheme="minorHAnsi" w:hint="cs"/>
          <w:rtl/>
        </w:rPr>
        <w:t xml:space="preserve">בוצעה המצאה </w:t>
      </w:r>
      <w:r w:rsidR="007908E3">
        <w:rPr>
          <w:rFonts w:asciiTheme="minorHAnsi" w:hAnsiTheme="minorHAnsi" w:hint="cs"/>
          <w:rtl/>
        </w:rPr>
        <w:t xml:space="preserve">ביום </w:t>
      </w:r>
      <w:r w:rsidR="007908E3" w:rsidRPr="007908E3">
        <w:rPr>
          <w:rFonts w:asciiTheme="minorHAnsi" w:hAnsiTheme="minorHAnsi" w:hint="cs"/>
          <w:b/>
          <w:bCs/>
          <w:rtl/>
        </w:rPr>
        <w:t>13.2.18</w:t>
      </w:r>
      <w:r w:rsidR="007908E3">
        <w:rPr>
          <w:rFonts w:asciiTheme="minorHAnsi" w:hAnsiTheme="minorHAnsi" w:hint="cs"/>
          <w:rtl/>
        </w:rPr>
        <w:t>.</w:t>
      </w:r>
      <w:r w:rsidR="004131AE">
        <w:rPr>
          <w:rFonts w:asciiTheme="minorHAnsi" w:hAnsiTheme="minorHAnsi" w:hint="cs"/>
          <w:rtl/>
        </w:rPr>
        <w:t xml:space="preserve"> בהקשר זה לא נעלם מעיני כי ההמצאה לא בוצעה לכתובת הנכס מושא התביעה או הכתובת הנוספת המופיעה בכתב התביעה (ובבקשות), אלא ל</w:t>
      </w:r>
      <w:r w:rsidR="003B797B">
        <w:rPr>
          <w:rFonts w:asciiTheme="minorHAnsi" w:hAnsiTheme="minorHAnsi" w:hint="cs"/>
          <w:rtl/>
        </w:rPr>
        <w:t>ר</w:t>
      </w:r>
      <w:r w:rsidR="004131AE">
        <w:rPr>
          <w:rFonts w:asciiTheme="minorHAnsi" w:hAnsiTheme="minorHAnsi" w:hint="cs"/>
          <w:rtl/>
        </w:rPr>
        <w:t>ח</w:t>
      </w:r>
      <w:r w:rsidR="003B797B">
        <w:rPr>
          <w:rFonts w:asciiTheme="minorHAnsi" w:hAnsiTheme="minorHAnsi" w:hint="cs"/>
          <w:rtl/>
        </w:rPr>
        <w:t>ו</w:t>
      </w:r>
      <w:r w:rsidR="004131AE">
        <w:rPr>
          <w:rFonts w:asciiTheme="minorHAnsi" w:hAnsiTheme="minorHAnsi" w:hint="cs"/>
          <w:rtl/>
        </w:rPr>
        <w:t>ב אלנבי 69,</w:t>
      </w:r>
      <w:r w:rsidR="000421E8">
        <w:rPr>
          <w:rFonts w:asciiTheme="minorHAnsi" w:hAnsiTheme="minorHAnsi" w:hint="cs"/>
          <w:rtl/>
        </w:rPr>
        <w:t xml:space="preserve"> </w:t>
      </w:r>
      <w:r w:rsidR="003B797B">
        <w:rPr>
          <w:rFonts w:asciiTheme="minorHAnsi" w:hAnsiTheme="minorHAnsi" w:hint="cs"/>
          <w:rtl/>
        </w:rPr>
        <w:t>חיפה. ברם,</w:t>
      </w:r>
      <w:r w:rsidR="004131AE">
        <w:rPr>
          <w:rFonts w:asciiTheme="minorHAnsi" w:hAnsiTheme="minorHAnsi" w:hint="cs"/>
          <w:rtl/>
        </w:rPr>
        <w:t xml:space="preserve"> לכתובת זו הומצא כתב התביעה והנתבעת הודתה ב</w:t>
      </w:r>
      <w:r w:rsidR="00D67E94">
        <w:rPr>
          <w:rFonts w:asciiTheme="minorHAnsi" w:hAnsiTheme="minorHAnsi" w:hint="cs"/>
          <w:rtl/>
        </w:rPr>
        <w:t xml:space="preserve">כך בבקשת הארכה. </w:t>
      </w:r>
    </w:p>
    <w:p w:rsidR="00794B94" w:rsidRDefault="00794B94" w:rsidP="003B797B">
      <w:pPr>
        <w:spacing w:after="160" w:line="360" w:lineRule="auto"/>
        <w:ind w:left="283" w:right="-567" w:hanging="567"/>
        <w:jc w:val="both"/>
        <w:rPr>
          <w:rFonts w:asciiTheme="minorHAnsi" w:hAnsiTheme="minorHAnsi"/>
          <w:rtl/>
        </w:rPr>
      </w:pPr>
      <w:r>
        <w:rPr>
          <w:rFonts w:asciiTheme="minorHAnsi" w:hAnsiTheme="minorHAnsi" w:hint="cs"/>
          <w:rtl/>
        </w:rPr>
        <w:t>4.</w:t>
      </w:r>
      <w:r>
        <w:rPr>
          <w:rFonts w:asciiTheme="minorHAnsi" w:hAnsiTheme="minorHAnsi" w:hint="cs"/>
          <w:rtl/>
        </w:rPr>
        <w:tab/>
        <w:t xml:space="preserve">צא ולמד: במועד </w:t>
      </w:r>
      <w:r w:rsidR="00C033B1">
        <w:rPr>
          <w:rFonts w:asciiTheme="minorHAnsi" w:hAnsiTheme="minorHAnsi" w:hint="cs"/>
          <w:rtl/>
        </w:rPr>
        <w:t>בו הובאה הבקשה לעיון ו</w:t>
      </w:r>
      <w:r>
        <w:rPr>
          <w:rFonts w:asciiTheme="minorHAnsi" w:hAnsiTheme="minorHAnsi" w:hint="cs"/>
          <w:rtl/>
        </w:rPr>
        <w:t xml:space="preserve">דיון בה – </w:t>
      </w:r>
      <w:r w:rsidRPr="007908E3">
        <w:rPr>
          <w:rFonts w:asciiTheme="minorHAnsi" w:hAnsiTheme="minorHAnsi" w:hint="cs"/>
          <w:b/>
          <w:bCs/>
          <w:rtl/>
        </w:rPr>
        <w:t xml:space="preserve">23.01.18 </w:t>
      </w:r>
      <w:r>
        <w:rPr>
          <w:rFonts w:asciiTheme="minorHAnsi" w:hAnsiTheme="minorHAnsi" w:hint="cs"/>
          <w:rtl/>
        </w:rPr>
        <w:t>- הוא המועד הקובע</w:t>
      </w:r>
      <w:r w:rsidR="00C033B1">
        <w:rPr>
          <w:rFonts w:asciiTheme="minorHAnsi" w:hAnsiTheme="minorHAnsi" w:hint="cs"/>
          <w:rtl/>
        </w:rPr>
        <w:t>,</w:t>
      </w:r>
      <w:r>
        <w:rPr>
          <w:rFonts w:asciiTheme="minorHAnsi" w:hAnsiTheme="minorHAnsi" w:hint="cs"/>
          <w:rtl/>
        </w:rPr>
        <w:t xml:space="preserve"> כבר היה בתיק כתב הגנה. משכך, </w:t>
      </w:r>
      <w:r>
        <w:rPr>
          <w:rFonts w:asciiTheme="minorHAnsi" w:hAnsiTheme="minorHAnsi" w:hint="cs"/>
          <w:u w:val="single"/>
          <w:rtl/>
        </w:rPr>
        <w:t>לא</w:t>
      </w:r>
      <w:r>
        <w:rPr>
          <w:rFonts w:asciiTheme="minorHAnsi" w:hAnsiTheme="minorHAnsi" w:hint="cs"/>
          <w:rtl/>
        </w:rPr>
        <w:t xml:space="preserve"> הייתה לתובעת זכות קנויה ל</w:t>
      </w:r>
      <w:r w:rsidR="007908E3">
        <w:rPr>
          <w:rFonts w:asciiTheme="minorHAnsi" w:hAnsiTheme="minorHAnsi" w:hint="cs"/>
          <w:rtl/>
        </w:rPr>
        <w:t>קבל</w:t>
      </w:r>
      <w:r w:rsidR="000F7418">
        <w:rPr>
          <w:rFonts w:asciiTheme="minorHAnsi" w:hAnsiTheme="minorHAnsi" w:hint="cs"/>
          <w:rtl/>
        </w:rPr>
        <w:t>ת</w:t>
      </w:r>
      <w:r w:rsidR="007908E3">
        <w:rPr>
          <w:rFonts w:asciiTheme="minorHAnsi" w:hAnsiTheme="minorHAnsi" w:hint="cs"/>
          <w:rtl/>
        </w:rPr>
        <w:t xml:space="preserve"> </w:t>
      </w:r>
      <w:r>
        <w:rPr>
          <w:rFonts w:asciiTheme="minorHAnsi" w:hAnsiTheme="minorHAnsi" w:hint="cs"/>
          <w:rtl/>
        </w:rPr>
        <w:t xml:space="preserve">פסק דין בהעדר. </w:t>
      </w:r>
      <w:r w:rsidR="00D62E77">
        <w:rPr>
          <w:rFonts w:asciiTheme="minorHAnsi" w:hAnsiTheme="minorHAnsi" w:hint="cs"/>
          <w:rtl/>
        </w:rPr>
        <w:t>זאת מעבר לעובדה ש</w:t>
      </w:r>
      <w:r w:rsidR="003B797B">
        <w:rPr>
          <w:rFonts w:asciiTheme="minorHAnsi" w:hAnsiTheme="minorHAnsi" w:hint="cs"/>
          <w:rtl/>
        </w:rPr>
        <w:t xml:space="preserve">בכל מקרה </w:t>
      </w:r>
      <w:r w:rsidR="00D62E77">
        <w:rPr>
          <w:rFonts w:asciiTheme="minorHAnsi" w:hAnsiTheme="minorHAnsi" w:hint="cs"/>
          <w:rtl/>
        </w:rPr>
        <w:t xml:space="preserve">סמכות בית המשפט ליתן פסק דין בהעדר </w:t>
      </w:r>
      <w:r w:rsidR="000F7418">
        <w:rPr>
          <w:rFonts w:asciiTheme="minorHAnsi" w:hAnsiTheme="minorHAnsi" w:hint="cs"/>
          <w:rtl/>
        </w:rPr>
        <w:t xml:space="preserve">הגנה </w:t>
      </w:r>
      <w:r w:rsidR="00D62E77">
        <w:rPr>
          <w:rFonts w:asciiTheme="minorHAnsi" w:hAnsiTheme="minorHAnsi" w:hint="cs"/>
          <w:rtl/>
        </w:rPr>
        <w:t>היא סמכות שבשיקול דעת.</w:t>
      </w:r>
    </w:p>
    <w:p w:rsidR="007908E3" w:rsidRDefault="00E76DDF" w:rsidP="000F7418">
      <w:pPr>
        <w:spacing w:after="160" w:line="360" w:lineRule="auto"/>
        <w:ind w:left="283" w:right="-567" w:hanging="567"/>
        <w:jc w:val="both"/>
        <w:rPr>
          <w:rFonts w:asciiTheme="minorHAnsi" w:hAnsiTheme="minorHAnsi"/>
          <w:rtl/>
        </w:rPr>
      </w:pPr>
      <w:r>
        <w:rPr>
          <w:rFonts w:asciiTheme="minorHAnsi" w:hAnsiTheme="minorHAnsi" w:hint="cs"/>
          <w:rtl/>
        </w:rPr>
        <w:t>5.</w:t>
      </w:r>
      <w:r>
        <w:rPr>
          <w:rFonts w:asciiTheme="minorHAnsi" w:hAnsiTheme="minorHAnsi" w:hint="cs"/>
          <w:rtl/>
        </w:rPr>
        <w:tab/>
      </w:r>
      <w:r w:rsidR="008C06B8">
        <w:rPr>
          <w:rFonts w:asciiTheme="minorHAnsi" w:hAnsiTheme="minorHAnsi" w:hint="cs"/>
          <w:rtl/>
        </w:rPr>
        <w:t xml:space="preserve">יתירה מכך. </w:t>
      </w:r>
      <w:r w:rsidR="0024602D">
        <w:rPr>
          <w:rFonts w:asciiTheme="minorHAnsi" w:hAnsiTheme="minorHAnsi" w:hint="cs"/>
          <w:rtl/>
        </w:rPr>
        <w:t xml:space="preserve">מצינו כי </w:t>
      </w:r>
      <w:r w:rsidR="007908E3">
        <w:rPr>
          <w:rFonts w:asciiTheme="minorHAnsi" w:hAnsiTheme="minorHAnsi" w:hint="cs"/>
          <w:rtl/>
        </w:rPr>
        <w:t>על פי ההחלטה מיום</w:t>
      </w:r>
      <w:r w:rsidR="00A93BDB">
        <w:rPr>
          <w:rFonts w:asciiTheme="minorHAnsi" w:hAnsiTheme="minorHAnsi" w:hint="cs"/>
          <w:rtl/>
        </w:rPr>
        <w:t xml:space="preserve"> </w:t>
      </w:r>
      <w:r w:rsidR="0089478E">
        <w:rPr>
          <w:rFonts w:asciiTheme="minorHAnsi" w:hAnsiTheme="minorHAnsi" w:hint="cs"/>
          <w:rtl/>
        </w:rPr>
        <w:t xml:space="preserve"> </w:t>
      </w:r>
      <w:r w:rsidR="007908E3">
        <w:rPr>
          <w:rFonts w:asciiTheme="minorHAnsi" w:hAnsiTheme="minorHAnsi" w:hint="cs"/>
          <w:rtl/>
        </w:rPr>
        <w:t>23.11.17 ניתנת לנתבע ארכה</w:t>
      </w:r>
      <w:r w:rsidR="0024602D">
        <w:rPr>
          <w:rFonts w:asciiTheme="minorHAnsi" w:hAnsiTheme="minorHAnsi" w:hint="cs"/>
          <w:rtl/>
        </w:rPr>
        <w:t xml:space="preserve">. </w:t>
      </w:r>
      <w:r>
        <w:rPr>
          <w:rFonts w:asciiTheme="minorHAnsi" w:hAnsiTheme="minorHAnsi" w:hint="cs"/>
          <w:rtl/>
        </w:rPr>
        <w:t>על כן, המדובר לכל היותר בעיכוב של ימים ספורים, בגינו היה מקום ל</w:t>
      </w:r>
      <w:r w:rsidR="003B797B">
        <w:rPr>
          <w:rFonts w:asciiTheme="minorHAnsi" w:hAnsiTheme="minorHAnsi" w:hint="cs"/>
          <w:rtl/>
        </w:rPr>
        <w:t>יתן</w:t>
      </w:r>
      <w:r>
        <w:rPr>
          <w:rFonts w:asciiTheme="minorHAnsi" w:hAnsiTheme="minorHAnsi" w:hint="cs"/>
          <w:rtl/>
        </w:rPr>
        <w:t xml:space="preserve"> ארכה עד מועד הגשת כתב ההגנה בפועל. </w:t>
      </w:r>
      <w:r>
        <w:rPr>
          <w:rFonts w:asciiTheme="minorHAnsi" w:hAnsiTheme="minorHAnsi" w:hint="cs"/>
          <w:b/>
          <w:rtl/>
        </w:rPr>
        <w:t>שקילת מכלול השיקולים והאינטרסים ה'מתגוששים בזירה', במקרה זה, לרבות זכות הגישה לערכאות</w:t>
      </w:r>
      <w:r w:rsidR="003B797B">
        <w:rPr>
          <w:rFonts w:asciiTheme="minorHAnsi" w:hAnsiTheme="minorHAnsi" w:hint="cs"/>
          <w:b/>
          <w:rtl/>
        </w:rPr>
        <w:t>,</w:t>
      </w:r>
      <w:r>
        <w:rPr>
          <w:rFonts w:asciiTheme="minorHAnsi" w:hAnsiTheme="minorHAnsi" w:hint="cs"/>
          <w:b/>
          <w:rtl/>
        </w:rPr>
        <w:t xml:space="preserve"> </w:t>
      </w:r>
      <w:r w:rsidR="0061503C">
        <w:rPr>
          <w:rFonts w:asciiTheme="minorHAnsi" w:hAnsiTheme="minorHAnsi" w:hint="cs"/>
          <w:b/>
          <w:rtl/>
        </w:rPr>
        <w:t>יעילות ההליך השיפוטי</w:t>
      </w:r>
      <w:r>
        <w:rPr>
          <w:rFonts w:asciiTheme="minorHAnsi" w:hAnsiTheme="minorHAnsi" w:hint="cs"/>
          <w:b/>
          <w:rtl/>
        </w:rPr>
        <w:t xml:space="preserve"> ועקרון סופיות הדיון, והפעלת הסמכות באופן העולה בקנה אחד עם עקרון המידתיות</w:t>
      </w:r>
      <w:r w:rsidR="002619AE">
        <w:rPr>
          <w:rFonts w:asciiTheme="minorHAnsi" w:hAnsiTheme="minorHAnsi" w:hint="cs"/>
          <w:b/>
          <w:rtl/>
        </w:rPr>
        <w:t xml:space="preserve">, תומכים במתן ארכה קצרה </w:t>
      </w:r>
      <w:r w:rsidR="003B797B">
        <w:rPr>
          <w:rFonts w:asciiTheme="minorHAnsi" w:hAnsiTheme="minorHAnsi" w:hint="cs"/>
          <w:b/>
          <w:rtl/>
        </w:rPr>
        <w:t xml:space="preserve">זו </w:t>
      </w:r>
      <w:r w:rsidR="002619AE">
        <w:rPr>
          <w:rFonts w:asciiTheme="minorHAnsi" w:hAnsiTheme="minorHAnsi" w:hint="cs"/>
          <w:b/>
          <w:rtl/>
        </w:rPr>
        <w:t xml:space="preserve">במקרה </w:t>
      </w:r>
      <w:r w:rsidR="000F7418">
        <w:rPr>
          <w:rFonts w:asciiTheme="minorHAnsi" w:hAnsiTheme="minorHAnsi" w:hint="cs"/>
          <w:b/>
          <w:rtl/>
        </w:rPr>
        <w:t>דא</w:t>
      </w:r>
      <w:r w:rsidR="002619AE">
        <w:rPr>
          <w:rFonts w:asciiTheme="minorHAnsi" w:hAnsiTheme="minorHAnsi" w:hint="cs"/>
          <w:b/>
          <w:rtl/>
        </w:rPr>
        <w:t xml:space="preserve"> (וראו</w:t>
      </w:r>
      <w:r w:rsidR="003B797B">
        <w:rPr>
          <w:rFonts w:asciiTheme="minorHAnsi" w:hAnsiTheme="minorHAnsi" w:hint="cs"/>
          <w:b/>
          <w:rtl/>
        </w:rPr>
        <w:t xml:space="preserve"> גם</w:t>
      </w:r>
      <w:r w:rsidR="002619AE">
        <w:rPr>
          <w:rFonts w:asciiTheme="minorHAnsi" w:hAnsiTheme="minorHAnsi" w:hint="cs"/>
          <w:b/>
          <w:rtl/>
        </w:rPr>
        <w:t xml:space="preserve">: </w:t>
      </w:r>
      <w:r>
        <w:rPr>
          <w:rFonts w:asciiTheme="minorHAnsi" w:hAnsiTheme="minorHAnsi" w:hint="cs"/>
          <w:rtl/>
        </w:rPr>
        <w:t xml:space="preserve">רע"א 8743/01 </w:t>
      </w:r>
      <w:r w:rsidRPr="00E8246E">
        <w:rPr>
          <w:rFonts w:asciiTheme="minorHAnsi" w:hAnsiTheme="minorHAnsi" w:hint="cs"/>
          <w:b/>
          <w:bCs/>
          <w:rtl/>
        </w:rPr>
        <w:t xml:space="preserve">אריעד מבנים נ' אבי את אריק הנדסה </w:t>
      </w:r>
      <w:r>
        <w:rPr>
          <w:rFonts w:asciiTheme="minorHAnsi" w:hAnsiTheme="minorHAnsi" w:hint="cs"/>
          <w:rtl/>
        </w:rPr>
        <w:t>פ"ד נו(4)61 (2002)</w:t>
      </w:r>
      <w:r w:rsidR="0061503C">
        <w:rPr>
          <w:rFonts w:asciiTheme="minorHAnsi" w:hAnsiTheme="minorHAnsi" w:hint="cs"/>
          <w:rtl/>
        </w:rPr>
        <w:t xml:space="preserve">; ע"א 6265/04 </w:t>
      </w:r>
      <w:r w:rsidR="0061503C">
        <w:rPr>
          <w:rFonts w:asciiTheme="minorHAnsi" w:hAnsiTheme="minorHAnsi" w:hint="cs"/>
          <w:b/>
          <w:bCs/>
          <w:rtl/>
        </w:rPr>
        <w:t xml:space="preserve">כסיף נ. רובין </w:t>
      </w:r>
      <w:r w:rsidR="0061503C">
        <w:rPr>
          <w:rFonts w:asciiTheme="minorHAnsi" w:hAnsiTheme="minorHAnsi" w:hint="cs"/>
          <w:rtl/>
        </w:rPr>
        <w:t>פ"ד נט (3) 913 (2004)</w:t>
      </w:r>
      <w:r w:rsidR="002619AE">
        <w:rPr>
          <w:rFonts w:asciiTheme="minorHAnsi" w:hAnsiTheme="minorHAnsi" w:hint="cs"/>
          <w:rtl/>
        </w:rPr>
        <w:t xml:space="preserve">). </w:t>
      </w:r>
    </w:p>
    <w:p w:rsidR="008C06B8" w:rsidRDefault="008A0A0F" w:rsidP="00BA6E71">
      <w:pPr>
        <w:spacing w:after="160" w:line="360" w:lineRule="auto"/>
        <w:ind w:left="283" w:right="-567" w:hanging="567"/>
        <w:jc w:val="both"/>
        <w:rPr>
          <w:rFonts w:asciiTheme="minorHAnsi" w:hAnsiTheme="minorHAnsi"/>
          <w:rtl/>
        </w:rPr>
      </w:pPr>
      <w:r>
        <w:rPr>
          <w:rFonts w:asciiTheme="minorHAnsi" w:hAnsiTheme="minorHAnsi" w:hint="cs"/>
          <w:rtl/>
        </w:rPr>
        <w:t>6.</w:t>
      </w:r>
      <w:r>
        <w:rPr>
          <w:rFonts w:asciiTheme="minorHAnsi" w:hAnsiTheme="minorHAnsi" w:hint="cs"/>
          <w:rtl/>
        </w:rPr>
        <w:tab/>
      </w:r>
      <w:r w:rsidR="00557094">
        <w:rPr>
          <w:rFonts w:asciiTheme="minorHAnsi" w:hAnsiTheme="minorHAnsi" w:hint="cs"/>
          <w:rtl/>
        </w:rPr>
        <w:t xml:space="preserve">אין </w:t>
      </w:r>
      <w:r w:rsidR="002619AE">
        <w:rPr>
          <w:rFonts w:asciiTheme="minorHAnsi" w:hAnsiTheme="minorHAnsi" w:hint="cs"/>
          <w:rtl/>
        </w:rPr>
        <w:t>ב</w:t>
      </w:r>
      <w:r w:rsidR="007908E3">
        <w:rPr>
          <w:rFonts w:asciiTheme="minorHAnsi" w:hAnsiTheme="minorHAnsi" w:hint="cs"/>
          <w:rtl/>
        </w:rPr>
        <w:t>פסקי הדין אותם מצטטת התובעת בבקשתה, כדי לסטות מ</w:t>
      </w:r>
      <w:r w:rsidR="00557094">
        <w:rPr>
          <w:rFonts w:asciiTheme="minorHAnsi" w:hAnsiTheme="minorHAnsi" w:hint="cs"/>
          <w:rtl/>
        </w:rPr>
        <w:t>ההלכה שנקבעה ב</w:t>
      </w:r>
      <w:r w:rsidR="0089478E">
        <w:rPr>
          <w:rFonts w:asciiTheme="minorHAnsi" w:hAnsiTheme="minorHAnsi" w:hint="cs"/>
          <w:rtl/>
        </w:rPr>
        <w:t>עניין</w:t>
      </w:r>
      <w:r w:rsidR="007908E3">
        <w:rPr>
          <w:rFonts w:asciiTheme="minorHAnsi" w:hAnsiTheme="minorHAnsi" w:hint="cs"/>
          <w:rtl/>
        </w:rPr>
        <w:t xml:space="preserve"> </w:t>
      </w:r>
      <w:r w:rsidR="00FD0E0F">
        <w:rPr>
          <w:rFonts w:asciiTheme="minorHAnsi" w:hAnsiTheme="minorHAnsi" w:hint="cs"/>
          <w:rtl/>
        </w:rPr>
        <w:t>ע</w:t>
      </w:r>
      <w:r>
        <w:rPr>
          <w:rFonts w:asciiTheme="minorHAnsi" w:hAnsiTheme="minorHAnsi" w:hint="cs"/>
          <w:rtl/>
        </w:rPr>
        <w:t>ינ</w:t>
      </w:r>
      <w:r w:rsidR="00FD0E0F">
        <w:rPr>
          <w:rFonts w:asciiTheme="minorHAnsi" w:hAnsiTheme="minorHAnsi" w:hint="cs"/>
          <w:rtl/>
        </w:rPr>
        <w:t xml:space="preserve">צ'י. </w:t>
      </w:r>
      <w:r w:rsidR="00BA2CFA">
        <w:rPr>
          <w:rFonts w:asciiTheme="minorHAnsi" w:hAnsiTheme="minorHAnsi" w:hint="cs"/>
          <w:rtl/>
        </w:rPr>
        <w:t xml:space="preserve">היפוכם של הדברים הוא הנכון. </w:t>
      </w:r>
    </w:p>
    <w:p w:rsidR="008A0A0F" w:rsidRDefault="00480A25" w:rsidP="008B0FFF">
      <w:pPr>
        <w:spacing w:after="160" w:line="360" w:lineRule="auto"/>
        <w:ind w:left="283" w:right="-567"/>
        <w:jc w:val="both"/>
        <w:rPr>
          <w:b/>
          <w:noProof w:val="0"/>
          <w:sz w:val="28"/>
          <w:rtl/>
        </w:rPr>
      </w:pPr>
      <w:r>
        <w:rPr>
          <w:rFonts w:asciiTheme="minorHAnsi" w:hAnsiTheme="minorHAnsi" w:hint="cs"/>
          <w:rtl/>
        </w:rPr>
        <w:t>ב</w:t>
      </w:r>
      <w:r w:rsidR="008A0A0F">
        <w:rPr>
          <w:rFonts w:asciiTheme="minorHAnsi" w:hAnsiTheme="minorHAnsi" w:hint="cs"/>
          <w:rtl/>
        </w:rPr>
        <w:t xml:space="preserve">-ע"א </w:t>
      </w:r>
      <w:r w:rsidR="003B68E5">
        <w:rPr>
          <w:rFonts w:asciiTheme="minorHAnsi" w:hAnsiTheme="minorHAnsi" w:hint="cs"/>
          <w:rtl/>
        </w:rPr>
        <w:t xml:space="preserve">1782/06 </w:t>
      </w:r>
      <w:r w:rsidR="00D00702">
        <w:rPr>
          <w:rFonts w:asciiTheme="minorHAnsi" w:hAnsiTheme="minorHAnsi" w:hint="cs"/>
          <w:b/>
          <w:bCs/>
          <w:rtl/>
        </w:rPr>
        <w:t xml:space="preserve">, </w:t>
      </w:r>
      <w:r w:rsidR="00D00702" w:rsidRPr="00D00702">
        <w:rPr>
          <w:rFonts w:asciiTheme="minorHAnsi" w:hAnsiTheme="minorHAnsi" w:hint="cs"/>
          <w:b/>
          <w:rtl/>
        </w:rPr>
        <w:t>ע"א 8991/06</w:t>
      </w:r>
      <w:r w:rsidR="00D00702">
        <w:rPr>
          <w:rFonts w:asciiTheme="minorHAnsi" w:hAnsiTheme="minorHAnsi" w:hint="cs"/>
          <w:b/>
          <w:bCs/>
          <w:rtl/>
        </w:rPr>
        <w:t xml:space="preserve"> </w:t>
      </w:r>
      <w:r w:rsidR="008A0A0F" w:rsidRPr="00FD0E0F">
        <w:rPr>
          <w:rFonts w:asciiTheme="minorHAnsi" w:hAnsiTheme="minorHAnsi" w:hint="cs"/>
          <w:b/>
          <w:bCs/>
          <w:rtl/>
        </w:rPr>
        <w:t>משרד הבינוי והשיכון נ' סולל בונה בע"מ</w:t>
      </w:r>
      <w:r w:rsidR="008A0A0F">
        <w:rPr>
          <w:rFonts w:asciiTheme="minorHAnsi" w:hAnsiTheme="minorHAnsi" w:hint="cs"/>
          <w:rtl/>
        </w:rPr>
        <w:t xml:space="preserve"> (6.4.08) חזר בית המשפט </w:t>
      </w:r>
      <w:r w:rsidR="008A0A0F" w:rsidRPr="00BA2CFA">
        <w:rPr>
          <w:rFonts w:asciiTheme="minorHAnsi" w:hAnsiTheme="minorHAnsi" w:hint="cs"/>
          <w:rtl/>
        </w:rPr>
        <w:t xml:space="preserve">וקבע כי יש להמנע </w:t>
      </w:r>
      <w:r w:rsidR="008A0A0F" w:rsidRPr="00BA2CFA">
        <w:rPr>
          <w:b/>
          <w:noProof w:val="0"/>
          <w:sz w:val="28"/>
          <w:rtl/>
        </w:rPr>
        <w:t>מיישום נוקשה ודווקני של כללים פרוצדוראליים</w:t>
      </w:r>
      <w:r w:rsidR="008A0A0F" w:rsidRPr="00BA2CFA">
        <w:rPr>
          <w:rFonts w:hint="cs"/>
          <w:b/>
          <w:noProof w:val="0"/>
          <w:sz w:val="28"/>
          <w:rtl/>
        </w:rPr>
        <w:t xml:space="preserve">; וכי ההלכה מורה כי </w:t>
      </w:r>
      <w:r w:rsidR="00BA2CFA">
        <w:rPr>
          <w:rFonts w:hint="cs"/>
          <w:b/>
          <w:noProof w:val="0"/>
          <w:sz w:val="28"/>
          <w:rtl/>
        </w:rPr>
        <w:t>ל</w:t>
      </w:r>
      <w:r w:rsidR="008A0A0F" w:rsidRPr="00BA2CFA">
        <w:rPr>
          <w:b/>
          <w:noProof w:val="0"/>
          <w:sz w:val="28"/>
          <w:rtl/>
        </w:rPr>
        <w:t>א יינתן פסק-דין בהעדר הגנה אם הוגש כתב הגנה לפני שהוגשה בקשה לקבלת פסק-דין או לפני שעיין בבקשה זו בית המשפט</w:t>
      </w:r>
      <w:r w:rsidR="00BA2CFA">
        <w:rPr>
          <w:rFonts w:hint="cs"/>
          <w:b/>
          <w:noProof w:val="0"/>
          <w:sz w:val="28"/>
          <w:rtl/>
        </w:rPr>
        <w:t xml:space="preserve">. </w:t>
      </w:r>
      <w:r w:rsidR="003B797B">
        <w:rPr>
          <w:rFonts w:hint="cs"/>
          <w:b/>
          <w:noProof w:val="0"/>
          <w:sz w:val="28"/>
          <w:rtl/>
        </w:rPr>
        <w:t>עצם העובדה ש</w:t>
      </w:r>
      <w:r w:rsidR="00BA2CFA">
        <w:rPr>
          <w:rFonts w:hint="cs"/>
          <w:b/>
          <w:noProof w:val="0"/>
          <w:sz w:val="28"/>
          <w:rtl/>
        </w:rPr>
        <w:t xml:space="preserve">יישום </w:t>
      </w:r>
      <w:r w:rsidR="008A0A0F" w:rsidRPr="00BA2CFA">
        <w:rPr>
          <w:rFonts w:hint="cs"/>
          <w:b/>
          <w:noProof w:val="0"/>
          <w:sz w:val="28"/>
          <w:rtl/>
        </w:rPr>
        <w:t xml:space="preserve">ההלכה </w:t>
      </w:r>
      <w:r w:rsidR="00BA2CFA">
        <w:rPr>
          <w:rFonts w:hint="cs"/>
          <w:b/>
          <w:noProof w:val="0"/>
          <w:sz w:val="28"/>
          <w:rtl/>
        </w:rPr>
        <w:t xml:space="preserve">שנקבעה </w:t>
      </w:r>
      <w:r w:rsidR="008A0A0F" w:rsidRPr="00BA2CFA">
        <w:rPr>
          <w:rFonts w:hint="cs"/>
          <w:b/>
          <w:noProof w:val="0"/>
          <w:sz w:val="28"/>
          <w:rtl/>
        </w:rPr>
        <w:t xml:space="preserve">בעניין </w:t>
      </w:r>
      <w:r w:rsidR="00321E73">
        <w:rPr>
          <w:rFonts w:hint="cs"/>
          <w:b/>
          <w:noProof w:val="0"/>
          <w:sz w:val="28"/>
          <w:rtl/>
        </w:rPr>
        <w:t>עינצ'י</w:t>
      </w:r>
      <w:r w:rsidR="008A0A0F" w:rsidRPr="00BA2CFA">
        <w:rPr>
          <w:rFonts w:hint="cs"/>
          <w:b/>
          <w:noProof w:val="0"/>
          <w:sz w:val="28"/>
          <w:rtl/>
        </w:rPr>
        <w:t xml:space="preserve">, </w:t>
      </w:r>
      <w:r w:rsidR="00BA2CFA">
        <w:rPr>
          <w:rFonts w:hint="cs"/>
          <w:b/>
          <w:noProof w:val="0"/>
          <w:sz w:val="28"/>
          <w:rtl/>
        </w:rPr>
        <w:t xml:space="preserve">במקרה דשם, על נסיבותיו הספציפיות, הוביל למסקנה כי </w:t>
      </w:r>
      <w:r w:rsidR="008A0A0F" w:rsidRPr="00BA2CFA">
        <w:rPr>
          <w:rFonts w:hint="cs"/>
          <w:b/>
          <w:noProof w:val="0"/>
          <w:sz w:val="28"/>
          <w:rtl/>
        </w:rPr>
        <w:t>כתב ההגנה לא הוגש עד למועד הקובע</w:t>
      </w:r>
      <w:r w:rsidR="003B797B">
        <w:rPr>
          <w:rFonts w:hint="cs"/>
          <w:b/>
          <w:noProof w:val="0"/>
          <w:sz w:val="28"/>
          <w:rtl/>
        </w:rPr>
        <w:t>, אין בו כדי לשנות הלכה זו.</w:t>
      </w:r>
      <w:r w:rsidR="008A0A0F" w:rsidRPr="00BA2CFA">
        <w:rPr>
          <w:rFonts w:hint="cs"/>
          <w:b/>
          <w:noProof w:val="0"/>
          <w:sz w:val="28"/>
          <w:rtl/>
        </w:rPr>
        <w:t xml:space="preserve"> </w:t>
      </w:r>
      <w:r w:rsidR="003B797B">
        <w:rPr>
          <w:rFonts w:hint="cs"/>
          <w:b/>
          <w:noProof w:val="0"/>
          <w:sz w:val="28"/>
          <w:rtl/>
        </w:rPr>
        <w:t>מה עוד ש</w:t>
      </w:r>
      <w:r w:rsidR="00BA2CFA">
        <w:rPr>
          <w:rFonts w:hint="cs"/>
          <w:b/>
          <w:noProof w:val="0"/>
          <w:sz w:val="28"/>
          <w:rtl/>
        </w:rPr>
        <w:t xml:space="preserve">בית המשפט </w:t>
      </w:r>
      <w:r w:rsidR="00BA6E71">
        <w:rPr>
          <w:rFonts w:hint="cs"/>
          <w:b/>
          <w:noProof w:val="0"/>
          <w:sz w:val="28"/>
          <w:rtl/>
        </w:rPr>
        <w:t>ה</w:t>
      </w:r>
      <w:r w:rsidR="00BA2CFA">
        <w:rPr>
          <w:rFonts w:hint="cs"/>
          <w:b/>
          <w:noProof w:val="0"/>
          <w:sz w:val="28"/>
          <w:rtl/>
        </w:rPr>
        <w:t>וסיף ו</w:t>
      </w:r>
      <w:r w:rsidR="00172359">
        <w:rPr>
          <w:rFonts w:hint="cs"/>
          <w:b/>
          <w:noProof w:val="0"/>
          <w:sz w:val="28"/>
          <w:rtl/>
        </w:rPr>
        <w:t>ה</w:t>
      </w:r>
      <w:r w:rsidR="00BA2CFA">
        <w:rPr>
          <w:rFonts w:hint="cs"/>
          <w:b/>
          <w:noProof w:val="0"/>
          <w:sz w:val="28"/>
          <w:rtl/>
        </w:rPr>
        <w:t xml:space="preserve">דגיש כי יתכנו מקרים בהם </w:t>
      </w:r>
      <w:r w:rsidR="008C06B8">
        <w:rPr>
          <w:rFonts w:hint="cs"/>
          <w:b/>
          <w:noProof w:val="0"/>
          <w:sz w:val="28"/>
          <w:rtl/>
        </w:rPr>
        <w:t>למרות</w:t>
      </w:r>
      <w:r w:rsidR="00BA2CFA">
        <w:rPr>
          <w:rFonts w:hint="cs"/>
          <w:b/>
          <w:noProof w:val="0"/>
          <w:sz w:val="28"/>
          <w:rtl/>
        </w:rPr>
        <w:t xml:space="preserve"> שכתב ההגנה הוגש </w:t>
      </w:r>
      <w:r w:rsidR="00BA2CFA" w:rsidRPr="003B68E5">
        <w:rPr>
          <w:rFonts w:hint="cs"/>
          <w:b/>
          <w:noProof w:val="0"/>
          <w:sz w:val="28"/>
          <w:u w:val="single"/>
          <w:rtl/>
        </w:rPr>
        <w:t>לאחר</w:t>
      </w:r>
      <w:r w:rsidR="00BA2CFA">
        <w:rPr>
          <w:rFonts w:hint="cs"/>
          <w:b/>
          <w:noProof w:val="0"/>
          <w:sz w:val="28"/>
          <w:rtl/>
        </w:rPr>
        <w:t xml:space="preserve"> המועד הק</w:t>
      </w:r>
      <w:r w:rsidR="003B68E5">
        <w:rPr>
          <w:rFonts w:hint="cs"/>
          <w:b/>
          <w:noProof w:val="0"/>
          <w:sz w:val="28"/>
          <w:rtl/>
        </w:rPr>
        <w:t xml:space="preserve">ובע, </w:t>
      </w:r>
      <w:r w:rsidR="00BA2CFA">
        <w:rPr>
          <w:rFonts w:hint="cs"/>
          <w:b/>
          <w:noProof w:val="0"/>
          <w:sz w:val="28"/>
          <w:rtl/>
        </w:rPr>
        <w:t xml:space="preserve">כאמור, </w:t>
      </w:r>
      <w:r w:rsidR="00BA2CFA">
        <w:rPr>
          <w:rFonts w:hint="cs"/>
          <w:b/>
          <w:noProof w:val="0"/>
          <w:sz w:val="28"/>
          <w:rtl/>
        </w:rPr>
        <w:lastRenderedPageBreak/>
        <w:t>יהיה מקום ליתן ארכה</w:t>
      </w:r>
      <w:r w:rsidR="003B68E5">
        <w:rPr>
          <w:rFonts w:hint="cs"/>
          <w:b/>
          <w:noProof w:val="0"/>
          <w:sz w:val="28"/>
          <w:rtl/>
        </w:rPr>
        <w:t>,</w:t>
      </w:r>
      <w:r w:rsidR="00BA2CFA">
        <w:rPr>
          <w:rFonts w:hint="cs"/>
          <w:b/>
          <w:noProof w:val="0"/>
          <w:sz w:val="28"/>
          <w:rtl/>
        </w:rPr>
        <w:t xml:space="preserve"> תוך איזון האינטרסים ה'מתגוששים בזירה' בפסיקת הוצאות</w:t>
      </w:r>
      <w:r>
        <w:rPr>
          <w:rFonts w:hint="cs"/>
          <w:b/>
          <w:noProof w:val="0"/>
          <w:sz w:val="28"/>
          <w:rtl/>
        </w:rPr>
        <w:t>. אלא ש</w:t>
      </w:r>
      <w:r w:rsidR="003B68E5">
        <w:rPr>
          <w:rFonts w:hint="cs"/>
          <w:b/>
          <w:noProof w:val="0"/>
          <w:sz w:val="28"/>
          <w:rtl/>
        </w:rPr>
        <w:t xml:space="preserve">מצא שבנסיבות הספציפיות שלפניו, נוכח מחדליה החוזרים ונשנים של המערערת מהלך </w:t>
      </w:r>
      <w:r w:rsidR="003B68E5" w:rsidRPr="00480A25">
        <w:rPr>
          <w:rFonts w:hint="cs"/>
          <w:b/>
          <w:noProof w:val="0"/>
          <w:sz w:val="28"/>
          <w:u w:val="single"/>
          <w:rtl/>
        </w:rPr>
        <w:t>שנים</w:t>
      </w:r>
      <w:r w:rsidR="003B68E5">
        <w:rPr>
          <w:rFonts w:hint="cs"/>
          <w:b/>
          <w:noProof w:val="0"/>
          <w:sz w:val="28"/>
          <w:rtl/>
        </w:rPr>
        <w:t>, אין מקום לכך</w:t>
      </w:r>
      <w:r w:rsidR="00321E73">
        <w:rPr>
          <w:rFonts w:hint="cs"/>
          <w:b/>
          <w:noProof w:val="0"/>
          <w:sz w:val="28"/>
          <w:rtl/>
        </w:rPr>
        <w:t>:</w:t>
      </w:r>
      <w:r w:rsidR="003B68E5">
        <w:rPr>
          <w:rFonts w:hint="cs"/>
          <w:b/>
          <w:noProof w:val="0"/>
          <w:sz w:val="28"/>
          <w:rtl/>
        </w:rPr>
        <w:t xml:space="preserve">  </w:t>
      </w:r>
    </w:p>
    <w:p w:rsidR="003B68E5" w:rsidRDefault="00BA2CFA" w:rsidP="003B68E5">
      <w:pPr>
        <w:ind w:left="1134" w:right="567"/>
        <w:jc w:val="both"/>
        <w:rPr>
          <w:rFonts w:asciiTheme="minorHAnsi" w:hAnsiTheme="minorHAnsi"/>
          <w:b/>
          <w:bCs/>
          <w:rtl/>
        </w:rPr>
      </w:pPr>
      <w:r>
        <w:rPr>
          <w:rFonts w:hint="cs"/>
          <w:b/>
          <w:bCs/>
          <w:noProof w:val="0"/>
          <w:rtl/>
        </w:rPr>
        <w:t>"</w:t>
      </w:r>
      <w:r w:rsidR="00CD4BAF">
        <w:rPr>
          <w:rFonts w:hint="cs"/>
          <w:b/>
          <w:bCs/>
          <w:noProof w:val="0"/>
          <w:rtl/>
        </w:rPr>
        <w:t xml:space="preserve">אכן, מן הראוי שלא להיצמד לאמות מידה פורמאליות בלבד ויש להשאיר בידי בית המשפט שיקול דעת במקרים בהם מכלול הנסיבות מחייב גמישות של כללי הפרוצדורה האזרחית. בהתאם, אין זה מן הנמנע כי במקרים המתאימים לא ניתן יהיה להתעלם מכתב הגנה שהוגש לאחר שניתנה ההחלטה לאפשר לנתבע להגיב על בקשה למתן פסק דין בשל אי הגשת כתב הגנה במועד, אף מבלי שבית המשפט קיבל את נימוקי האיחור. כך למשל, מקום בו מדובר באיחור קצר, אשר ברור על פניו כי אינו נגוע בזלזול בהליך השיפוטי. במקרה זה, התרופה המתאימה תימצא </w:t>
      </w:r>
      <w:r w:rsidR="00D42293">
        <w:rPr>
          <w:rFonts w:hint="cs"/>
          <w:b/>
          <w:bCs/>
          <w:noProof w:val="0"/>
          <w:rtl/>
        </w:rPr>
        <w:t xml:space="preserve">בהטלת הוצאות לחובת הנתבע בגין האיחור. ואולם בעניינו, כאמור, המערערת חצתה זה מכבר </w:t>
      </w:r>
      <w:r w:rsidR="003B68E5">
        <w:rPr>
          <w:rFonts w:hint="cs"/>
          <w:b/>
          <w:bCs/>
          <w:noProof w:val="0"/>
          <w:rtl/>
        </w:rPr>
        <w:t>א</w:t>
      </w:r>
      <w:r w:rsidR="00D42293">
        <w:rPr>
          <w:rFonts w:hint="cs"/>
          <w:b/>
          <w:bCs/>
          <w:noProof w:val="0"/>
          <w:rtl/>
        </w:rPr>
        <w:t xml:space="preserve">ת קו הגבול שבין איחור הנובע מתקלה שנעשתה בתום לב לבחן זלזול של ממש בהליך המשפטי. במקרה מעין זה, אין כל סיבה להימנע מהקביעה כי מועד החלטתו של הרשם אזר ז"ל ביום 1.3.04 מהווה "מועד הדיון", אשר הן בהתאם לענין עינצ'י האמור והן בהתאם להלכה אשר נקבעה ב- </w:t>
      </w:r>
      <w:r w:rsidR="00D42293" w:rsidRPr="00D42293">
        <w:rPr>
          <w:rFonts w:asciiTheme="minorHAnsi" w:hAnsiTheme="minorHAnsi" w:hint="cs"/>
          <w:b/>
          <w:bCs/>
          <w:rtl/>
        </w:rPr>
        <w:t>ע"א 519/82 פ</w:t>
      </w:r>
      <w:r w:rsidR="00D42293">
        <w:rPr>
          <w:rFonts w:asciiTheme="minorHAnsi" w:hAnsiTheme="minorHAnsi" w:hint="cs"/>
          <w:b/>
          <w:bCs/>
          <w:rtl/>
        </w:rPr>
        <w:t>קיד השומה ת"א 4 נ' ישראל נחושתן</w:t>
      </w:r>
      <w:r w:rsidR="00D42293">
        <w:rPr>
          <w:rFonts w:asciiTheme="minorHAnsi" w:hAnsiTheme="minorHAnsi" w:hint="cs"/>
          <w:rtl/>
        </w:rPr>
        <w:t xml:space="preserve"> </w:t>
      </w:r>
      <w:r w:rsidR="00D42293" w:rsidRPr="002F041A">
        <w:rPr>
          <w:rFonts w:asciiTheme="minorHAnsi" w:hAnsiTheme="minorHAnsi" w:hint="cs"/>
          <w:b/>
          <w:bCs/>
          <w:rtl/>
        </w:rPr>
        <w:t>פ"ד לט(3) 240 , מהווה את "הנקודה הגיאומטרית" אשר לאחריה לא ניתן להתחשב בכתב ההגנה שהוגש באיחור."</w:t>
      </w:r>
      <w:r w:rsidR="003B68E5">
        <w:rPr>
          <w:rFonts w:asciiTheme="minorHAnsi" w:hAnsiTheme="minorHAnsi" w:hint="cs"/>
          <w:b/>
          <w:bCs/>
          <w:rtl/>
        </w:rPr>
        <w:t>.</w:t>
      </w:r>
    </w:p>
    <w:p w:rsidR="003B68E5" w:rsidRDefault="003B68E5" w:rsidP="00BA2CFA">
      <w:pPr>
        <w:ind w:left="1134" w:right="567"/>
        <w:jc w:val="both"/>
        <w:rPr>
          <w:rFonts w:asciiTheme="minorHAnsi" w:hAnsiTheme="minorHAnsi"/>
          <w:b/>
          <w:bCs/>
          <w:rtl/>
        </w:rPr>
      </w:pPr>
    </w:p>
    <w:p w:rsidR="00CF7BDF" w:rsidRDefault="003B68E5" w:rsidP="00480A25">
      <w:pPr>
        <w:spacing w:line="360" w:lineRule="auto"/>
        <w:ind w:left="284" w:right="-709"/>
        <w:jc w:val="both"/>
        <w:rPr>
          <w:rFonts w:asciiTheme="minorHAnsi" w:hAnsiTheme="minorHAnsi"/>
          <w:b/>
          <w:rtl/>
        </w:rPr>
      </w:pPr>
      <w:r w:rsidRPr="003B68E5">
        <w:rPr>
          <w:rFonts w:asciiTheme="minorHAnsi" w:hAnsiTheme="minorHAnsi" w:hint="cs"/>
          <w:b/>
          <w:rtl/>
        </w:rPr>
        <w:t>בע</w:t>
      </w:r>
      <w:r w:rsidR="00B50385">
        <w:rPr>
          <w:rFonts w:asciiTheme="minorHAnsi" w:hAnsiTheme="minorHAnsi" w:hint="cs"/>
          <w:b/>
          <w:rtl/>
        </w:rPr>
        <w:t>ניננו</w:t>
      </w:r>
      <w:r w:rsidR="005C587E">
        <w:rPr>
          <w:rFonts w:asciiTheme="minorHAnsi" w:hAnsiTheme="minorHAnsi" w:hint="cs"/>
          <w:b/>
          <w:rtl/>
        </w:rPr>
        <w:t xml:space="preserve"> </w:t>
      </w:r>
      <w:r w:rsidR="00321E73">
        <w:rPr>
          <w:rFonts w:asciiTheme="minorHAnsi" w:hAnsiTheme="minorHAnsi" w:hint="cs"/>
          <w:b/>
          <w:rtl/>
        </w:rPr>
        <w:t xml:space="preserve">שאני. </w:t>
      </w:r>
      <w:r w:rsidRPr="003B68E5">
        <w:rPr>
          <w:rFonts w:asciiTheme="minorHAnsi" w:hAnsiTheme="minorHAnsi" w:hint="cs"/>
          <w:b/>
          <w:rtl/>
        </w:rPr>
        <w:t>כתב ההגנה הוגש על ידי הנתבעת</w:t>
      </w:r>
      <w:r w:rsidR="00480A25">
        <w:rPr>
          <w:rFonts w:asciiTheme="minorHAnsi" w:hAnsiTheme="minorHAnsi" w:hint="cs"/>
          <w:b/>
          <w:rtl/>
        </w:rPr>
        <w:t xml:space="preserve">, </w:t>
      </w:r>
      <w:r w:rsidR="00CF7BDF">
        <w:rPr>
          <w:rFonts w:asciiTheme="minorHAnsi" w:hAnsiTheme="minorHAnsi" w:hint="cs"/>
          <w:b/>
          <w:rtl/>
        </w:rPr>
        <w:t>באיחור קצר, בן ימים ספורים</w:t>
      </w:r>
      <w:r w:rsidR="008C06B8">
        <w:rPr>
          <w:rFonts w:asciiTheme="minorHAnsi" w:hAnsiTheme="minorHAnsi" w:hint="cs"/>
          <w:b/>
          <w:rtl/>
        </w:rPr>
        <w:t>,</w:t>
      </w:r>
      <w:r w:rsidR="00CF7BDF">
        <w:rPr>
          <w:rFonts w:asciiTheme="minorHAnsi" w:hAnsiTheme="minorHAnsi" w:hint="cs"/>
          <w:b/>
          <w:rtl/>
        </w:rPr>
        <w:t xml:space="preserve"> ו</w:t>
      </w:r>
      <w:r w:rsidR="00CF7BDF" w:rsidRPr="005C587E">
        <w:rPr>
          <w:rFonts w:asciiTheme="minorHAnsi" w:hAnsiTheme="minorHAnsi" w:hint="cs"/>
          <w:b/>
          <w:u w:val="single"/>
          <w:rtl/>
        </w:rPr>
        <w:t>בטרם</w:t>
      </w:r>
      <w:r w:rsidR="00CF7BDF">
        <w:rPr>
          <w:rFonts w:asciiTheme="minorHAnsi" w:hAnsiTheme="minorHAnsi" w:hint="cs"/>
          <w:b/>
          <w:rtl/>
        </w:rPr>
        <w:t xml:space="preserve"> ה'נקודה הגיאומטרית'. </w:t>
      </w:r>
      <w:r w:rsidRPr="003B68E5">
        <w:rPr>
          <w:rFonts w:asciiTheme="minorHAnsi" w:hAnsiTheme="minorHAnsi" w:hint="cs"/>
          <w:b/>
          <w:rtl/>
        </w:rPr>
        <w:t>בנסיבות אלה</w:t>
      </w:r>
      <w:r w:rsidR="00CF7BDF">
        <w:rPr>
          <w:rFonts w:asciiTheme="minorHAnsi" w:hAnsiTheme="minorHAnsi" w:hint="cs"/>
          <w:b/>
          <w:rtl/>
        </w:rPr>
        <w:t>,</w:t>
      </w:r>
      <w:r w:rsidRPr="003B68E5">
        <w:rPr>
          <w:rFonts w:asciiTheme="minorHAnsi" w:hAnsiTheme="minorHAnsi" w:hint="cs"/>
          <w:b/>
          <w:rtl/>
        </w:rPr>
        <w:t xml:space="preserve"> אין לאמר כי מדובר בזלזול של ממש בהליך המשפטי. </w:t>
      </w:r>
    </w:p>
    <w:p w:rsidR="00B50385" w:rsidRDefault="00B50385" w:rsidP="00CF7BDF">
      <w:pPr>
        <w:spacing w:line="360" w:lineRule="auto"/>
        <w:ind w:left="284" w:right="-709"/>
        <w:jc w:val="both"/>
        <w:rPr>
          <w:rFonts w:asciiTheme="minorHAnsi" w:hAnsiTheme="minorHAnsi"/>
          <w:b/>
          <w:rtl/>
        </w:rPr>
      </w:pPr>
    </w:p>
    <w:p w:rsidR="0087799F" w:rsidRDefault="00480A25" w:rsidP="00480A25">
      <w:pPr>
        <w:spacing w:line="360" w:lineRule="auto"/>
        <w:ind w:left="284" w:right="-709"/>
        <w:jc w:val="both"/>
        <w:rPr>
          <w:rFonts w:asciiTheme="minorHAnsi" w:hAnsiTheme="minorHAnsi"/>
          <w:b/>
          <w:rtl/>
        </w:rPr>
      </w:pPr>
      <w:r>
        <w:rPr>
          <w:rFonts w:asciiTheme="minorHAnsi" w:hAnsiTheme="minorHAnsi" w:hint="cs"/>
          <w:b/>
          <w:rtl/>
        </w:rPr>
        <w:t>ב</w:t>
      </w:r>
      <w:r w:rsidR="00B50385">
        <w:rPr>
          <w:rFonts w:asciiTheme="minorHAnsi" w:hAnsiTheme="minorHAnsi" w:hint="cs"/>
          <w:b/>
          <w:rtl/>
        </w:rPr>
        <w:t xml:space="preserve">- רע"א 1643/00 </w:t>
      </w:r>
      <w:r w:rsidR="00B50385" w:rsidRPr="00B50385">
        <w:rPr>
          <w:rFonts w:asciiTheme="minorHAnsi" w:hAnsiTheme="minorHAnsi" w:hint="cs"/>
          <w:bCs/>
          <w:rtl/>
        </w:rPr>
        <w:t>פנינת טל השקעות ובניה בע"מ נ' פ"ש ירושלים</w:t>
      </w:r>
      <w:r w:rsidR="00B50385">
        <w:rPr>
          <w:rFonts w:asciiTheme="minorHAnsi" w:hAnsiTheme="minorHAnsi" w:hint="cs"/>
          <w:b/>
          <w:rtl/>
        </w:rPr>
        <w:t xml:space="preserve"> פ"ד נה(4)198 (2001), בית המשפט אמנם מדגיש </w:t>
      </w:r>
      <w:r w:rsidR="002D366E">
        <w:rPr>
          <w:rFonts w:asciiTheme="minorHAnsi" w:hAnsiTheme="minorHAnsi" w:hint="cs"/>
          <w:b/>
          <w:rtl/>
        </w:rPr>
        <w:t xml:space="preserve">כי: </w:t>
      </w:r>
      <w:r w:rsidR="002D366E" w:rsidRPr="002D366E">
        <w:rPr>
          <w:rFonts w:asciiTheme="minorHAnsi" w:hAnsiTheme="minorHAnsi" w:hint="cs"/>
          <w:bCs/>
          <w:rtl/>
        </w:rPr>
        <w:t>"</w:t>
      </w:r>
      <w:r w:rsidR="00B50385" w:rsidRPr="002D366E">
        <w:rPr>
          <w:rFonts w:asciiTheme="minorHAnsi" w:hAnsiTheme="minorHAnsi" w:hint="cs"/>
          <w:bCs/>
          <w:rtl/>
        </w:rPr>
        <w:t xml:space="preserve">הקפדה </w:t>
      </w:r>
      <w:r w:rsidR="002D366E" w:rsidRPr="002D366E">
        <w:rPr>
          <w:rFonts w:asciiTheme="minorHAnsi" w:hAnsiTheme="minorHAnsi" w:hint="cs"/>
          <w:bCs/>
          <w:rtl/>
        </w:rPr>
        <w:t>נאותה ש</w:t>
      </w:r>
      <w:r w:rsidR="00B50385" w:rsidRPr="002D366E">
        <w:rPr>
          <w:rFonts w:asciiTheme="minorHAnsi" w:hAnsiTheme="minorHAnsi" w:hint="cs"/>
          <w:bCs/>
          <w:rtl/>
        </w:rPr>
        <w:t xml:space="preserve">ל לוחות זמנים בהליך השיפוטי </w:t>
      </w:r>
      <w:r w:rsidR="002D366E" w:rsidRPr="002D366E">
        <w:rPr>
          <w:rFonts w:asciiTheme="minorHAnsi" w:hAnsiTheme="minorHAnsi" w:hint="cs"/>
          <w:bCs/>
          <w:rtl/>
        </w:rPr>
        <w:t xml:space="preserve">הינה כורח המציאות, </w:t>
      </w:r>
      <w:r w:rsidR="00B50385" w:rsidRPr="002D366E">
        <w:rPr>
          <w:rFonts w:asciiTheme="minorHAnsi" w:hAnsiTheme="minorHAnsi" w:hint="cs"/>
          <w:bCs/>
          <w:rtl/>
        </w:rPr>
        <w:t>שאחרת לא ניתן לנהל מערכת שיפוט סדירה ותקינה</w:t>
      </w:r>
      <w:r w:rsidR="002D366E" w:rsidRPr="002D366E">
        <w:rPr>
          <w:rFonts w:asciiTheme="minorHAnsi" w:hAnsiTheme="minorHAnsi" w:hint="cs"/>
          <w:bCs/>
          <w:rtl/>
        </w:rPr>
        <w:t xml:space="preserve">, וסופן של </w:t>
      </w:r>
      <w:r w:rsidR="00B50385" w:rsidRPr="002D366E">
        <w:rPr>
          <w:rFonts w:asciiTheme="minorHAnsi" w:hAnsiTheme="minorHAnsi" w:hint="cs"/>
          <w:bCs/>
          <w:rtl/>
        </w:rPr>
        <w:t xml:space="preserve">חריגות </w:t>
      </w:r>
      <w:r w:rsidR="002D366E" w:rsidRPr="002D366E">
        <w:rPr>
          <w:rFonts w:asciiTheme="minorHAnsi" w:hAnsiTheme="minorHAnsi" w:hint="cs"/>
          <w:bCs/>
          <w:rtl/>
        </w:rPr>
        <w:t xml:space="preserve">כגון אלה שהן עלולות </w:t>
      </w:r>
      <w:r w:rsidR="00B50385" w:rsidRPr="002D366E">
        <w:rPr>
          <w:rFonts w:asciiTheme="minorHAnsi" w:hAnsiTheme="minorHAnsi" w:hint="cs"/>
          <w:bCs/>
          <w:rtl/>
        </w:rPr>
        <w:t>ל</w:t>
      </w:r>
      <w:r w:rsidR="002D366E" w:rsidRPr="002D366E">
        <w:rPr>
          <w:rFonts w:asciiTheme="minorHAnsi" w:hAnsiTheme="minorHAnsi" w:hint="cs"/>
          <w:bCs/>
          <w:rtl/>
        </w:rPr>
        <w:t>פגוע</w:t>
      </w:r>
      <w:r w:rsidR="00B50385" w:rsidRPr="002D366E">
        <w:rPr>
          <w:rFonts w:asciiTheme="minorHAnsi" w:hAnsiTheme="minorHAnsi" w:hint="cs"/>
          <w:bCs/>
          <w:rtl/>
        </w:rPr>
        <w:t xml:space="preserve"> בזכויות דיוניות ואף </w:t>
      </w:r>
      <w:r w:rsidR="002D366E" w:rsidRPr="002D366E">
        <w:rPr>
          <w:rFonts w:asciiTheme="minorHAnsi" w:hAnsiTheme="minorHAnsi" w:hint="cs"/>
          <w:bCs/>
          <w:rtl/>
        </w:rPr>
        <w:t xml:space="preserve">בזכויות </w:t>
      </w:r>
      <w:r w:rsidR="00B50385" w:rsidRPr="002D366E">
        <w:rPr>
          <w:rFonts w:asciiTheme="minorHAnsi" w:hAnsiTheme="minorHAnsi" w:hint="cs"/>
          <w:bCs/>
          <w:rtl/>
        </w:rPr>
        <w:t>מטריאליות של בעלי הדין</w:t>
      </w:r>
      <w:r w:rsidR="002D366E" w:rsidRPr="002D366E">
        <w:rPr>
          <w:rFonts w:asciiTheme="minorHAnsi" w:hAnsiTheme="minorHAnsi" w:hint="cs"/>
          <w:bCs/>
          <w:rtl/>
        </w:rPr>
        <w:t>, ולעיתים אף להסב נזק לציבור הרחב".</w:t>
      </w:r>
      <w:r w:rsidR="00B50385">
        <w:rPr>
          <w:rFonts w:asciiTheme="minorHAnsi" w:hAnsiTheme="minorHAnsi" w:hint="cs"/>
          <w:b/>
          <w:rtl/>
        </w:rPr>
        <w:t xml:space="preserve">  עם זאת, באיזון בין </w:t>
      </w:r>
      <w:r w:rsidR="005C587E">
        <w:rPr>
          <w:rFonts w:asciiTheme="minorHAnsi" w:hAnsiTheme="minorHAnsi" w:hint="cs"/>
          <w:b/>
          <w:rtl/>
        </w:rPr>
        <w:t xml:space="preserve">כך ובין החשיבות המהותית שבניהול ההליך  השיפוטי במעמד שני הצדדים, תוך שקילת </w:t>
      </w:r>
      <w:r w:rsidR="00B50385">
        <w:rPr>
          <w:rFonts w:asciiTheme="minorHAnsi" w:hAnsiTheme="minorHAnsi" w:hint="cs"/>
          <w:b/>
          <w:rtl/>
        </w:rPr>
        <w:t>מידת האיחור</w:t>
      </w:r>
      <w:r w:rsidR="008C06B8">
        <w:rPr>
          <w:rFonts w:asciiTheme="minorHAnsi" w:hAnsiTheme="minorHAnsi" w:hint="cs"/>
          <w:b/>
          <w:rtl/>
        </w:rPr>
        <w:t xml:space="preserve"> ו</w:t>
      </w:r>
      <w:r w:rsidR="002D366E">
        <w:rPr>
          <w:rFonts w:asciiTheme="minorHAnsi" w:hAnsiTheme="minorHAnsi" w:hint="cs"/>
          <w:b/>
          <w:rtl/>
        </w:rPr>
        <w:t>מידת הנזק הדיוני</w:t>
      </w:r>
      <w:r w:rsidR="005C587E">
        <w:rPr>
          <w:rFonts w:asciiTheme="minorHAnsi" w:hAnsiTheme="minorHAnsi" w:hint="cs"/>
          <w:b/>
          <w:rtl/>
        </w:rPr>
        <w:t xml:space="preserve"> עקב האיחור</w:t>
      </w:r>
      <w:r w:rsidR="00E8246E">
        <w:rPr>
          <w:rFonts w:asciiTheme="minorHAnsi" w:hAnsiTheme="minorHAnsi" w:hint="cs"/>
          <w:b/>
          <w:rtl/>
        </w:rPr>
        <w:t xml:space="preserve"> -</w:t>
      </w:r>
      <w:r w:rsidR="002D366E">
        <w:rPr>
          <w:rFonts w:asciiTheme="minorHAnsi" w:hAnsiTheme="minorHAnsi" w:hint="cs"/>
          <w:b/>
          <w:rtl/>
        </w:rPr>
        <w:t xml:space="preserve"> מצא בית המשפט </w:t>
      </w:r>
      <w:r w:rsidR="005C587E">
        <w:rPr>
          <w:rFonts w:asciiTheme="minorHAnsi" w:hAnsiTheme="minorHAnsi" w:hint="cs"/>
          <w:b/>
          <w:rtl/>
        </w:rPr>
        <w:t>ב</w:t>
      </w:r>
      <w:r w:rsidR="002D366E">
        <w:rPr>
          <w:rFonts w:asciiTheme="minorHAnsi" w:hAnsiTheme="minorHAnsi" w:hint="cs"/>
          <w:b/>
          <w:rtl/>
        </w:rPr>
        <w:t>עניין ד</w:t>
      </w:r>
      <w:r w:rsidR="005C587E">
        <w:rPr>
          <w:rFonts w:asciiTheme="minorHAnsi" w:hAnsiTheme="minorHAnsi" w:hint="cs"/>
          <w:b/>
          <w:rtl/>
        </w:rPr>
        <w:t>שם</w:t>
      </w:r>
      <w:r w:rsidR="002D366E">
        <w:rPr>
          <w:rFonts w:asciiTheme="minorHAnsi" w:hAnsiTheme="minorHAnsi" w:hint="cs"/>
          <w:b/>
          <w:rtl/>
        </w:rPr>
        <w:t xml:space="preserve"> כי יש ליתן ארכה. </w:t>
      </w:r>
      <w:r w:rsidR="00172359">
        <w:rPr>
          <w:rFonts w:asciiTheme="minorHAnsi" w:hAnsiTheme="minorHAnsi" w:hint="cs"/>
          <w:b/>
          <w:rtl/>
        </w:rPr>
        <w:t xml:space="preserve">הוא הדין בעניננו. </w:t>
      </w:r>
    </w:p>
    <w:p w:rsidR="00CF7BDF" w:rsidRDefault="00CF7BDF" w:rsidP="00CF7BDF">
      <w:pPr>
        <w:spacing w:line="360" w:lineRule="auto"/>
        <w:ind w:left="284" w:right="-709"/>
        <w:jc w:val="both"/>
        <w:rPr>
          <w:rFonts w:asciiTheme="minorHAnsi" w:hAnsiTheme="minorHAnsi"/>
          <w:b/>
          <w:rtl/>
        </w:rPr>
      </w:pPr>
    </w:p>
    <w:p w:rsidR="00673D37" w:rsidRDefault="00172359" w:rsidP="00673D37">
      <w:pPr>
        <w:spacing w:line="360" w:lineRule="auto"/>
        <w:ind w:left="284" w:right="-709" w:hanging="568"/>
        <w:jc w:val="both"/>
        <w:rPr>
          <w:rFonts w:asciiTheme="minorHAnsi" w:hAnsiTheme="minorHAnsi"/>
          <w:rtl/>
        </w:rPr>
      </w:pPr>
      <w:r>
        <w:rPr>
          <w:rFonts w:asciiTheme="minorHAnsi" w:hAnsiTheme="minorHAnsi" w:hint="cs"/>
          <w:rtl/>
        </w:rPr>
        <w:t>7</w:t>
      </w:r>
      <w:r w:rsidR="00794B94">
        <w:rPr>
          <w:rFonts w:asciiTheme="minorHAnsi" w:hAnsiTheme="minorHAnsi" w:hint="cs"/>
          <w:rtl/>
        </w:rPr>
        <w:t>.</w:t>
      </w:r>
      <w:r w:rsidR="00794B94">
        <w:rPr>
          <w:rFonts w:asciiTheme="minorHAnsi" w:hAnsiTheme="minorHAnsi" w:hint="cs"/>
          <w:rtl/>
        </w:rPr>
        <w:tab/>
      </w:r>
      <w:r w:rsidR="00673D37">
        <w:rPr>
          <w:rFonts w:asciiTheme="minorHAnsi" w:hAnsiTheme="minorHAnsi" w:hint="cs"/>
          <w:rtl/>
        </w:rPr>
        <w:t xml:space="preserve">התובעת מוסיפה וטוענת כי יש להתעלם מכתב ההגנה, מאחר ואינו עומד </w:t>
      </w:r>
      <w:r w:rsidR="002F6423">
        <w:rPr>
          <w:rFonts w:asciiTheme="minorHAnsi" w:hAnsiTheme="minorHAnsi" w:hint="cs"/>
          <w:rtl/>
        </w:rPr>
        <w:t xml:space="preserve">בדרישות תקנה 215ט(ב) </w:t>
      </w:r>
      <w:r w:rsidR="00794B94">
        <w:rPr>
          <w:rFonts w:asciiTheme="minorHAnsi" w:hAnsiTheme="minorHAnsi" w:hint="cs"/>
          <w:rtl/>
        </w:rPr>
        <w:t>לתקנות</w:t>
      </w:r>
      <w:r w:rsidR="00673D37">
        <w:rPr>
          <w:rFonts w:asciiTheme="minorHAnsi" w:hAnsiTheme="minorHAnsi" w:hint="cs"/>
          <w:rtl/>
        </w:rPr>
        <w:t>.</w:t>
      </w:r>
    </w:p>
    <w:p w:rsidR="00673D37" w:rsidRDefault="00673D37" w:rsidP="008B0FFF">
      <w:pPr>
        <w:spacing w:line="360" w:lineRule="auto"/>
        <w:ind w:left="284" w:right="-709" w:hanging="1"/>
        <w:jc w:val="both"/>
        <w:rPr>
          <w:rFonts w:asciiTheme="minorHAnsi" w:hAnsiTheme="minorHAnsi"/>
          <w:rtl/>
        </w:rPr>
      </w:pPr>
      <w:r>
        <w:rPr>
          <w:rFonts w:asciiTheme="minorHAnsi" w:hAnsiTheme="minorHAnsi" w:hint="cs"/>
          <w:rtl/>
        </w:rPr>
        <w:t>אכן, יש להקפיד ולהגיש את כתבי הטענות באופן האמור בתקנות, והדברים אמורים במיוחד משמדובר בתביעה לפינוי מושכר לפי פרק ט"ז4 לתקנות, ב</w:t>
      </w:r>
      <w:r w:rsidR="00D67E94">
        <w:rPr>
          <w:rFonts w:asciiTheme="minorHAnsi" w:hAnsiTheme="minorHAnsi" w:hint="cs"/>
          <w:rtl/>
        </w:rPr>
        <w:t>מטרה ל</w:t>
      </w:r>
      <w:r>
        <w:rPr>
          <w:rFonts w:asciiTheme="minorHAnsi" w:hAnsiTheme="minorHAnsi" w:hint="cs"/>
          <w:rtl/>
        </w:rPr>
        <w:t xml:space="preserve">אפשר את בירור התביעה כדבעי. עם זאת, בנסיבות </w:t>
      </w:r>
      <w:r w:rsidR="00D67E94">
        <w:rPr>
          <w:rFonts w:asciiTheme="minorHAnsi" w:hAnsiTheme="minorHAnsi" w:hint="cs"/>
          <w:rtl/>
        </w:rPr>
        <w:t>מקרה דא</w:t>
      </w:r>
      <w:r>
        <w:rPr>
          <w:rFonts w:asciiTheme="minorHAnsi" w:hAnsiTheme="minorHAnsi" w:hint="cs"/>
          <w:rtl/>
        </w:rPr>
        <w:t xml:space="preserve">, לא מצאתי כי די בכך כדי לקבוע </w:t>
      </w:r>
      <w:r w:rsidR="008B0FFF">
        <w:rPr>
          <w:rFonts w:asciiTheme="minorHAnsi" w:hAnsiTheme="minorHAnsi" w:hint="cs"/>
          <w:rtl/>
        </w:rPr>
        <w:t>ש</w:t>
      </w:r>
      <w:r>
        <w:rPr>
          <w:rFonts w:asciiTheme="minorHAnsi" w:hAnsiTheme="minorHAnsi" w:hint="cs"/>
          <w:rtl/>
        </w:rPr>
        <w:t xml:space="preserve">אין לפני כתב הגנה. </w:t>
      </w:r>
      <w:r w:rsidR="004F286F">
        <w:rPr>
          <w:rFonts w:asciiTheme="minorHAnsi" w:hAnsiTheme="minorHAnsi" w:hint="cs"/>
          <w:rtl/>
        </w:rPr>
        <w:t>לעניין זה שקלתי, בין היתר, את הטעמים הבאים:</w:t>
      </w:r>
    </w:p>
    <w:p w:rsidR="004F286F" w:rsidRDefault="00BD053E" w:rsidP="00A47210">
      <w:pPr>
        <w:pStyle w:val="ad"/>
        <w:numPr>
          <w:ilvl w:val="0"/>
          <w:numId w:val="1"/>
        </w:numPr>
        <w:spacing w:line="360" w:lineRule="auto"/>
        <w:ind w:right="-709"/>
        <w:jc w:val="both"/>
        <w:rPr>
          <w:rFonts w:asciiTheme="minorHAnsi" w:hAnsiTheme="minorHAnsi"/>
        </w:rPr>
      </w:pPr>
      <w:r>
        <w:rPr>
          <w:rFonts w:asciiTheme="minorHAnsi" w:hAnsiTheme="minorHAnsi" w:hint="cs"/>
          <w:rtl/>
        </w:rPr>
        <w:t xml:space="preserve">הסנקציה של מחיקת כתב הגנה היא סנקציה חריפה אשר בית המשפט יטה שלא לנקוט בה אלא במקרים קיצוניים בהם </w:t>
      </w:r>
      <w:r w:rsidR="002F6423">
        <w:rPr>
          <w:rFonts w:asciiTheme="minorHAnsi" w:hAnsiTheme="minorHAnsi" w:hint="cs"/>
          <w:rtl/>
        </w:rPr>
        <w:t xml:space="preserve">פעל </w:t>
      </w:r>
      <w:r>
        <w:rPr>
          <w:rFonts w:asciiTheme="minorHAnsi" w:hAnsiTheme="minorHAnsi" w:hint="cs"/>
          <w:rtl/>
        </w:rPr>
        <w:t>הנתבע בזדון או תוך זלזול בבית המשפט (ו</w:t>
      </w:r>
      <w:r w:rsidR="00A47210">
        <w:rPr>
          <w:rFonts w:asciiTheme="minorHAnsi" w:hAnsiTheme="minorHAnsi" w:hint="cs"/>
          <w:rtl/>
        </w:rPr>
        <w:t>ראו בהיקש</w:t>
      </w:r>
      <w:r>
        <w:rPr>
          <w:rFonts w:asciiTheme="minorHAnsi" w:hAnsiTheme="minorHAnsi" w:hint="cs"/>
          <w:rtl/>
        </w:rPr>
        <w:t>:</w:t>
      </w:r>
      <w:r w:rsidR="00A94871">
        <w:rPr>
          <w:rFonts w:asciiTheme="minorHAnsi" w:hAnsiTheme="minorHAnsi" w:hint="cs"/>
          <w:rtl/>
        </w:rPr>
        <w:t xml:space="preserve"> רע"א 5124/16 </w:t>
      </w:r>
      <w:r w:rsidR="00A94871" w:rsidRPr="007F6AF8">
        <w:rPr>
          <w:rFonts w:asciiTheme="minorHAnsi" w:hAnsiTheme="minorHAnsi" w:hint="cs"/>
          <w:b/>
          <w:bCs/>
          <w:rtl/>
        </w:rPr>
        <w:t>פלוני נ' מ</w:t>
      </w:r>
      <w:r w:rsidR="007F6AF8">
        <w:rPr>
          <w:rFonts w:asciiTheme="minorHAnsi" w:hAnsiTheme="minorHAnsi" w:hint="cs"/>
          <w:b/>
          <w:bCs/>
          <w:rtl/>
        </w:rPr>
        <w:t>שטרת ישראל</w:t>
      </w:r>
      <w:r w:rsidR="00A94871">
        <w:rPr>
          <w:rFonts w:asciiTheme="minorHAnsi" w:hAnsiTheme="minorHAnsi" w:hint="cs"/>
          <w:rtl/>
        </w:rPr>
        <w:t xml:space="preserve"> (26.7.16)</w:t>
      </w:r>
      <w:r w:rsidR="007C79D4">
        <w:rPr>
          <w:rFonts w:asciiTheme="minorHAnsi" w:hAnsiTheme="minorHAnsi" w:hint="cs"/>
          <w:rtl/>
        </w:rPr>
        <w:t xml:space="preserve">; ע"א 3007/14 </w:t>
      </w:r>
      <w:r w:rsidR="007C79D4" w:rsidRPr="007C79D4">
        <w:rPr>
          <w:rFonts w:asciiTheme="minorHAnsi" w:hAnsiTheme="minorHAnsi" w:hint="cs"/>
          <w:b/>
          <w:bCs/>
          <w:rtl/>
        </w:rPr>
        <w:t xml:space="preserve">א. ידע פיננסיים בע"מ נ' הבורסה לניירות ערך בתל </w:t>
      </w:r>
      <w:r w:rsidR="007C79D4" w:rsidRPr="007C79D4">
        <w:rPr>
          <w:rFonts w:asciiTheme="minorHAnsi" w:hAnsiTheme="minorHAnsi" w:hint="cs"/>
          <w:b/>
          <w:bCs/>
          <w:rtl/>
        </w:rPr>
        <w:lastRenderedPageBreak/>
        <w:t>אביב</w:t>
      </w:r>
      <w:r w:rsidR="007C79D4">
        <w:rPr>
          <w:rFonts w:asciiTheme="minorHAnsi" w:hAnsiTheme="minorHAnsi" w:hint="cs"/>
          <w:rtl/>
        </w:rPr>
        <w:t xml:space="preserve"> </w:t>
      </w:r>
      <w:r w:rsidR="007C79D4" w:rsidRPr="007C79D4">
        <w:rPr>
          <w:rFonts w:asciiTheme="minorHAnsi" w:hAnsiTheme="minorHAnsi" w:hint="cs"/>
          <w:b/>
          <w:bCs/>
          <w:rtl/>
        </w:rPr>
        <w:t>בע"מ</w:t>
      </w:r>
      <w:r w:rsidR="007C79D4">
        <w:rPr>
          <w:rFonts w:asciiTheme="minorHAnsi" w:hAnsiTheme="minorHAnsi" w:hint="cs"/>
          <w:rtl/>
        </w:rPr>
        <w:t xml:space="preserve"> (15.6.14); וכן: רע"א 7109/15 </w:t>
      </w:r>
      <w:r w:rsidR="007C79D4" w:rsidRPr="00DE3963">
        <w:rPr>
          <w:rFonts w:asciiTheme="minorHAnsi" w:hAnsiTheme="minorHAnsi" w:hint="cs"/>
          <w:b/>
          <w:bCs/>
          <w:rtl/>
        </w:rPr>
        <w:t>פלוני נ' הסתדרות מדיצינית הדסה</w:t>
      </w:r>
      <w:r w:rsidR="007C79D4">
        <w:rPr>
          <w:rFonts w:asciiTheme="minorHAnsi" w:hAnsiTheme="minorHAnsi" w:hint="cs"/>
          <w:rtl/>
        </w:rPr>
        <w:t xml:space="preserve"> (13.10.16), על האסמכתאות הנזכרות בו; רע"א 3254/96, 7329/96 </w:t>
      </w:r>
      <w:r w:rsidR="007C79D4" w:rsidRPr="007C79D4">
        <w:rPr>
          <w:rFonts w:asciiTheme="minorHAnsi" w:hAnsiTheme="minorHAnsi" w:hint="cs"/>
          <w:b/>
          <w:bCs/>
          <w:rtl/>
        </w:rPr>
        <w:t>רשת שוקן בע"מ נ' חברה הכשרת הישוב לישראל</w:t>
      </w:r>
      <w:r w:rsidR="007C79D4">
        <w:rPr>
          <w:rFonts w:asciiTheme="minorHAnsi" w:hAnsiTheme="minorHAnsi" w:hint="cs"/>
          <w:rtl/>
        </w:rPr>
        <w:t xml:space="preserve"> </w:t>
      </w:r>
      <w:r w:rsidR="007C79D4" w:rsidRPr="007C79D4">
        <w:rPr>
          <w:rFonts w:asciiTheme="minorHAnsi" w:hAnsiTheme="minorHAnsi" w:hint="cs"/>
          <w:b/>
          <w:bCs/>
          <w:rtl/>
        </w:rPr>
        <w:t>בע"מ</w:t>
      </w:r>
      <w:r w:rsidR="007C79D4">
        <w:rPr>
          <w:rFonts w:asciiTheme="minorHAnsi" w:hAnsiTheme="minorHAnsi" w:hint="cs"/>
          <w:rtl/>
        </w:rPr>
        <w:t xml:space="preserve"> (25.3.97)</w:t>
      </w:r>
      <w:r w:rsidR="002F6423">
        <w:rPr>
          <w:rFonts w:asciiTheme="minorHAnsi" w:hAnsiTheme="minorHAnsi" w:hint="cs"/>
          <w:rtl/>
        </w:rPr>
        <w:t xml:space="preserve">). </w:t>
      </w:r>
      <w:r>
        <w:rPr>
          <w:rFonts w:asciiTheme="minorHAnsi" w:hAnsiTheme="minorHAnsi" w:hint="cs"/>
          <w:rtl/>
        </w:rPr>
        <w:t xml:space="preserve">מטעם זה, כמו </w:t>
      </w:r>
      <w:r w:rsidR="004F286F" w:rsidRPr="004F286F">
        <w:rPr>
          <w:rFonts w:asciiTheme="minorHAnsi" w:hAnsiTheme="minorHAnsi" w:hint="cs"/>
          <w:rtl/>
        </w:rPr>
        <w:t xml:space="preserve">גם מטעמים מערכתיים, </w:t>
      </w:r>
      <w:r>
        <w:rPr>
          <w:rFonts w:asciiTheme="minorHAnsi" w:hAnsiTheme="minorHAnsi" w:hint="cs"/>
          <w:rtl/>
        </w:rPr>
        <w:t>בטרם תינקט סנקציה זו</w:t>
      </w:r>
      <w:r w:rsidR="002F6423">
        <w:rPr>
          <w:rFonts w:asciiTheme="minorHAnsi" w:hAnsiTheme="minorHAnsi" w:hint="cs"/>
          <w:rtl/>
        </w:rPr>
        <w:t>,</w:t>
      </w:r>
      <w:r>
        <w:rPr>
          <w:rFonts w:asciiTheme="minorHAnsi" w:hAnsiTheme="minorHAnsi" w:hint="cs"/>
          <w:rtl/>
        </w:rPr>
        <w:t xml:space="preserve"> מן </w:t>
      </w:r>
      <w:r w:rsidR="004F286F" w:rsidRPr="004F286F">
        <w:rPr>
          <w:rFonts w:asciiTheme="minorHAnsi" w:hAnsiTheme="minorHAnsi" w:hint="cs"/>
          <w:rtl/>
        </w:rPr>
        <w:t>הראוי לאפשר לנתבעת לתק</w:t>
      </w:r>
      <w:r>
        <w:rPr>
          <w:rFonts w:asciiTheme="minorHAnsi" w:hAnsiTheme="minorHAnsi" w:hint="cs"/>
          <w:rtl/>
        </w:rPr>
        <w:t>ן</w:t>
      </w:r>
      <w:r w:rsidR="004F286F" w:rsidRPr="004F286F">
        <w:rPr>
          <w:rFonts w:asciiTheme="minorHAnsi" w:hAnsiTheme="minorHAnsi" w:hint="cs"/>
          <w:rtl/>
        </w:rPr>
        <w:t xml:space="preserve"> </w:t>
      </w:r>
      <w:r w:rsidR="00F93C27">
        <w:rPr>
          <w:rFonts w:asciiTheme="minorHAnsi" w:hAnsiTheme="minorHAnsi" w:hint="cs"/>
          <w:rtl/>
        </w:rPr>
        <w:t xml:space="preserve">את </w:t>
      </w:r>
      <w:r w:rsidR="002F6423">
        <w:rPr>
          <w:rFonts w:asciiTheme="minorHAnsi" w:hAnsiTheme="minorHAnsi" w:hint="cs"/>
          <w:rtl/>
        </w:rPr>
        <w:t>מחדלה</w:t>
      </w:r>
      <w:r>
        <w:rPr>
          <w:rFonts w:asciiTheme="minorHAnsi" w:hAnsiTheme="minorHAnsi" w:hint="cs"/>
          <w:rtl/>
        </w:rPr>
        <w:t xml:space="preserve"> </w:t>
      </w:r>
      <w:r w:rsidR="00F93C27">
        <w:rPr>
          <w:rFonts w:asciiTheme="minorHAnsi" w:hAnsiTheme="minorHAnsi" w:hint="cs"/>
          <w:rtl/>
        </w:rPr>
        <w:t>כאשר האיזון ימצא ב</w:t>
      </w:r>
      <w:r w:rsidR="004F286F" w:rsidRPr="004F286F">
        <w:rPr>
          <w:rFonts w:asciiTheme="minorHAnsi" w:hAnsiTheme="minorHAnsi" w:hint="cs"/>
          <w:rtl/>
        </w:rPr>
        <w:t xml:space="preserve">פסיקת הוצאות. </w:t>
      </w:r>
    </w:p>
    <w:p w:rsidR="004131AE" w:rsidRDefault="00673D37" w:rsidP="004A13D1">
      <w:pPr>
        <w:pStyle w:val="ad"/>
        <w:numPr>
          <w:ilvl w:val="0"/>
          <w:numId w:val="1"/>
        </w:numPr>
        <w:spacing w:line="360" w:lineRule="auto"/>
        <w:ind w:right="-709"/>
        <w:jc w:val="both"/>
        <w:rPr>
          <w:rFonts w:asciiTheme="minorHAnsi" w:hAnsiTheme="minorHAnsi"/>
        </w:rPr>
      </w:pPr>
      <w:r w:rsidRPr="004F286F">
        <w:rPr>
          <w:rFonts w:asciiTheme="minorHAnsi" w:hAnsiTheme="minorHAnsi" w:hint="cs"/>
          <w:rtl/>
        </w:rPr>
        <w:t xml:space="preserve">גם התובעת לא </w:t>
      </w:r>
      <w:r w:rsidR="00B24EA2" w:rsidRPr="004F286F">
        <w:rPr>
          <w:rFonts w:asciiTheme="minorHAnsi" w:hAnsiTheme="minorHAnsi" w:hint="cs"/>
          <w:rtl/>
        </w:rPr>
        <w:t xml:space="preserve">קיימה </w:t>
      </w:r>
      <w:r w:rsidR="004A13D1">
        <w:rPr>
          <w:rFonts w:asciiTheme="minorHAnsi" w:hAnsiTheme="minorHAnsi" w:hint="cs"/>
          <w:rtl/>
        </w:rPr>
        <w:t xml:space="preserve">לכאורה </w:t>
      </w:r>
      <w:r w:rsidR="00B24EA2" w:rsidRPr="004F286F">
        <w:rPr>
          <w:rFonts w:asciiTheme="minorHAnsi" w:hAnsiTheme="minorHAnsi" w:hint="cs"/>
          <w:rtl/>
        </w:rPr>
        <w:t xml:space="preserve">בדבקנות אחר הוראת </w:t>
      </w:r>
      <w:r w:rsidRPr="004F286F">
        <w:rPr>
          <w:rFonts w:asciiTheme="minorHAnsi" w:hAnsiTheme="minorHAnsi" w:hint="cs"/>
          <w:rtl/>
        </w:rPr>
        <w:t>תקנ</w:t>
      </w:r>
      <w:r w:rsidR="00B24EA2" w:rsidRPr="004F286F">
        <w:rPr>
          <w:rFonts w:asciiTheme="minorHAnsi" w:hAnsiTheme="minorHAnsi" w:hint="cs"/>
          <w:rtl/>
        </w:rPr>
        <w:t>ה</w:t>
      </w:r>
      <w:r w:rsidR="002F6423">
        <w:rPr>
          <w:rFonts w:asciiTheme="minorHAnsi" w:hAnsiTheme="minorHAnsi" w:hint="cs"/>
          <w:rtl/>
        </w:rPr>
        <w:t xml:space="preserve"> 215ט לתקנות</w:t>
      </w:r>
      <w:r w:rsidRPr="004F286F">
        <w:rPr>
          <w:rFonts w:asciiTheme="minorHAnsi" w:hAnsiTheme="minorHAnsi" w:hint="cs"/>
          <w:rtl/>
        </w:rPr>
        <w:t xml:space="preserve">, </w:t>
      </w:r>
      <w:r w:rsidR="004A13D1">
        <w:rPr>
          <w:rFonts w:asciiTheme="minorHAnsi" w:hAnsiTheme="minorHAnsi" w:hint="cs"/>
          <w:rtl/>
        </w:rPr>
        <w:t>באשר</w:t>
      </w:r>
      <w:r w:rsidRPr="004F286F">
        <w:rPr>
          <w:rFonts w:asciiTheme="minorHAnsi" w:hAnsiTheme="minorHAnsi" w:hint="cs"/>
          <w:rtl/>
        </w:rPr>
        <w:t xml:space="preserve"> לעניין צי</w:t>
      </w:r>
      <w:r w:rsidR="004131AE" w:rsidRPr="004F286F">
        <w:rPr>
          <w:rFonts w:asciiTheme="minorHAnsi" w:hAnsiTheme="minorHAnsi" w:hint="cs"/>
          <w:rtl/>
        </w:rPr>
        <w:t>רוף מכלול המסמכים</w:t>
      </w:r>
      <w:r w:rsidR="00B24EA2" w:rsidRPr="004F286F">
        <w:rPr>
          <w:rFonts w:asciiTheme="minorHAnsi" w:hAnsiTheme="minorHAnsi" w:hint="cs"/>
          <w:rtl/>
        </w:rPr>
        <w:t xml:space="preserve"> הנוגעים לענין הנדון</w:t>
      </w:r>
      <w:r w:rsidR="004131AE" w:rsidRPr="004F286F">
        <w:rPr>
          <w:rFonts w:asciiTheme="minorHAnsi" w:hAnsiTheme="minorHAnsi" w:hint="cs"/>
          <w:rtl/>
        </w:rPr>
        <w:t xml:space="preserve"> (</w:t>
      </w:r>
      <w:r w:rsidR="00A47210">
        <w:rPr>
          <w:rFonts w:asciiTheme="minorHAnsi" w:hAnsiTheme="minorHAnsi" w:hint="cs"/>
          <w:rtl/>
        </w:rPr>
        <w:t xml:space="preserve">לרבות </w:t>
      </w:r>
      <w:r w:rsidR="004131AE" w:rsidRPr="004F286F">
        <w:rPr>
          <w:rFonts w:asciiTheme="minorHAnsi" w:hAnsiTheme="minorHAnsi" w:hint="cs"/>
          <w:rtl/>
        </w:rPr>
        <w:t xml:space="preserve">מסמכים </w:t>
      </w:r>
      <w:r w:rsidR="00D67E94" w:rsidRPr="004F286F">
        <w:rPr>
          <w:rFonts w:asciiTheme="minorHAnsi" w:hAnsiTheme="minorHAnsi" w:hint="cs"/>
          <w:rtl/>
        </w:rPr>
        <w:t>הנ</w:t>
      </w:r>
      <w:r w:rsidR="004131AE" w:rsidRPr="004F286F">
        <w:rPr>
          <w:rFonts w:asciiTheme="minorHAnsi" w:hAnsiTheme="minorHAnsi" w:hint="cs"/>
          <w:rtl/>
        </w:rPr>
        <w:t>זכרים בכתב התביעה</w:t>
      </w:r>
      <w:r w:rsidR="00D67E94" w:rsidRPr="004F286F">
        <w:rPr>
          <w:rFonts w:asciiTheme="minorHAnsi" w:hAnsiTheme="minorHAnsi" w:hint="cs"/>
          <w:rtl/>
        </w:rPr>
        <w:t>,</w:t>
      </w:r>
      <w:r w:rsidR="004131AE" w:rsidRPr="004F286F">
        <w:rPr>
          <w:rFonts w:asciiTheme="minorHAnsi" w:hAnsiTheme="minorHAnsi" w:hint="cs"/>
          <w:rtl/>
        </w:rPr>
        <w:t xml:space="preserve"> </w:t>
      </w:r>
      <w:r w:rsidR="00D67E94" w:rsidRPr="004F286F">
        <w:rPr>
          <w:rFonts w:asciiTheme="minorHAnsi" w:hAnsiTheme="minorHAnsi" w:hint="cs"/>
          <w:rtl/>
        </w:rPr>
        <w:t>כדוגמת הסכם למתן שירותים</w:t>
      </w:r>
      <w:r w:rsidR="004131AE" w:rsidRPr="004F286F">
        <w:rPr>
          <w:rFonts w:asciiTheme="minorHAnsi" w:hAnsiTheme="minorHAnsi" w:hint="cs"/>
          <w:rtl/>
        </w:rPr>
        <w:t>).</w:t>
      </w:r>
    </w:p>
    <w:p w:rsidR="00075D62" w:rsidRDefault="002F6423" w:rsidP="004A13D1">
      <w:pPr>
        <w:pStyle w:val="ad"/>
        <w:numPr>
          <w:ilvl w:val="0"/>
          <w:numId w:val="1"/>
        </w:numPr>
        <w:spacing w:line="360" w:lineRule="auto"/>
        <w:ind w:right="-709"/>
        <w:jc w:val="both"/>
        <w:rPr>
          <w:rFonts w:asciiTheme="minorHAnsi" w:hAnsiTheme="minorHAnsi"/>
        </w:rPr>
      </w:pPr>
      <w:r>
        <w:rPr>
          <w:rFonts w:asciiTheme="minorHAnsi" w:hAnsiTheme="minorHAnsi" w:hint="cs"/>
          <w:rtl/>
        </w:rPr>
        <w:t xml:space="preserve">על פניו, </w:t>
      </w:r>
      <w:r w:rsidR="004F286F" w:rsidRPr="00075D62">
        <w:rPr>
          <w:rFonts w:asciiTheme="minorHAnsi" w:hAnsiTheme="minorHAnsi" w:hint="cs"/>
          <w:rtl/>
        </w:rPr>
        <w:t xml:space="preserve">מדובר במערכת חוזית </w:t>
      </w:r>
      <w:r w:rsidR="00AB1898">
        <w:rPr>
          <w:rFonts w:asciiTheme="minorHAnsi" w:hAnsiTheme="minorHAnsi" w:hint="cs"/>
          <w:rtl/>
        </w:rPr>
        <w:t>מ</w:t>
      </w:r>
      <w:r w:rsidR="004F286F" w:rsidRPr="00075D62">
        <w:rPr>
          <w:rFonts w:asciiTheme="minorHAnsi" w:hAnsiTheme="minorHAnsi" w:hint="cs"/>
          <w:rtl/>
        </w:rPr>
        <w:t>ורכבת</w:t>
      </w:r>
      <w:r w:rsidR="00A73187">
        <w:rPr>
          <w:rFonts w:asciiTheme="minorHAnsi" w:hAnsiTheme="minorHAnsi" w:hint="cs"/>
          <w:rtl/>
        </w:rPr>
        <w:t>,</w:t>
      </w:r>
      <w:r w:rsidR="004F286F" w:rsidRPr="00075D62">
        <w:rPr>
          <w:rFonts w:asciiTheme="minorHAnsi" w:hAnsiTheme="minorHAnsi" w:hint="cs"/>
          <w:rtl/>
        </w:rPr>
        <w:t xml:space="preserve"> </w:t>
      </w:r>
      <w:r w:rsidR="00C90543" w:rsidRPr="00075D62">
        <w:rPr>
          <w:rFonts w:asciiTheme="minorHAnsi" w:hAnsiTheme="minorHAnsi" w:hint="cs"/>
          <w:rtl/>
        </w:rPr>
        <w:t>הכוללת</w:t>
      </w:r>
      <w:r w:rsidR="00CD6A6E" w:rsidRPr="00075D62">
        <w:rPr>
          <w:rFonts w:asciiTheme="minorHAnsi" w:hAnsiTheme="minorHAnsi" w:hint="cs"/>
          <w:rtl/>
        </w:rPr>
        <w:t>, בין היתר, ת</w:t>
      </w:r>
      <w:r w:rsidR="004F286F" w:rsidRPr="00075D62">
        <w:rPr>
          <w:rFonts w:asciiTheme="minorHAnsi" w:hAnsiTheme="minorHAnsi" w:hint="cs"/>
          <w:rtl/>
        </w:rPr>
        <w:t>רומות</w:t>
      </w:r>
      <w:r w:rsidR="0056784F">
        <w:rPr>
          <w:rFonts w:asciiTheme="minorHAnsi" w:hAnsiTheme="minorHAnsi" w:hint="cs"/>
          <w:rtl/>
        </w:rPr>
        <w:t xml:space="preserve"> לשיפוץ והפעלה</w:t>
      </w:r>
      <w:r w:rsidR="004F286F" w:rsidRPr="00075D62">
        <w:rPr>
          <w:rFonts w:asciiTheme="minorHAnsi" w:hAnsiTheme="minorHAnsi" w:hint="cs"/>
          <w:rtl/>
        </w:rPr>
        <w:t xml:space="preserve">, </w:t>
      </w:r>
      <w:r w:rsidR="00C90543" w:rsidRPr="00075D62">
        <w:rPr>
          <w:rFonts w:asciiTheme="minorHAnsi" w:hAnsiTheme="minorHAnsi" w:hint="cs"/>
          <w:rtl/>
        </w:rPr>
        <w:t>ו</w:t>
      </w:r>
      <w:r w:rsidR="004F286F" w:rsidRPr="00075D62">
        <w:rPr>
          <w:rFonts w:asciiTheme="minorHAnsi" w:hAnsiTheme="minorHAnsi" w:hint="cs"/>
          <w:rtl/>
        </w:rPr>
        <w:t>אישור</w:t>
      </w:r>
      <w:r w:rsidR="004A13D1">
        <w:rPr>
          <w:rFonts w:asciiTheme="minorHAnsi" w:hAnsiTheme="minorHAnsi" w:hint="cs"/>
          <w:rtl/>
        </w:rPr>
        <w:t>ים</w:t>
      </w:r>
      <w:r w:rsidR="00C90543" w:rsidRPr="00075D62">
        <w:rPr>
          <w:rFonts w:asciiTheme="minorHAnsi" w:hAnsiTheme="minorHAnsi" w:hint="cs"/>
          <w:rtl/>
        </w:rPr>
        <w:t xml:space="preserve"> שאמורים להינתן על ידי </w:t>
      </w:r>
      <w:r w:rsidR="004F286F" w:rsidRPr="00075D62">
        <w:rPr>
          <w:rFonts w:asciiTheme="minorHAnsi" w:hAnsiTheme="minorHAnsi" w:hint="cs"/>
          <w:rtl/>
        </w:rPr>
        <w:t>צדדים שלישיים</w:t>
      </w:r>
      <w:r w:rsidR="00CD6A6E" w:rsidRPr="00075D62">
        <w:rPr>
          <w:rFonts w:asciiTheme="minorHAnsi" w:hAnsiTheme="minorHAnsi" w:hint="cs"/>
          <w:rtl/>
        </w:rPr>
        <w:t>,</w:t>
      </w:r>
      <w:r w:rsidR="00C90543" w:rsidRPr="00075D62">
        <w:rPr>
          <w:rFonts w:asciiTheme="minorHAnsi" w:hAnsiTheme="minorHAnsi" w:hint="cs"/>
          <w:rtl/>
        </w:rPr>
        <w:t xml:space="preserve"> כמו גם שיתוף פעולה של הצדדים בכל הק</w:t>
      </w:r>
      <w:r w:rsidR="00CD6A6E" w:rsidRPr="00075D62">
        <w:rPr>
          <w:rFonts w:asciiTheme="minorHAnsi" w:hAnsiTheme="minorHAnsi" w:hint="cs"/>
          <w:rtl/>
        </w:rPr>
        <w:t>ש</w:t>
      </w:r>
      <w:r w:rsidR="00C90543" w:rsidRPr="00075D62">
        <w:rPr>
          <w:rFonts w:asciiTheme="minorHAnsi" w:hAnsiTheme="minorHAnsi" w:hint="cs"/>
          <w:rtl/>
        </w:rPr>
        <w:t>ור להפעלת הנכס (ראו למשל סעיפים 3,5, 9 לחוזה</w:t>
      </w:r>
      <w:r w:rsidR="00075D62" w:rsidRPr="00075D62">
        <w:rPr>
          <w:rFonts w:asciiTheme="minorHAnsi" w:hAnsiTheme="minorHAnsi" w:hint="cs"/>
          <w:rtl/>
        </w:rPr>
        <w:t xml:space="preserve">). </w:t>
      </w:r>
      <w:r w:rsidR="00015D7C">
        <w:rPr>
          <w:rFonts w:asciiTheme="minorHAnsi" w:hAnsiTheme="minorHAnsi" w:hint="cs"/>
          <w:rtl/>
        </w:rPr>
        <w:t xml:space="preserve">לטענת </w:t>
      </w:r>
      <w:r w:rsidR="00AB1898">
        <w:rPr>
          <w:rFonts w:asciiTheme="minorHAnsi" w:hAnsiTheme="minorHAnsi" w:hint="cs"/>
          <w:rtl/>
        </w:rPr>
        <w:t>התובעת</w:t>
      </w:r>
      <w:r w:rsidR="00015D7C">
        <w:rPr>
          <w:rFonts w:asciiTheme="minorHAnsi" w:hAnsiTheme="minorHAnsi" w:hint="cs"/>
          <w:rtl/>
        </w:rPr>
        <w:t>,</w:t>
      </w:r>
      <w:r w:rsidR="00EC4BC2">
        <w:rPr>
          <w:rFonts w:asciiTheme="minorHAnsi" w:hAnsiTheme="minorHAnsi" w:hint="cs"/>
          <w:rtl/>
        </w:rPr>
        <w:t xml:space="preserve"> </w:t>
      </w:r>
      <w:r w:rsidR="00015D7C">
        <w:rPr>
          <w:rFonts w:asciiTheme="minorHAnsi" w:hAnsiTheme="minorHAnsi" w:hint="cs"/>
          <w:rtl/>
        </w:rPr>
        <w:t>הנתבעת הפרה את החוזה כבר במהלך שנת 2</w:t>
      </w:r>
      <w:r w:rsidR="000F7418">
        <w:rPr>
          <w:rFonts w:asciiTheme="minorHAnsi" w:hAnsiTheme="minorHAnsi" w:hint="cs"/>
          <w:rtl/>
        </w:rPr>
        <w:t>016</w:t>
      </w:r>
      <w:r w:rsidR="00EC4BC2">
        <w:rPr>
          <w:rFonts w:asciiTheme="minorHAnsi" w:hAnsiTheme="minorHAnsi" w:hint="cs"/>
          <w:rtl/>
        </w:rPr>
        <w:t>, כאשר נסיונות להגיע להסדרים ראויים על מנת להפעיל את הנכס למטרתו</w:t>
      </w:r>
      <w:r w:rsidR="000F7418">
        <w:rPr>
          <w:rFonts w:asciiTheme="minorHAnsi" w:hAnsiTheme="minorHAnsi" w:hint="cs"/>
          <w:rtl/>
        </w:rPr>
        <w:t>,</w:t>
      </w:r>
      <w:r w:rsidR="00EC4BC2">
        <w:rPr>
          <w:rFonts w:asciiTheme="minorHAnsi" w:hAnsiTheme="minorHAnsi" w:hint="cs"/>
          <w:rtl/>
        </w:rPr>
        <w:t xml:space="preserve"> כאמור בחוזה</w:t>
      </w:r>
      <w:r w:rsidR="000F7418">
        <w:rPr>
          <w:rFonts w:asciiTheme="minorHAnsi" w:hAnsiTheme="minorHAnsi" w:hint="cs"/>
          <w:rtl/>
        </w:rPr>
        <w:t>,</w:t>
      </w:r>
      <w:r w:rsidR="00EC4BC2">
        <w:rPr>
          <w:rFonts w:asciiTheme="minorHAnsi" w:hAnsiTheme="minorHAnsi" w:hint="cs"/>
          <w:rtl/>
        </w:rPr>
        <w:t xml:space="preserve"> לא צלחו</w:t>
      </w:r>
      <w:r w:rsidR="00015D7C">
        <w:rPr>
          <w:rFonts w:asciiTheme="minorHAnsi" w:hAnsiTheme="minorHAnsi" w:hint="cs"/>
          <w:rtl/>
        </w:rPr>
        <w:t>. מנגד, לטענת הנתבעת, היא קיימה א</w:t>
      </w:r>
      <w:r w:rsidR="004A13D1">
        <w:rPr>
          <w:rFonts w:asciiTheme="minorHAnsi" w:hAnsiTheme="minorHAnsi" w:hint="cs"/>
          <w:rtl/>
        </w:rPr>
        <w:t xml:space="preserve">ת </w:t>
      </w:r>
      <w:r w:rsidR="00015D7C">
        <w:rPr>
          <w:rFonts w:asciiTheme="minorHAnsi" w:hAnsiTheme="minorHAnsi" w:hint="cs"/>
          <w:rtl/>
        </w:rPr>
        <w:t xml:space="preserve">החוזה, אך בד בבד נטען כי היא </w:t>
      </w:r>
      <w:r w:rsidR="00075D62" w:rsidRPr="00075D62">
        <w:rPr>
          <w:rFonts w:asciiTheme="minorHAnsi" w:hAnsiTheme="minorHAnsi" w:hint="cs"/>
          <w:rtl/>
        </w:rPr>
        <w:t>נקלעה ל</w:t>
      </w:r>
      <w:r w:rsidR="00794B94" w:rsidRPr="00075D62">
        <w:rPr>
          <w:rFonts w:asciiTheme="minorHAnsi" w:hAnsiTheme="minorHAnsi" w:hint="cs"/>
          <w:rtl/>
        </w:rPr>
        <w:t>"קריסה כלכלית"</w:t>
      </w:r>
      <w:r w:rsidR="00075D62" w:rsidRPr="00075D62">
        <w:rPr>
          <w:rFonts w:asciiTheme="minorHAnsi" w:hAnsiTheme="minorHAnsi" w:hint="cs"/>
          <w:rtl/>
        </w:rPr>
        <w:t xml:space="preserve">, </w:t>
      </w:r>
      <w:r w:rsidR="00794B94" w:rsidRPr="00075D62">
        <w:rPr>
          <w:rFonts w:asciiTheme="minorHAnsi" w:hAnsiTheme="minorHAnsi" w:hint="cs"/>
          <w:rtl/>
        </w:rPr>
        <w:t>פיט</w:t>
      </w:r>
      <w:r w:rsidR="00075D62" w:rsidRPr="00075D62">
        <w:rPr>
          <w:rFonts w:asciiTheme="minorHAnsi" w:hAnsiTheme="minorHAnsi" w:hint="cs"/>
          <w:rtl/>
        </w:rPr>
        <w:t>ו</w:t>
      </w:r>
      <w:r w:rsidR="00794B94" w:rsidRPr="00075D62">
        <w:rPr>
          <w:rFonts w:asciiTheme="minorHAnsi" w:hAnsiTheme="minorHAnsi" w:hint="cs"/>
          <w:rtl/>
        </w:rPr>
        <w:t>ר</w:t>
      </w:r>
      <w:r w:rsidR="00075D62" w:rsidRPr="00075D62">
        <w:rPr>
          <w:rFonts w:asciiTheme="minorHAnsi" w:hAnsiTheme="minorHAnsi" w:hint="cs"/>
          <w:rtl/>
        </w:rPr>
        <w:t xml:space="preserve">י </w:t>
      </w:r>
      <w:r w:rsidR="00794B94" w:rsidRPr="00075D62">
        <w:rPr>
          <w:rFonts w:asciiTheme="minorHAnsi" w:hAnsiTheme="minorHAnsi" w:hint="cs"/>
          <w:rtl/>
        </w:rPr>
        <w:t xml:space="preserve">כל </w:t>
      </w:r>
      <w:r w:rsidR="004A13D1">
        <w:rPr>
          <w:rFonts w:asciiTheme="minorHAnsi" w:hAnsiTheme="minorHAnsi" w:hint="cs"/>
          <w:rtl/>
        </w:rPr>
        <w:t>ה</w:t>
      </w:r>
      <w:r w:rsidR="00794B94" w:rsidRPr="00075D62">
        <w:rPr>
          <w:rFonts w:asciiTheme="minorHAnsi" w:hAnsiTheme="minorHAnsi" w:hint="cs"/>
          <w:rtl/>
        </w:rPr>
        <w:t>עובדי</w:t>
      </w:r>
      <w:r w:rsidR="004A13D1">
        <w:rPr>
          <w:rFonts w:asciiTheme="minorHAnsi" w:hAnsiTheme="minorHAnsi" w:hint="cs"/>
          <w:rtl/>
        </w:rPr>
        <w:t>ם</w:t>
      </w:r>
      <w:r w:rsidR="00075D62" w:rsidRPr="00075D62">
        <w:rPr>
          <w:rFonts w:asciiTheme="minorHAnsi" w:hAnsiTheme="minorHAnsi" w:hint="cs"/>
          <w:rtl/>
        </w:rPr>
        <w:t xml:space="preserve"> וצימצום </w:t>
      </w:r>
      <w:r w:rsidR="000F7418">
        <w:rPr>
          <w:rFonts w:asciiTheme="minorHAnsi" w:hAnsiTheme="minorHAnsi" w:hint="cs"/>
          <w:rtl/>
        </w:rPr>
        <w:t>ה</w:t>
      </w:r>
      <w:r w:rsidR="00794B94" w:rsidRPr="00075D62">
        <w:rPr>
          <w:rFonts w:asciiTheme="minorHAnsi" w:hAnsiTheme="minorHAnsi" w:hint="cs"/>
          <w:rtl/>
        </w:rPr>
        <w:t>פעילות בנכס</w:t>
      </w:r>
      <w:r w:rsidR="00EC4BC2">
        <w:rPr>
          <w:rFonts w:asciiTheme="minorHAnsi" w:hAnsiTheme="minorHAnsi" w:hint="cs"/>
          <w:rtl/>
        </w:rPr>
        <w:t>,</w:t>
      </w:r>
      <w:r w:rsidR="00794B94" w:rsidRPr="00075D62">
        <w:rPr>
          <w:rFonts w:asciiTheme="minorHAnsi" w:hAnsiTheme="minorHAnsi" w:hint="cs"/>
          <w:rtl/>
        </w:rPr>
        <w:t xml:space="preserve"> עקב התנהלות התובעת ו/או צדדים שלישיים כמו גם א</w:t>
      </w:r>
      <w:r w:rsidR="00CD6A6E" w:rsidRPr="00075D62">
        <w:rPr>
          <w:rFonts w:asciiTheme="minorHAnsi" w:hAnsiTheme="minorHAnsi" w:hint="cs"/>
          <w:rtl/>
        </w:rPr>
        <w:t>י</w:t>
      </w:r>
      <w:r w:rsidR="00794B94" w:rsidRPr="00075D62">
        <w:rPr>
          <w:rFonts w:asciiTheme="minorHAnsi" w:hAnsiTheme="minorHAnsi" w:hint="cs"/>
          <w:rtl/>
        </w:rPr>
        <w:t xml:space="preserve"> השלמת המבנה והעדר כל </w:t>
      </w:r>
      <w:r w:rsidR="000F7418">
        <w:rPr>
          <w:rFonts w:asciiTheme="minorHAnsi" w:hAnsiTheme="minorHAnsi" w:hint="cs"/>
          <w:rtl/>
        </w:rPr>
        <w:t>ה</w:t>
      </w:r>
      <w:r w:rsidR="00794B94" w:rsidRPr="00075D62">
        <w:rPr>
          <w:rFonts w:asciiTheme="minorHAnsi" w:hAnsiTheme="minorHAnsi" w:hint="cs"/>
          <w:rtl/>
        </w:rPr>
        <w:t xml:space="preserve">אישורים להפעלתו כדין. </w:t>
      </w:r>
      <w:r w:rsidR="00C4355F">
        <w:rPr>
          <w:rFonts w:asciiTheme="minorHAnsi" w:hAnsiTheme="minorHAnsi" w:hint="cs"/>
          <w:rtl/>
        </w:rPr>
        <w:t xml:space="preserve">משכך, </w:t>
      </w:r>
      <w:r w:rsidR="005261CF">
        <w:rPr>
          <w:rFonts w:asciiTheme="minorHAnsi" w:hAnsiTheme="minorHAnsi" w:hint="cs"/>
          <w:rtl/>
        </w:rPr>
        <w:t xml:space="preserve">התאמת </w:t>
      </w:r>
      <w:r w:rsidR="00C4355F">
        <w:rPr>
          <w:rFonts w:asciiTheme="minorHAnsi" w:hAnsiTheme="minorHAnsi" w:hint="cs"/>
          <w:rtl/>
        </w:rPr>
        <w:t xml:space="preserve">התביעה </w:t>
      </w:r>
      <w:r w:rsidR="005261CF">
        <w:rPr>
          <w:rFonts w:asciiTheme="minorHAnsi" w:hAnsiTheme="minorHAnsi" w:hint="cs"/>
          <w:rtl/>
        </w:rPr>
        <w:t>להידון ב</w:t>
      </w:r>
      <w:r w:rsidR="00AB1898">
        <w:rPr>
          <w:rFonts w:asciiTheme="minorHAnsi" w:hAnsiTheme="minorHAnsi" w:hint="cs"/>
          <w:rtl/>
        </w:rPr>
        <w:t>סדר דין מהיר</w:t>
      </w:r>
      <w:r w:rsidR="00C4355F">
        <w:rPr>
          <w:rFonts w:asciiTheme="minorHAnsi" w:hAnsiTheme="minorHAnsi" w:hint="cs"/>
          <w:rtl/>
        </w:rPr>
        <w:t xml:space="preserve">, </w:t>
      </w:r>
      <w:r w:rsidR="005261CF">
        <w:rPr>
          <w:rFonts w:asciiTheme="minorHAnsi" w:hAnsiTheme="minorHAnsi" w:hint="cs"/>
          <w:rtl/>
        </w:rPr>
        <w:t>מוטלת בספק</w:t>
      </w:r>
      <w:r w:rsidR="00C4355F">
        <w:rPr>
          <w:rFonts w:asciiTheme="minorHAnsi" w:hAnsiTheme="minorHAnsi" w:hint="cs"/>
          <w:rtl/>
        </w:rPr>
        <w:t xml:space="preserve"> (והשוו: רע"א (ב"ש) 4022-05-15 </w:t>
      </w:r>
      <w:r w:rsidR="00C4355F" w:rsidRPr="0056784F">
        <w:rPr>
          <w:rFonts w:asciiTheme="minorHAnsi" w:hAnsiTheme="minorHAnsi" w:hint="cs"/>
          <w:b/>
          <w:bCs/>
          <w:rtl/>
        </w:rPr>
        <w:t xml:space="preserve">מאיה ל.ס. </w:t>
      </w:r>
      <w:r w:rsidR="00670F80">
        <w:rPr>
          <w:rFonts w:asciiTheme="minorHAnsi" w:hAnsiTheme="minorHAnsi" w:hint="cs"/>
          <w:b/>
          <w:bCs/>
          <w:rtl/>
        </w:rPr>
        <w:t>ב</w:t>
      </w:r>
      <w:r w:rsidR="00C4355F" w:rsidRPr="0056784F">
        <w:rPr>
          <w:rFonts w:asciiTheme="minorHAnsi" w:hAnsiTheme="minorHAnsi" w:hint="cs"/>
          <w:b/>
          <w:bCs/>
          <w:rtl/>
        </w:rPr>
        <w:t>ע"מ נ</w:t>
      </w:r>
      <w:r w:rsidR="00670F80">
        <w:rPr>
          <w:rFonts w:asciiTheme="minorHAnsi" w:hAnsiTheme="minorHAnsi" w:hint="cs"/>
          <w:b/>
          <w:bCs/>
          <w:rtl/>
        </w:rPr>
        <w:t>'</w:t>
      </w:r>
      <w:r w:rsidR="00C4355F" w:rsidRPr="0056784F">
        <w:rPr>
          <w:rFonts w:asciiTheme="minorHAnsi" w:hAnsiTheme="minorHAnsi" w:hint="cs"/>
          <w:b/>
          <w:bCs/>
          <w:rtl/>
        </w:rPr>
        <w:t xml:space="preserve"> הלני השקעות ונדל"ן בע"מ</w:t>
      </w:r>
      <w:r w:rsidR="00C4355F">
        <w:rPr>
          <w:rFonts w:asciiTheme="minorHAnsi" w:hAnsiTheme="minorHAnsi" w:hint="cs"/>
          <w:rtl/>
        </w:rPr>
        <w:t xml:space="preserve"> (28.5.17)</w:t>
      </w:r>
      <w:r w:rsidR="0056784F">
        <w:rPr>
          <w:rFonts w:asciiTheme="minorHAnsi" w:hAnsiTheme="minorHAnsi" w:hint="cs"/>
          <w:rtl/>
        </w:rPr>
        <w:t xml:space="preserve">, בר"ע נדחתה </w:t>
      </w:r>
      <w:r w:rsidR="0056784F">
        <w:rPr>
          <w:rFonts w:asciiTheme="minorHAnsi" w:hAnsiTheme="minorHAnsi"/>
          <w:rtl/>
        </w:rPr>
        <w:t>–</w:t>
      </w:r>
      <w:r w:rsidR="0056784F">
        <w:rPr>
          <w:rFonts w:asciiTheme="minorHAnsi" w:hAnsiTheme="minorHAnsi" w:hint="cs"/>
          <w:rtl/>
        </w:rPr>
        <w:t xml:space="preserve"> רע"א 5175/17 </w:t>
      </w:r>
      <w:r w:rsidR="00670F80" w:rsidRPr="0056784F">
        <w:rPr>
          <w:rFonts w:asciiTheme="minorHAnsi" w:hAnsiTheme="minorHAnsi" w:hint="cs"/>
          <w:b/>
          <w:bCs/>
          <w:rtl/>
        </w:rPr>
        <w:t>הלני השקעות ונדל"ן בע"מ</w:t>
      </w:r>
      <w:r w:rsidR="00670F80">
        <w:rPr>
          <w:rFonts w:asciiTheme="minorHAnsi" w:hAnsiTheme="minorHAnsi" w:hint="cs"/>
          <w:rtl/>
        </w:rPr>
        <w:t xml:space="preserve"> </w:t>
      </w:r>
      <w:r w:rsidR="00670F80" w:rsidRPr="00670F80">
        <w:rPr>
          <w:rFonts w:asciiTheme="minorHAnsi" w:hAnsiTheme="minorHAnsi" w:hint="cs"/>
          <w:b/>
          <w:bCs/>
          <w:rtl/>
        </w:rPr>
        <w:t xml:space="preserve">נ' </w:t>
      </w:r>
      <w:r w:rsidR="0056784F" w:rsidRPr="0056784F">
        <w:rPr>
          <w:rFonts w:asciiTheme="minorHAnsi" w:hAnsiTheme="minorHAnsi" w:hint="cs"/>
          <w:b/>
          <w:bCs/>
          <w:rtl/>
        </w:rPr>
        <w:t xml:space="preserve">מאיה ל.ס. </w:t>
      </w:r>
      <w:r w:rsidR="00670F80">
        <w:rPr>
          <w:rFonts w:asciiTheme="minorHAnsi" w:hAnsiTheme="minorHAnsi" w:hint="cs"/>
          <w:b/>
          <w:bCs/>
          <w:rtl/>
        </w:rPr>
        <w:t>ב</w:t>
      </w:r>
      <w:r w:rsidR="0056784F" w:rsidRPr="0056784F">
        <w:rPr>
          <w:rFonts w:asciiTheme="minorHAnsi" w:hAnsiTheme="minorHAnsi" w:hint="cs"/>
          <w:b/>
          <w:bCs/>
          <w:rtl/>
        </w:rPr>
        <w:t xml:space="preserve">ע"מ </w:t>
      </w:r>
      <w:r w:rsidR="0056784F">
        <w:rPr>
          <w:rFonts w:asciiTheme="minorHAnsi" w:hAnsiTheme="minorHAnsi" w:hint="cs"/>
          <w:rtl/>
        </w:rPr>
        <w:t>(26.7.17)).</w:t>
      </w:r>
      <w:r w:rsidR="00AB1898">
        <w:rPr>
          <w:rFonts w:asciiTheme="minorHAnsi" w:hAnsiTheme="minorHAnsi" w:hint="cs"/>
          <w:rtl/>
        </w:rPr>
        <w:t xml:space="preserve"> </w:t>
      </w:r>
    </w:p>
    <w:p w:rsidR="00015D7C" w:rsidRPr="00075D62" w:rsidRDefault="00015D7C" w:rsidP="00015D7C">
      <w:pPr>
        <w:pStyle w:val="ad"/>
        <w:spacing w:line="360" w:lineRule="auto"/>
        <w:ind w:left="643" w:right="-709"/>
        <w:jc w:val="both"/>
        <w:rPr>
          <w:rFonts w:asciiTheme="minorHAnsi" w:hAnsiTheme="minorHAnsi"/>
        </w:rPr>
      </w:pPr>
    </w:p>
    <w:p w:rsidR="00794B94" w:rsidRDefault="00075D62" w:rsidP="00586CDF">
      <w:pPr>
        <w:spacing w:after="160" w:line="360" w:lineRule="auto"/>
        <w:ind w:left="283" w:right="-567" w:hanging="567"/>
        <w:jc w:val="both"/>
        <w:rPr>
          <w:rFonts w:asciiTheme="minorHAnsi" w:hAnsiTheme="minorHAnsi"/>
          <w:rtl/>
        </w:rPr>
      </w:pPr>
      <w:r>
        <w:rPr>
          <w:rFonts w:asciiTheme="minorHAnsi" w:hAnsiTheme="minorHAnsi" w:hint="cs"/>
          <w:rtl/>
        </w:rPr>
        <w:t>8.</w:t>
      </w:r>
      <w:r>
        <w:rPr>
          <w:rFonts w:asciiTheme="minorHAnsi" w:hAnsiTheme="minorHAnsi" w:hint="cs"/>
          <w:rtl/>
        </w:rPr>
        <w:tab/>
        <w:t>בשקללי את מכלול השיקולים הדרושים לעניין זה</w:t>
      </w:r>
      <w:r w:rsidR="00E60A54">
        <w:rPr>
          <w:rFonts w:asciiTheme="minorHAnsi" w:hAnsiTheme="minorHAnsi" w:hint="cs"/>
          <w:rtl/>
        </w:rPr>
        <w:t>,</w:t>
      </w:r>
      <w:r>
        <w:rPr>
          <w:rFonts w:asciiTheme="minorHAnsi" w:hAnsiTheme="minorHAnsi" w:hint="cs"/>
          <w:rtl/>
        </w:rPr>
        <w:t xml:space="preserve"> מצאתי </w:t>
      </w:r>
      <w:r w:rsidR="00E60A54">
        <w:rPr>
          <w:rFonts w:asciiTheme="minorHAnsi" w:hAnsiTheme="minorHAnsi" w:hint="cs"/>
          <w:rtl/>
        </w:rPr>
        <w:t>כי במקרה דא מדובר בפגם הניתן לריפוי</w:t>
      </w:r>
      <w:r w:rsidR="005261CF">
        <w:rPr>
          <w:rFonts w:asciiTheme="minorHAnsi" w:hAnsiTheme="minorHAnsi" w:hint="cs"/>
          <w:rtl/>
        </w:rPr>
        <w:t>,</w:t>
      </w:r>
      <w:r w:rsidR="00E60A54">
        <w:rPr>
          <w:rFonts w:asciiTheme="minorHAnsi" w:hAnsiTheme="minorHAnsi" w:hint="cs"/>
          <w:rtl/>
        </w:rPr>
        <w:t xml:space="preserve"> </w:t>
      </w:r>
      <w:r w:rsidR="00F93C27">
        <w:rPr>
          <w:rFonts w:asciiTheme="minorHAnsi" w:hAnsiTheme="minorHAnsi" w:hint="cs"/>
          <w:rtl/>
        </w:rPr>
        <w:t xml:space="preserve">ויש לאפשר לנתבעת לתקן את </w:t>
      </w:r>
      <w:r w:rsidR="00586CDF">
        <w:rPr>
          <w:rFonts w:asciiTheme="minorHAnsi" w:hAnsiTheme="minorHAnsi" w:hint="cs"/>
          <w:rtl/>
        </w:rPr>
        <w:t>כתב ההגנה</w:t>
      </w:r>
      <w:r w:rsidR="007D66A2">
        <w:rPr>
          <w:rFonts w:asciiTheme="minorHAnsi" w:hAnsiTheme="minorHAnsi" w:hint="cs"/>
          <w:rtl/>
        </w:rPr>
        <w:t xml:space="preserve">, </w:t>
      </w:r>
      <w:r w:rsidR="00586CDF">
        <w:rPr>
          <w:rFonts w:asciiTheme="minorHAnsi" w:hAnsiTheme="minorHAnsi" w:hint="cs"/>
          <w:rtl/>
        </w:rPr>
        <w:t xml:space="preserve">בפרק זמן קצוב </w:t>
      </w:r>
      <w:r w:rsidR="004A13D1">
        <w:rPr>
          <w:rFonts w:asciiTheme="minorHAnsi" w:hAnsiTheme="minorHAnsi" w:hint="cs"/>
          <w:rtl/>
        </w:rPr>
        <w:t>ו</w:t>
      </w:r>
      <w:r w:rsidR="00586CDF">
        <w:rPr>
          <w:rFonts w:asciiTheme="minorHAnsi" w:hAnsiTheme="minorHAnsi" w:hint="cs"/>
          <w:rtl/>
        </w:rPr>
        <w:t xml:space="preserve">בכפוף לתשלום הוצאות לטובת התובעת. לפנים, אין חיוב בהוצאות לטובת אוצר המדינה </w:t>
      </w:r>
      <w:r w:rsidR="00E60A54">
        <w:rPr>
          <w:rFonts w:asciiTheme="minorHAnsi" w:hAnsiTheme="minorHAnsi" w:hint="cs"/>
          <w:rtl/>
        </w:rPr>
        <w:t xml:space="preserve">(והשוו: בש"א 6708/00 </w:t>
      </w:r>
      <w:r w:rsidR="00E60A54" w:rsidRPr="00E60A54">
        <w:rPr>
          <w:rFonts w:asciiTheme="minorHAnsi" w:hAnsiTheme="minorHAnsi" w:hint="cs"/>
          <w:b/>
          <w:bCs/>
          <w:rtl/>
        </w:rPr>
        <w:t>אהרון נ' אהרון</w:t>
      </w:r>
      <w:r w:rsidR="00E60A54">
        <w:rPr>
          <w:rFonts w:asciiTheme="minorHAnsi" w:hAnsiTheme="minorHAnsi" w:hint="cs"/>
          <w:rtl/>
        </w:rPr>
        <w:t xml:space="preserve"> פ"ד נד(4)702; ע"א 189/66 </w:t>
      </w:r>
      <w:r w:rsidR="00E60A54" w:rsidRPr="00E60A54">
        <w:rPr>
          <w:rFonts w:asciiTheme="minorHAnsi" w:hAnsiTheme="minorHAnsi" w:hint="cs"/>
          <w:b/>
          <w:bCs/>
          <w:rtl/>
        </w:rPr>
        <w:t>ששון נ' ק</w:t>
      </w:r>
      <w:r w:rsidR="00E60A54">
        <w:rPr>
          <w:rFonts w:asciiTheme="minorHAnsi" w:hAnsiTheme="minorHAnsi" w:hint="cs"/>
          <w:b/>
          <w:bCs/>
          <w:rtl/>
        </w:rPr>
        <w:t>ד</w:t>
      </w:r>
      <w:r w:rsidR="00E60A54" w:rsidRPr="00E60A54">
        <w:rPr>
          <w:rFonts w:asciiTheme="minorHAnsi" w:hAnsiTheme="minorHAnsi" w:hint="cs"/>
          <w:b/>
          <w:bCs/>
          <w:rtl/>
        </w:rPr>
        <w:t>מה</w:t>
      </w:r>
      <w:r w:rsidR="00E60A54">
        <w:rPr>
          <w:rFonts w:asciiTheme="minorHAnsi" w:hAnsiTheme="minorHAnsi" w:hint="cs"/>
          <w:rtl/>
        </w:rPr>
        <w:t xml:space="preserve"> פ"ד כ(3) 477; ע"א 579/90 </w:t>
      </w:r>
      <w:r w:rsidR="00E60A54" w:rsidRPr="00E60A54">
        <w:rPr>
          <w:rFonts w:asciiTheme="minorHAnsi" w:hAnsiTheme="minorHAnsi" w:hint="cs"/>
          <w:b/>
          <w:bCs/>
          <w:rtl/>
        </w:rPr>
        <w:t>רוזין נ' בן נון</w:t>
      </w:r>
      <w:r w:rsidR="00E60A54">
        <w:rPr>
          <w:rFonts w:asciiTheme="minorHAnsi" w:hAnsiTheme="minorHAnsi" w:hint="cs"/>
          <w:rtl/>
        </w:rPr>
        <w:t xml:space="preserve"> פ"ד מו(3)738)). </w:t>
      </w:r>
    </w:p>
    <w:p w:rsidR="00794B94" w:rsidRDefault="00794B94" w:rsidP="008B0FFF">
      <w:pPr>
        <w:spacing w:line="360" w:lineRule="auto"/>
        <w:ind w:left="283" w:right="-567" w:hanging="567"/>
        <w:jc w:val="both"/>
        <w:rPr>
          <w:rFonts w:asciiTheme="minorHAnsi" w:hAnsiTheme="minorHAnsi"/>
          <w:b/>
          <w:bCs/>
          <w:u w:val="single"/>
          <w:rtl/>
        </w:rPr>
      </w:pPr>
      <w:r>
        <w:rPr>
          <w:rFonts w:asciiTheme="minorHAnsi" w:hAnsiTheme="minorHAnsi" w:hint="cs"/>
          <w:b/>
          <w:bCs/>
          <w:u w:val="single"/>
          <w:rtl/>
        </w:rPr>
        <w:t>סוף דבר</w:t>
      </w:r>
    </w:p>
    <w:p w:rsidR="008B0FFF" w:rsidRDefault="0024389E" w:rsidP="00DD2B71">
      <w:pPr>
        <w:spacing w:line="360" w:lineRule="auto"/>
        <w:ind w:left="283" w:right="-567" w:hanging="567"/>
        <w:jc w:val="both"/>
        <w:rPr>
          <w:rFonts w:ascii="Arial" w:hAnsi="Arial"/>
          <w:b/>
          <w:bCs/>
          <w:rtl/>
        </w:rPr>
      </w:pPr>
      <w:r>
        <w:rPr>
          <w:rFonts w:asciiTheme="minorHAnsi" w:hAnsiTheme="minorHAnsi" w:hint="cs"/>
          <w:rtl/>
        </w:rPr>
        <w:t>9</w:t>
      </w:r>
      <w:r w:rsidR="00794B94">
        <w:rPr>
          <w:rFonts w:asciiTheme="minorHAnsi" w:hAnsiTheme="minorHAnsi" w:hint="cs"/>
          <w:rtl/>
        </w:rPr>
        <w:t>.</w:t>
      </w:r>
      <w:r w:rsidR="00794B94">
        <w:rPr>
          <w:rFonts w:asciiTheme="minorHAnsi" w:hAnsiTheme="minorHAnsi" w:hint="cs"/>
          <w:rtl/>
        </w:rPr>
        <w:tab/>
      </w:r>
      <w:r>
        <w:rPr>
          <w:rFonts w:asciiTheme="minorHAnsi" w:hAnsiTheme="minorHAnsi" w:hint="cs"/>
          <w:rtl/>
        </w:rPr>
        <w:t>הנתבעת תמציא כתב הגנה מתוקן</w:t>
      </w:r>
      <w:r w:rsidR="00586CDF">
        <w:rPr>
          <w:rFonts w:asciiTheme="minorHAnsi" w:hAnsiTheme="minorHAnsi" w:hint="cs"/>
          <w:rtl/>
        </w:rPr>
        <w:t>,</w:t>
      </w:r>
      <w:r>
        <w:rPr>
          <w:rFonts w:asciiTheme="minorHAnsi" w:hAnsiTheme="minorHAnsi" w:hint="cs"/>
          <w:rtl/>
        </w:rPr>
        <w:t xml:space="preserve"> </w:t>
      </w:r>
      <w:r w:rsidR="00586CDF">
        <w:rPr>
          <w:rFonts w:asciiTheme="minorHAnsi" w:hAnsiTheme="minorHAnsi" w:hint="cs"/>
          <w:rtl/>
        </w:rPr>
        <w:t xml:space="preserve">על דרך צירוף תצהיר ומסמכים, </w:t>
      </w:r>
      <w:r w:rsidR="00586CDF" w:rsidRPr="00DD2B71">
        <w:rPr>
          <w:rFonts w:asciiTheme="minorHAnsi" w:hAnsiTheme="minorHAnsi" w:hint="cs"/>
          <w:b/>
          <w:u w:val="single"/>
          <w:rtl/>
        </w:rPr>
        <w:t>ע</w:t>
      </w:r>
      <w:r w:rsidRPr="00DD2B71">
        <w:rPr>
          <w:rFonts w:asciiTheme="minorHAnsi" w:hAnsiTheme="minorHAnsi" w:hint="cs"/>
          <w:b/>
          <w:u w:val="single"/>
          <w:rtl/>
        </w:rPr>
        <w:t xml:space="preserve">ד ליום 30.4.18, </w:t>
      </w:r>
      <w:r w:rsidRPr="00DD2B71">
        <w:rPr>
          <w:rFonts w:asciiTheme="minorHAnsi" w:hAnsiTheme="minorHAnsi" w:hint="cs"/>
          <w:bCs/>
          <w:u w:val="single"/>
          <w:rtl/>
        </w:rPr>
        <w:t>בכפוף</w:t>
      </w:r>
      <w:r w:rsidRPr="00DD2B71">
        <w:rPr>
          <w:rFonts w:asciiTheme="minorHAnsi" w:hAnsiTheme="minorHAnsi" w:hint="cs"/>
          <w:b/>
          <w:u w:val="single"/>
          <w:rtl/>
        </w:rPr>
        <w:t xml:space="preserve"> לתשלום</w:t>
      </w:r>
      <w:r>
        <w:rPr>
          <w:rFonts w:asciiTheme="minorHAnsi" w:hAnsiTheme="minorHAnsi" w:hint="cs"/>
          <w:rtl/>
        </w:rPr>
        <w:t xml:space="preserve"> הוצאות לטובת התובעת בסכום של 5,000 </w:t>
      </w:r>
      <w:r>
        <w:rPr>
          <w:rFonts w:asciiTheme="minorHAnsi" w:hAnsiTheme="minorHAnsi" w:hint="eastAsia"/>
          <w:rtl/>
        </w:rPr>
        <w:t>₪</w:t>
      </w:r>
      <w:r>
        <w:rPr>
          <w:rFonts w:asciiTheme="minorHAnsi" w:hAnsiTheme="minorHAnsi" w:hint="cs"/>
          <w:rtl/>
        </w:rPr>
        <w:t>. אישור על כך יומצא בד בבד לתיק בית המשפט.</w:t>
      </w:r>
      <w:r w:rsidR="00DD2B71">
        <w:rPr>
          <w:rFonts w:asciiTheme="minorHAnsi" w:hAnsiTheme="minorHAnsi" w:hint="cs"/>
          <w:rtl/>
        </w:rPr>
        <w:t xml:space="preserve"> </w:t>
      </w:r>
      <w:r>
        <w:rPr>
          <w:rFonts w:hint="cs"/>
          <w:rtl/>
        </w:rPr>
        <w:t xml:space="preserve">התיק יובא לעיוני בו ביום. </w:t>
      </w:r>
      <w:r w:rsidRPr="00586CDF">
        <w:rPr>
          <w:rFonts w:hint="cs"/>
          <w:b/>
          <w:bCs/>
          <w:rtl/>
        </w:rPr>
        <w:t xml:space="preserve">יובהר כי בהעדר כתב הגנה מתוקן עד מועד זה - אעתר לבקשת התובעת למתן פסק דין. </w:t>
      </w:r>
    </w:p>
    <w:p w:rsidR="00DD2B71" w:rsidRPr="00586CDF" w:rsidRDefault="00DD2B71" w:rsidP="00DD2B71">
      <w:pPr>
        <w:spacing w:line="360" w:lineRule="auto"/>
        <w:ind w:left="283" w:right="-567" w:hanging="567"/>
        <w:jc w:val="both"/>
        <w:rPr>
          <w:rFonts w:ascii="Arial" w:hAnsi="Arial"/>
          <w:b/>
          <w:bCs/>
          <w:rtl/>
        </w:rPr>
      </w:pPr>
    </w:p>
    <w:p w:rsidR="00794B94" w:rsidRDefault="00794B94" w:rsidP="0060571C">
      <w:pPr>
        <w:spacing w:line="360" w:lineRule="auto"/>
        <w:ind w:left="283" w:right="-567" w:hanging="567"/>
        <w:jc w:val="both"/>
        <w:rPr>
          <w:rFonts w:ascii="Arial" w:hAnsi="Arial"/>
          <w:b/>
          <w:bCs/>
          <w:u w:val="single"/>
          <w:rtl/>
        </w:rPr>
      </w:pPr>
      <w:r>
        <w:rPr>
          <w:rFonts w:ascii="Arial" w:hAnsi="Arial" w:hint="cs"/>
          <w:b/>
          <w:bCs/>
          <w:u w:val="single"/>
          <w:rtl/>
        </w:rPr>
        <w:t xml:space="preserve">המזכירות תמציא </w:t>
      </w:r>
      <w:r w:rsidR="008B0FFF">
        <w:rPr>
          <w:rFonts w:ascii="Arial" w:hAnsi="Arial" w:hint="cs"/>
          <w:b/>
          <w:bCs/>
          <w:u w:val="single"/>
          <w:rtl/>
        </w:rPr>
        <w:t xml:space="preserve">את </w:t>
      </w:r>
      <w:r>
        <w:rPr>
          <w:rFonts w:ascii="Arial" w:hAnsi="Arial" w:hint="cs"/>
          <w:b/>
          <w:bCs/>
          <w:u w:val="single"/>
          <w:rtl/>
        </w:rPr>
        <w:t>ההחלטה לצדדים גם בדואר רשום עם אישור מסירה.</w:t>
      </w:r>
    </w:p>
    <w:p w:rsidR="00C43648" w:rsidRDefault="0043502B" w:rsidP="00C55EC5">
      <w:pPr>
        <w:spacing w:line="360" w:lineRule="auto"/>
        <w:ind w:left="283" w:right="-567" w:hanging="567"/>
        <w:jc w:val="both"/>
        <w:rPr>
          <w:rtl/>
        </w:rPr>
      </w:pPr>
      <w:r>
        <w:rPr>
          <w:rFonts w:ascii="Arial" w:hAnsi="Arial"/>
          <w:noProof w:val="0"/>
          <w:rtl/>
        </w:rPr>
        <w:t>נית</w:t>
      </w:r>
      <w:r>
        <w:rPr>
          <w:rFonts w:ascii="Arial" w:hAnsi="Arial" w:hint="cs"/>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כ"ג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08 אפריל 2018</w:t>
          </w:r>
        </w:sdtContent>
      </w:sdt>
      <w:r w:rsidR="00005C8B">
        <w:rPr>
          <w:rFonts w:ascii="Arial" w:hAnsi="Arial"/>
          <w:noProof w:val="0"/>
          <w:rtl/>
        </w:rPr>
        <w:t>, בהעדר הצדדים.</w:t>
      </w:r>
      <w:bookmarkStart w:id="1" w:name="_GoBack"/>
      <w:bookmarkEnd w:id="1"/>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RDefault="00BD6531" w:rsidP="0060571C">
      <w:pPr>
        <w:tabs>
          <w:tab w:val="left" w:pos="2553"/>
        </w:tabs>
        <w:ind w:left="283" w:right="-567" w:hanging="567"/>
      </w:pPr>
      <w:r>
        <w:rPr>
          <w:rFonts w:hint="cs"/>
          <w:rtl/>
        </w:rPr>
        <w:tab/>
      </w:r>
      <w:r>
        <w:rPr>
          <w:rFonts w:hint="cs"/>
          <w:rtl/>
        </w:rPr>
        <w:tab/>
      </w:r>
      <w:r>
        <w:rPr>
          <w:rFonts w:hint="cs"/>
          <w:rtl/>
        </w:rPr>
        <w:tab/>
      </w:r>
      <w:r>
        <w:rPr>
          <w:rFonts w:hint="cs"/>
          <w:rtl/>
        </w:rPr>
        <w:tab/>
        <w:t xml:space="preserve">        </w:t>
      </w:r>
      <w:sdt>
        <w:sdtPr>
          <w:rPr>
            <w:rtl/>
          </w:rPr>
          <w:alias w:val="MergeField"/>
          <w:tag w:val="1237"/>
          <w:id w:val="388309621"/>
        </w:sdtPr>
        <w:sdtEndPr/>
        <w:sdtContent>
          <w:r w:rsidR="00AC1F94">
            <w:drawing>
              <wp:inline distT="0" distB="0" distL="0" distR="0" wp14:editId="50D07946">
                <wp:extent cx="1381125" cy="63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Id8" cstate="print">
                          <a:extLst/>
                        </a:blip>
                        <a:stretch>
                          <a:fillRect/>
                        </a:stretch>
                      </pic:blipFill>
                      <pic:spPr>
                        <a:xfrm>
                          <a:off x="0" y="0"/>
                          <a:ext cx="1381125" cy="638175"/>
                        </a:xfrm>
                        <a:prstGeom prst="rect">
                          <a:avLst/>
                        </a:prstGeom>
                      </pic:spPr>
                    </pic:pic>
                  </a:graphicData>
                </a:graphic>
              </wp:inline>
            </w:drawing>
          </w:r>
        </w:sdtContent>
      </w:sdt>
    </w:p>
    <w:p w:rsidR="00694556" w:rsidRDefault="00694556" w:rsidP="0060571C">
      <w:pPr>
        <w:tabs>
          <w:tab w:val="left" w:pos="2553"/>
        </w:tabs>
        <w:ind w:left="283" w:right="-567" w:hanging="567"/>
        <w:rPr>
          <w:rFonts w:ascii="Arial" w:hAnsi="Arial"/>
          <w:noProof w:val="0"/>
          <w:rtl/>
        </w:rPr>
      </w:pPr>
    </w:p>
    <w:sectPr w:rsidR="00694556" w:rsidSect="00794B94">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B94" w:rsidRDefault="00794B94">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Pr="004E6E3C" w:rsidRDefault="000C3B60">
    <w:pPr>
      <w:pStyle w:val="a4"/>
      <w:jc w:val="center"/>
      <w:rPr>
        <w:rStyle w:val="ab"/>
      </w:rPr>
    </w:pPr>
    <w:r w:rsidRPr="004E6E3C">
      <w:rPr>
        <w:rStyle w:val="ab"/>
        <w:rFonts w:cs="Times New Roman"/>
      </w:rPr>
      <w:fldChar w:fldCharType="begin"/>
    </w:r>
    <w:r w:rsidR="00005C8B" w:rsidRPr="004E6E3C">
      <w:rPr>
        <w:rStyle w:val="ab"/>
        <w:rFonts w:cs="Times New Roman"/>
      </w:rPr>
      <w:instrText xml:space="preserve"> PAGE </w:instrText>
    </w:r>
    <w:r w:rsidRPr="004E6E3C">
      <w:rPr>
        <w:rStyle w:val="ab"/>
        <w:rFonts w:cs="Times New Roman"/>
      </w:rPr>
      <w:fldChar w:fldCharType="separate"/>
    </w:r>
    <w:r w:rsidR="00C3073C">
      <w:rPr>
        <w:rStyle w:val="ab"/>
        <w:rFonts w:cs="Times New Roman"/>
        <w:rtl/>
      </w:rPr>
      <w:t>4</w:t>
    </w:r>
    <w:r w:rsidRPr="004E6E3C">
      <w:rPr>
        <w:rStyle w:val="ab"/>
        <w:rFonts w:cs="Times New Roman"/>
      </w:rPr>
      <w:fldChar w:fldCharType="end"/>
    </w:r>
    <w:r w:rsidR="00005C8B" w:rsidRPr="004E6E3C">
      <w:rPr>
        <w:rStyle w:val="ab"/>
        <w:rFonts w:hint="cs"/>
        <w:rtl/>
      </w:rPr>
      <w:t xml:space="preserve"> מתוך </w:t>
    </w:r>
    <w:r w:rsidRPr="004E6E3C">
      <w:rPr>
        <w:rStyle w:val="ab"/>
      </w:rPr>
      <w:fldChar w:fldCharType="begin"/>
    </w:r>
    <w:r w:rsidR="00005C8B" w:rsidRPr="004E6E3C">
      <w:rPr>
        <w:rStyle w:val="ab"/>
      </w:rPr>
      <w:instrText xml:space="preserve"> NUMPAGES </w:instrText>
    </w:r>
    <w:r w:rsidRPr="004E6E3C">
      <w:rPr>
        <w:rStyle w:val="ab"/>
      </w:rPr>
      <w:fldChar w:fldCharType="separate"/>
    </w:r>
    <w:r w:rsidR="00C3073C">
      <w:rPr>
        <w:rStyle w:val="ab"/>
        <w:rtl/>
      </w:rPr>
      <w:t>5</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B94" w:rsidRDefault="00794B9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B94" w:rsidRDefault="00794B94">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55EC5">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2"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C3073C">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תא"ח</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37010-10-17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גוינט ישראל (חל"צ) נ' עמותת אחוה-איגוד רב תחומי לאנשים עם מוגלות</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B94" w:rsidRDefault="00794B9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031E1"/>
    <w:multiLevelType w:val="hybridMultilevel"/>
    <w:tmpl w:val="ADFE887A"/>
    <w:lvl w:ilvl="0" w:tplc="93EE781E">
      <w:start w:val="7"/>
      <w:numFmt w:val="bullet"/>
      <w:lvlText w:val="-"/>
      <w:lvlJc w:val="left"/>
      <w:pPr>
        <w:ind w:left="643" w:hanging="360"/>
      </w:pPr>
      <w:rPr>
        <w:rFonts w:asciiTheme="minorHAnsi" w:eastAsia="Times New Roman" w:hAnsiTheme="minorHAnsi" w:cs="David"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4910318"/>
    <w:docVar w:name="CourtID" w:val="26"/>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4910318&amp;lt;/CaseID&amp;gt;_x000d__x000a_        &amp;lt;DocumentID&amp;gt;265535491&amp;lt;/DocumentID&amp;gt;_x000d__x000a_      &amp;lt;/dt_DocumentCase&amp;gt;_x000d__x000a_      &amp;lt;dt_Document diffgr:id=&amp;quot;dt_Document1&amp;quot; msdata:rowOrder=&amp;quot;0&amp;quot;&amp;gt;_x000d__x000a_        &amp;lt;DocumentID&amp;gt;265535491&amp;lt;/DocumentID&amp;gt;_x000d__x000a_        &amp;lt;DocumentMainID&amp;gt;0&amp;lt;/DocumentMainID&amp;gt;_x000d__x000a_        &amp;lt;CaseID&amp;gt;74910318&amp;lt;/CaseID&amp;gt;_x000d__x000a_        &amp;lt;DocumentIncludedDate&amp;gt;2018-04-09T05:21:42.88+03:00&amp;lt;/DocumentIncludedDate&amp;gt;_x000d__x000a_        &amp;lt;DocumentDesc&amp;gt;החלטה  שניתנה ע&amp;quot;י  שולמית ברסלב&amp;lt;/DocumentDesc&amp;gt;_x000d__x000a_        &amp;lt;DocumentDirectionID&amp;gt;2&amp;lt;/DocumentDirectionID&amp;gt;_x000d__x000a_        &amp;lt;SourceID&amp;gt;1&amp;lt;/SourceID&amp;gt;_x000d__x000a_        &amp;lt;VersionNumber&amp;gt;2&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1&amp;lt;/DocumentTypeID&amp;gt;_x000d__x000a_        &amp;lt;DocumentSavingDate&amp;gt;2018-04-09T05:21:42.88+03:00&amp;lt;/DocumentSavingDate&amp;gt;_x000d__x000a_        &amp;lt;DocumentChangeDate&amp;gt;2018-04-09T05:21:44.77+03:00&amp;lt;/DocumentChangeDate&amp;gt;_x000d__x000a_        &amp;lt;IsScanned&amp;gt;false&amp;lt;/IsScanned&amp;gt;_x000d__x000a_        &amp;lt;PageQuantity&amp;gt;0&amp;lt;/PageQuantity&amp;gt;_x000d__x000a_        &amp;lt;DocumentStatusID&amp;gt;2&amp;lt;/DocumentStatusID&amp;gt;_x000d__x000a_        &amp;lt;DocumentStatusChangeDate&amp;gt;2018-04-09T05:21:44.77+03:00&amp;lt;/DocumentStatusChangeDate&amp;gt;_x000d__x000a_        &amp;lt;TemplateVersionID&amp;gt;1&amp;lt;/TemplateVersionID&amp;gt;_x000d__x000a_        &amp;lt;DocumentChangeUserID&amp;gt;058748112@GOV.IL&amp;lt;/DocumentChangeUserID&amp;gt;_x000d__x000a_        &amp;lt;DocumentCreationUserID&amp;gt;058748112@GOV.IL&amp;lt;/DocumentCreationUserID&amp;gt;_x000d__x000a_        &amp;lt;OriginalDocumentID&amp;gt;265521698&amp;lt;/OriginalDocumentID&amp;gt;_x000d__x000a_        &amp;lt;PrivillegeID&amp;gt;1&amp;lt;/PrivillegeID&amp;gt;_x000d__x000a_        &amp;lt;FromPage&amp;gt;0&amp;lt;/FromPage&amp;gt;_x000d__x000a_        &amp;lt;ToPage&amp;gt;0&amp;lt;/ToPage&amp;gt;_x000d__x000a_        &amp;lt;FileID&amp;gt;d28735a862010000090037f694050a64&amp;lt;/FileID&amp;gt;_x000d__x000a_        &amp;lt;URL&amp;gt;\\CTLNFSV02\doc_repository\559\537\e7412ea862010000090037f694050a57_copy.docx&amp;lt;/URL&amp;gt;_x000d__x000a_        &amp;lt;OlivePriority&amp;gt;1&amp;lt;/OlivePriority&amp;gt;_x000d__x000a_        &amp;lt;MetaDataTypeID&amp;gt;1&amp;lt;/MetaDataTypeID&amp;gt;_x000d__x000a_        &amp;lt;MetaDataChangeDate&amp;gt;2018-04-09T05:21:44.77+03: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1&amp;amp;lt;/anyType&amp;amp;gt;_x000d__x000a_    &amp;amp;lt;anyType xsi:type=&amp;quot;xsd:string&amp;quot;&amp;amp;gt;1&amp;amp;lt;/anyType&amp;amp;gt;_x000d__x000a_    &amp;amp;lt;anyType xsi:type=&amp;quot;xsd:string&amp;quot;&amp;amp;gt;שולמית ברסלב&amp;amp;lt;/anyType&amp;amp;gt;_x000d__x000a_    &amp;amp;lt;anyType xsi:type=&amp;quot;xsd:dateTime&amp;quot;&amp;amp;gt;2018-04-08T22:54:40.737&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8-04-08T22:54:40.737+03:00&amp;lt;/PresentationDate&amp;gt;_x000d__x000a_      &amp;lt;/dt_Document&amp;gt;_x000d__x000a_    &amp;lt;/DocumentDS&amp;gt;_x000d__x000a_  &amp;lt;/diffgr:diffgram&amp;gt;_x000d__x000a_&amp;lt;/DocumentDS&amp;gt;"/>
    <w:docVar w:name="WordClientAssemblyName" w:val="NGCS.Decision.ClientWordBL"/>
    <w:docVar w:name="WordClientClassName" w:val="NGCS.Decision.ClientWordBL.VersionWordClient"/>
  </w:docVars>
  <w:rsids>
    <w:rsidRoot w:val="00694556"/>
    <w:rsid w:val="00000062"/>
    <w:rsid w:val="0000226B"/>
    <w:rsid w:val="00005C8B"/>
    <w:rsid w:val="00015D7C"/>
    <w:rsid w:val="00035831"/>
    <w:rsid w:val="000421E8"/>
    <w:rsid w:val="000529D2"/>
    <w:rsid w:val="000564AB"/>
    <w:rsid w:val="00064FBD"/>
    <w:rsid w:val="00075D62"/>
    <w:rsid w:val="000800CC"/>
    <w:rsid w:val="00081DA7"/>
    <w:rsid w:val="00082AB2"/>
    <w:rsid w:val="000906FE"/>
    <w:rsid w:val="00096AF7"/>
    <w:rsid w:val="000B0499"/>
    <w:rsid w:val="000B344B"/>
    <w:rsid w:val="000C0118"/>
    <w:rsid w:val="000C3B0F"/>
    <w:rsid w:val="000C3B60"/>
    <w:rsid w:val="000E0DD2"/>
    <w:rsid w:val="000E3AF1"/>
    <w:rsid w:val="000F0BC8"/>
    <w:rsid w:val="000F0DD6"/>
    <w:rsid w:val="000F7418"/>
    <w:rsid w:val="00107E6D"/>
    <w:rsid w:val="0011194C"/>
    <w:rsid w:val="0011424C"/>
    <w:rsid w:val="001173C6"/>
    <w:rsid w:val="001367BC"/>
    <w:rsid w:val="00144D2A"/>
    <w:rsid w:val="0014653E"/>
    <w:rsid w:val="00171C96"/>
    <w:rsid w:val="00172359"/>
    <w:rsid w:val="00180519"/>
    <w:rsid w:val="001860DF"/>
    <w:rsid w:val="00191C82"/>
    <w:rsid w:val="001C4003"/>
    <w:rsid w:val="001D4DBF"/>
    <w:rsid w:val="001E75CA"/>
    <w:rsid w:val="001F6E3F"/>
    <w:rsid w:val="00224BFB"/>
    <w:rsid w:val="002265FF"/>
    <w:rsid w:val="00232570"/>
    <w:rsid w:val="0024389E"/>
    <w:rsid w:val="0024602D"/>
    <w:rsid w:val="002619AE"/>
    <w:rsid w:val="00271B56"/>
    <w:rsid w:val="002727A6"/>
    <w:rsid w:val="002728A8"/>
    <w:rsid w:val="00291EF3"/>
    <w:rsid w:val="002C344E"/>
    <w:rsid w:val="002D366E"/>
    <w:rsid w:val="002E75E9"/>
    <w:rsid w:val="002F041A"/>
    <w:rsid w:val="002F18BC"/>
    <w:rsid w:val="002F6423"/>
    <w:rsid w:val="00307A6A"/>
    <w:rsid w:val="00307C40"/>
    <w:rsid w:val="00320433"/>
    <w:rsid w:val="00321E73"/>
    <w:rsid w:val="003230C7"/>
    <w:rsid w:val="00327E50"/>
    <w:rsid w:val="0033597A"/>
    <w:rsid w:val="00343D89"/>
    <w:rsid w:val="00362612"/>
    <w:rsid w:val="0036743F"/>
    <w:rsid w:val="003715DD"/>
    <w:rsid w:val="003823E0"/>
    <w:rsid w:val="00393597"/>
    <w:rsid w:val="00394187"/>
    <w:rsid w:val="003A4521"/>
    <w:rsid w:val="003B68E5"/>
    <w:rsid w:val="003B797B"/>
    <w:rsid w:val="003D1C8C"/>
    <w:rsid w:val="0040096C"/>
    <w:rsid w:val="004131AE"/>
    <w:rsid w:val="00414F1F"/>
    <w:rsid w:val="00415797"/>
    <w:rsid w:val="0043125D"/>
    <w:rsid w:val="0043502B"/>
    <w:rsid w:val="00437CB6"/>
    <w:rsid w:val="004443AC"/>
    <w:rsid w:val="00444B02"/>
    <w:rsid w:val="00451E28"/>
    <w:rsid w:val="004558E6"/>
    <w:rsid w:val="00462C62"/>
    <w:rsid w:val="00465D36"/>
    <w:rsid w:val="00480A25"/>
    <w:rsid w:val="0048712E"/>
    <w:rsid w:val="004A13D1"/>
    <w:rsid w:val="004C17EE"/>
    <w:rsid w:val="004C4BDF"/>
    <w:rsid w:val="004D1187"/>
    <w:rsid w:val="004D3AA0"/>
    <w:rsid w:val="004E0F1D"/>
    <w:rsid w:val="004E1987"/>
    <w:rsid w:val="004E2E15"/>
    <w:rsid w:val="004E6E3C"/>
    <w:rsid w:val="004F286F"/>
    <w:rsid w:val="00502007"/>
    <w:rsid w:val="00520898"/>
    <w:rsid w:val="00523621"/>
    <w:rsid w:val="00524986"/>
    <w:rsid w:val="005261CF"/>
    <w:rsid w:val="005268F6"/>
    <w:rsid w:val="00534284"/>
    <w:rsid w:val="00547DB7"/>
    <w:rsid w:val="00557094"/>
    <w:rsid w:val="0056784F"/>
    <w:rsid w:val="00574852"/>
    <w:rsid w:val="00586CDF"/>
    <w:rsid w:val="005A4119"/>
    <w:rsid w:val="005C587E"/>
    <w:rsid w:val="005D5655"/>
    <w:rsid w:val="005F4F09"/>
    <w:rsid w:val="0060571C"/>
    <w:rsid w:val="0061431B"/>
    <w:rsid w:val="0061503C"/>
    <w:rsid w:val="00622BAA"/>
    <w:rsid w:val="006306CF"/>
    <w:rsid w:val="00630C10"/>
    <w:rsid w:val="006372A7"/>
    <w:rsid w:val="00644E9A"/>
    <w:rsid w:val="00670F80"/>
    <w:rsid w:val="00671BD5"/>
    <w:rsid w:val="00673D37"/>
    <w:rsid w:val="006805C1"/>
    <w:rsid w:val="00686C21"/>
    <w:rsid w:val="006931C1"/>
    <w:rsid w:val="00694556"/>
    <w:rsid w:val="006A69B5"/>
    <w:rsid w:val="006C30C5"/>
    <w:rsid w:val="006D3B31"/>
    <w:rsid w:val="006E0D96"/>
    <w:rsid w:val="006E1A53"/>
    <w:rsid w:val="006F56E6"/>
    <w:rsid w:val="00704EDA"/>
    <w:rsid w:val="00721122"/>
    <w:rsid w:val="00746ECE"/>
    <w:rsid w:val="00753019"/>
    <w:rsid w:val="00754801"/>
    <w:rsid w:val="00761441"/>
    <w:rsid w:val="0079075F"/>
    <w:rsid w:val="007908E3"/>
    <w:rsid w:val="00794B94"/>
    <w:rsid w:val="00795365"/>
    <w:rsid w:val="007A351D"/>
    <w:rsid w:val="007B7765"/>
    <w:rsid w:val="007C5BDD"/>
    <w:rsid w:val="007C79D4"/>
    <w:rsid w:val="007D09A4"/>
    <w:rsid w:val="007D45E3"/>
    <w:rsid w:val="007D66A2"/>
    <w:rsid w:val="007E6115"/>
    <w:rsid w:val="007F4609"/>
    <w:rsid w:val="007F6AF8"/>
    <w:rsid w:val="00814468"/>
    <w:rsid w:val="008176A1"/>
    <w:rsid w:val="00820005"/>
    <w:rsid w:val="0083294F"/>
    <w:rsid w:val="00844318"/>
    <w:rsid w:val="00863F5D"/>
    <w:rsid w:val="00870890"/>
    <w:rsid w:val="00873602"/>
    <w:rsid w:val="00875D12"/>
    <w:rsid w:val="0087799F"/>
    <w:rsid w:val="0088479D"/>
    <w:rsid w:val="008922F2"/>
    <w:rsid w:val="0089478E"/>
    <w:rsid w:val="00896889"/>
    <w:rsid w:val="008A0A0F"/>
    <w:rsid w:val="008B0FFF"/>
    <w:rsid w:val="008C06B8"/>
    <w:rsid w:val="008C5714"/>
    <w:rsid w:val="008D10B2"/>
    <w:rsid w:val="008E5769"/>
    <w:rsid w:val="00903896"/>
    <w:rsid w:val="00906F3D"/>
    <w:rsid w:val="00927324"/>
    <w:rsid w:val="0094424E"/>
    <w:rsid w:val="00955642"/>
    <w:rsid w:val="009622DF"/>
    <w:rsid w:val="0096493F"/>
    <w:rsid w:val="00967DFF"/>
    <w:rsid w:val="00971E8B"/>
    <w:rsid w:val="00994341"/>
    <w:rsid w:val="009D1A48"/>
    <w:rsid w:val="009E13B1"/>
    <w:rsid w:val="009E1BE5"/>
    <w:rsid w:val="009E1CE7"/>
    <w:rsid w:val="009E4EA5"/>
    <w:rsid w:val="009F164B"/>
    <w:rsid w:val="009F323C"/>
    <w:rsid w:val="00A24FE4"/>
    <w:rsid w:val="00A3392B"/>
    <w:rsid w:val="00A47210"/>
    <w:rsid w:val="00A55392"/>
    <w:rsid w:val="00A73187"/>
    <w:rsid w:val="00A85E34"/>
    <w:rsid w:val="00A9316D"/>
    <w:rsid w:val="00A93BDB"/>
    <w:rsid w:val="00A94871"/>
    <w:rsid w:val="00A94B64"/>
    <w:rsid w:val="00AA3229"/>
    <w:rsid w:val="00AA7596"/>
    <w:rsid w:val="00AB1898"/>
    <w:rsid w:val="00AB5E52"/>
    <w:rsid w:val="00AC1F94"/>
    <w:rsid w:val="00AC3B02"/>
    <w:rsid w:val="00AC3B7B"/>
    <w:rsid w:val="00AC5209"/>
    <w:rsid w:val="00AE0E34"/>
    <w:rsid w:val="00AE729E"/>
    <w:rsid w:val="00AE7752"/>
    <w:rsid w:val="00AF7FDA"/>
    <w:rsid w:val="00B24EA2"/>
    <w:rsid w:val="00B50385"/>
    <w:rsid w:val="00B5356E"/>
    <w:rsid w:val="00B809AD"/>
    <w:rsid w:val="00B80CBD"/>
    <w:rsid w:val="00B86096"/>
    <w:rsid w:val="00B964D9"/>
    <w:rsid w:val="00BA0A7C"/>
    <w:rsid w:val="00BA2CFA"/>
    <w:rsid w:val="00BA517C"/>
    <w:rsid w:val="00BA6E71"/>
    <w:rsid w:val="00BB3D05"/>
    <w:rsid w:val="00BB73BE"/>
    <w:rsid w:val="00BC2D89"/>
    <w:rsid w:val="00BD053E"/>
    <w:rsid w:val="00BD091A"/>
    <w:rsid w:val="00BD6531"/>
    <w:rsid w:val="00BE05B2"/>
    <w:rsid w:val="00BF1908"/>
    <w:rsid w:val="00C033B1"/>
    <w:rsid w:val="00C206BD"/>
    <w:rsid w:val="00C22D93"/>
    <w:rsid w:val="00C23458"/>
    <w:rsid w:val="00C3073C"/>
    <w:rsid w:val="00C31120"/>
    <w:rsid w:val="00C34482"/>
    <w:rsid w:val="00C345B5"/>
    <w:rsid w:val="00C4355F"/>
    <w:rsid w:val="00C43648"/>
    <w:rsid w:val="00C50A9F"/>
    <w:rsid w:val="00C50F36"/>
    <w:rsid w:val="00C54DF7"/>
    <w:rsid w:val="00C55EC5"/>
    <w:rsid w:val="00C61C13"/>
    <w:rsid w:val="00C642FA"/>
    <w:rsid w:val="00C8692C"/>
    <w:rsid w:val="00C90543"/>
    <w:rsid w:val="00CB04C0"/>
    <w:rsid w:val="00CC7622"/>
    <w:rsid w:val="00CC79F0"/>
    <w:rsid w:val="00CD4BAF"/>
    <w:rsid w:val="00CD4DEC"/>
    <w:rsid w:val="00CD608F"/>
    <w:rsid w:val="00CD6A6E"/>
    <w:rsid w:val="00CF6BB7"/>
    <w:rsid w:val="00CF7BDF"/>
    <w:rsid w:val="00D00702"/>
    <w:rsid w:val="00D04AA4"/>
    <w:rsid w:val="00D162AE"/>
    <w:rsid w:val="00D27982"/>
    <w:rsid w:val="00D33B86"/>
    <w:rsid w:val="00D42293"/>
    <w:rsid w:val="00D44968"/>
    <w:rsid w:val="00D53924"/>
    <w:rsid w:val="00D55D0C"/>
    <w:rsid w:val="00D62E77"/>
    <w:rsid w:val="00D659B3"/>
    <w:rsid w:val="00D67E94"/>
    <w:rsid w:val="00D96D8C"/>
    <w:rsid w:val="00DA6649"/>
    <w:rsid w:val="00DC1259"/>
    <w:rsid w:val="00DC1BD2"/>
    <w:rsid w:val="00DC2571"/>
    <w:rsid w:val="00DC487C"/>
    <w:rsid w:val="00DD2B71"/>
    <w:rsid w:val="00DE1E7D"/>
    <w:rsid w:val="00DE3963"/>
    <w:rsid w:val="00DE6BF6"/>
    <w:rsid w:val="00E1068A"/>
    <w:rsid w:val="00E25884"/>
    <w:rsid w:val="00E25B55"/>
    <w:rsid w:val="00E31C2B"/>
    <w:rsid w:val="00E53B8A"/>
    <w:rsid w:val="00E5426A"/>
    <w:rsid w:val="00E54642"/>
    <w:rsid w:val="00E60A54"/>
    <w:rsid w:val="00E73998"/>
    <w:rsid w:val="00E73E5A"/>
    <w:rsid w:val="00E76DDF"/>
    <w:rsid w:val="00E80CBE"/>
    <w:rsid w:val="00E8246E"/>
    <w:rsid w:val="00E962E3"/>
    <w:rsid w:val="00EB6C79"/>
    <w:rsid w:val="00EC37E9"/>
    <w:rsid w:val="00EC4BC2"/>
    <w:rsid w:val="00F038D8"/>
    <w:rsid w:val="00F06995"/>
    <w:rsid w:val="00F13623"/>
    <w:rsid w:val="00F3243C"/>
    <w:rsid w:val="00F44D1D"/>
    <w:rsid w:val="00F765F2"/>
    <w:rsid w:val="00F84B6D"/>
    <w:rsid w:val="00F93C27"/>
    <w:rsid w:val="00F957E8"/>
    <w:rsid w:val="00F9785F"/>
    <w:rsid w:val="00FA311A"/>
    <w:rsid w:val="00FA5FDA"/>
    <w:rsid w:val="00FB6AB3"/>
    <w:rsid w:val="00FD0E0F"/>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customStyle="1" w:styleId="Ruller4">
    <w:name w:val="Ruller4"/>
    <w:basedOn w:val="a"/>
    <w:rsid w:val="00557094"/>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paragraph" w:styleId="ad">
    <w:name w:val="List Paragraph"/>
    <w:basedOn w:val="a"/>
    <w:uiPriority w:val="34"/>
    <w:qFormat/>
    <w:rsid w:val="004F2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28256196">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4511C" w:rsidP="0074511C">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74511C" w:rsidP="0074511C">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4511C"/>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511C"/>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4511C"/>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74511C"/>
    <w:pPr>
      <w:bidi/>
      <w:spacing w:after="0" w:line="240" w:lineRule="auto"/>
    </w:pPr>
    <w:rPr>
      <w:rFonts w:ascii="Times New Roman" w:eastAsia="Times New Roman" w:hAnsi="Times New Roman" w:cs="David"/>
      <w:noProof/>
      <w:sz w:val="24"/>
      <w:szCs w:val="24"/>
    </w:rPr>
  </w:style>
  <w:style w:type="paragraph" w:customStyle="1" w:styleId="CFF202D7B5BB4196B9A72C0083D14C53">
    <w:name w:val="CFF202D7B5BB4196B9A72C0083D14C53"/>
    <w:rsid w:val="0074511C"/>
    <w:pPr>
      <w:bidi/>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1400</Words>
  <Characters>7003</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שולמית ברסלב</cp:lastModifiedBy>
  <cp:revision>256</cp:revision>
  <cp:lastPrinted>2018-04-08T19:47:00Z</cp:lastPrinted>
  <dcterms:created xsi:type="dcterms:W3CDTF">2012-08-06T05:16:00Z</dcterms:created>
  <dcterms:modified xsi:type="dcterms:W3CDTF">2018-04-09T02:22:00Z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