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Pr="00523084" w:rsidR="00870F64">
        <w:trPr>
          <w:trHeight w:val="295"/>
          <w:jc w:val="center"/>
        </w:trPr>
        <w:tc>
          <w:tcPr>
            <w:tcW w:w="743" w:type="dxa"/>
            <w:tcBorders>
              <w:top w:val="nil"/>
              <w:left w:val="nil"/>
              <w:bottom w:val="nil"/>
              <w:right w:val="nil"/>
            </w:tcBorders>
          </w:tcPr>
          <w:p w:rsidRPr="00523084" w:rsidR="00870F64" w:rsidRDefault="0051562C">
            <w:pPr>
              <w:jc w:val="both"/>
              <w:rPr>
                <w:rFonts w:ascii="Arial" w:hAnsi="Arial"/>
                <w:b/>
                <w:bCs/>
              </w:rPr>
            </w:pPr>
            <w:r w:rsidRPr="00523084">
              <w:rPr>
                <w:rFonts w:ascii="Arial" w:hAnsi="Arial"/>
                <w:b/>
                <w:bCs/>
                <w:rtl/>
              </w:rPr>
              <w:t xml:space="preserve">בפני </w:t>
            </w:r>
          </w:p>
        </w:tc>
        <w:tc>
          <w:tcPr>
            <w:tcW w:w="8077" w:type="dxa"/>
            <w:tcBorders>
              <w:top w:val="nil"/>
              <w:left w:val="nil"/>
              <w:bottom w:val="nil"/>
              <w:right w:val="nil"/>
            </w:tcBorders>
          </w:tcPr>
          <w:p w:rsidRPr="00523084" w:rsidR="002D68F5" w:rsidP="00EB3D96" w:rsidRDefault="001E77B5">
            <w:pPr>
              <w:rPr>
                <w:rFonts w:ascii="Arial" w:hAnsi="Arial"/>
                <w:b/>
                <w:bCs/>
                <w:highlight w:val="yellow"/>
              </w:rPr>
            </w:pPr>
            <w:r w:rsidRPr="00523084">
              <w:rPr>
                <w:rFonts w:hint="cs" w:ascii="Arial" w:hAnsi="Arial"/>
                <w:b/>
                <w:bCs/>
                <w:rtl/>
              </w:rPr>
              <w:t>כב'</w:t>
            </w:r>
            <w:r w:rsidRPr="00523084" w:rsidR="009251A2">
              <w:rPr>
                <w:rFonts w:hint="cs" w:ascii="Arial" w:hAnsi="Arial"/>
                <w:b/>
                <w:bCs/>
                <w:rtl/>
              </w:rPr>
              <w:t xml:space="preserve"> ה</w:t>
            </w:r>
            <w:r w:rsidRPr="00523084">
              <w:rPr>
                <w:rFonts w:hint="cs" w:ascii="Arial" w:hAnsi="Arial"/>
                <w:b/>
                <w:bCs/>
                <w:rtl/>
              </w:rPr>
              <w:t xml:space="preserve">שופטת הבכירה </w:t>
            </w:r>
            <w:sdt>
              <w:sdtPr>
                <w:rPr>
                  <w:rFonts w:ascii="Arial" w:hAnsi="Arial"/>
                  <w:b/>
                  <w:bCs/>
                  <w:rtl/>
                </w:rPr>
                <w:alias w:val="1573"/>
                <w:tag w:val="1573"/>
                <w:id w:val="742765247"/>
                <w:placeholder>
                  <w:docPart w:val="74F5AD2CAC3F49419A83AA4F3CD85725"/>
                </w:placeholder>
                <w:text w:multiLine="1"/>
              </w:sdtPr>
              <w:sdtEndPr/>
              <w:sdtContent>
                <w:r>
                  <w:rPr>
                    <w:rFonts w:ascii="Arial" w:hAnsi="Arial"/>
                    <w:b/>
                    <w:bCs/>
                    <w:rtl/>
                  </w:rPr>
                  <w:t>סמדר קולנדר-אברמוביץ</w:t>
                </w:r>
              </w:sdtContent>
            </w:sdt>
            <w:r w:rsidRPr="00523084" w:rsidR="00EB3D96">
              <w:rPr>
                <w:rFonts w:ascii="Arial" w:hAnsi="Arial"/>
                <w:b/>
                <w:bCs/>
                <w:rtl/>
              </w:rPr>
              <w:t xml:space="preserve"> </w:t>
            </w:r>
          </w:p>
        </w:tc>
      </w:tr>
    </w:tbl>
    <w:p w:rsidRPr="00523084" w:rsidR="00870F64" w:rsidRDefault="00870F64">
      <w:pPr>
        <w:rPr>
          <w:rtl/>
        </w:rPr>
      </w:pPr>
    </w:p>
    <w:tbl>
      <w:tblPr>
        <w:tblStyle w:val="a5"/>
        <w:bidiVisual/>
        <w:tblW w:w="8820" w:type="dxa"/>
        <w:jc w:val="center"/>
        <w:tblLook w:val="01E0" w:firstRow="1" w:lastRow="1" w:firstColumn="1" w:lastColumn="1" w:noHBand="0" w:noVBand="0"/>
      </w:tblPr>
      <w:tblGrid>
        <w:gridCol w:w="945"/>
        <w:gridCol w:w="4191"/>
        <w:gridCol w:w="3684"/>
      </w:tblGrid>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p w:rsidRPr="00523084" w:rsidR="00870F64" w:rsidRDefault="0051562C">
            <w:pPr>
              <w:jc w:val="both"/>
              <w:rPr>
                <w:rFonts w:ascii="Arial" w:hAnsi="Arial"/>
                <w:b/>
                <w:bCs/>
                <w:sz w:val="28"/>
                <w:szCs w:val="28"/>
              </w:rPr>
            </w:pPr>
            <w:r w:rsidRPr="00523084">
              <w:rPr>
                <w:rFonts w:ascii="Arial" w:hAnsi="Arial"/>
                <w:b/>
                <w:bCs/>
                <w:sz w:val="28"/>
                <w:szCs w:val="28"/>
                <w:rtl/>
              </w:rPr>
              <w:t>בעניין:</w:t>
            </w:r>
          </w:p>
        </w:tc>
        <w:tc>
          <w:tcPr>
            <w:tcW w:w="4241" w:type="dxa"/>
            <w:tcBorders>
              <w:top w:val="nil"/>
              <w:left w:val="nil"/>
              <w:bottom w:val="nil"/>
              <w:right w:val="nil"/>
            </w:tcBorders>
          </w:tcPr>
          <w:p w:rsidRPr="00523084" w:rsidR="00870F64" w:rsidP="00942F8C" w:rsidRDefault="00870F64">
            <w:pPr>
              <w:rPr>
                <w:rFonts w:ascii="Arial" w:hAnsi="Arial"/>
                <w:b/>
                <w:bCs/>
                <w:sz w:val="26"/>
                <w:szCs w:val="26"/>
                <w:rtl/>
              </w:rPr>
            </w:pPr>
          </w:p>
          <w:p w:rsidRPr="00523084" w:rsidR="00870F64" w:rsidP="00942F8C" w:rsidRDefault="00187862">
            <w:pPr>
              <w:rPr>
                <w:rFonts w:ascii="Arial" w:hAnsi="Arial"/>
                <w:b/>
                <w:bCs/>
                <w:sz w:val="26"/>
                <w:szCs w:val="26"/>
              </w:rPr>
            </w:pPr>
            <w:sdt>
              <w:sdtPr>
                <w:rPr>
                  <w:rtl/>
                </w:rPr>
                <w:alias w:val="1478"/>
                <w:tag w:val="1478"/>
                <w:id w:val="-188685930"/>
                <w:text w:multiLine="1"/>
              </w:sdtPr>
              <w:sdtEndPr/>
              <w:sdtContent>
                <w:r w:rsidR="00464E4C">
                  <w:rPr>
                    <w:rFonts w:ascii="Arial" w:hAnsi="Arial"/>
                    <w:b/>
                    <w:bCs/>
                    <w:sz w:val="26"/>
                    <w:szCs w:val="26"/>
                    <w:rtl/>
                  </w:rPr>
                  <w:t>אסף חמו</w:t>
                </w:r>
                <w:r w:rsidR="003F17D5">
                  <w:rPr>
                    <w:rFonts w:ascii="Arial" w:hAnsi="Arial"/>
                    <w:b/>
                    <w:bCs/>
                    <w:sz w:val="26"/>
                    <w:szCs w:val="26"/>
                    <w:rtl/>
                  </w:rPr>
                  <w:br/>
                </w:r>
                <w:r w:rsidR="003F17D5">
                  <w:rPr>
                    <w:rFonts w:hint="cs"/>
                    <w:rtl/>
                  </w:rPr>
                  <w:t xml:space="preserve">ע"י עו"ד יוגב לוי  ואח' </w:t>
                </w:r>
              </w:sdtContent>
            </w:sdt>
          </w:p>
        </w:tc>
        <w:tc>
          <w:tcPr>
            <w:tcW w:w="3727" w:type="dxa"/>
            <w:tcBorders>
              <w:top w:val="nil"/>
              <w:left w:val="nil"/>
              <w:bottom w:val="nil"/>
              <w:right w:val="nil"/>
            </w:tcBorders>
          </w:tcPr>
          <w:p w:rsidRPr="00523084" w:rsidR="00870F64" w:rsidRDefault="00870F64">
            <w:pPr>
              <w:jc w:val="both"/>
              <w:rPr>
                <w:rFonts w:ascii="Arial" w:hAnsi="Arial"/>
                <w:b/>
                <w:bCs/>
                <w:sz w:val="26"/>
                <w:szCs w:val="26"/>
              </w:rPr>
            </w:pPr>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4241" w:type="dxa"/>
            <w:tcBorders>
              <w:top w:val="nil"/>
              <w:left w:val="nil"/>
              <w:bottom w:val="nil"/>
              <w:right w:val="nil"/>
            </w:tcBorders>
          </w:tcPr>
          <w:p w:rsidRPr="00523084" w:rsidR="00870F64" w:rsidRDefault="00870F64">
            <w:pPr>
              <w:jc w:val="both"/>
              <w:rPr>
                <w:b/>
                <w:bCs/>
                <w:sz w:val="26"/>
                <w:szCs w:val="26"/>
                <w:rtl/>
              </w:rPr>
            </w:pPr>
          </w:p>
        </w:tc>
        <w:tc>
          <w:tcPr>
            <w:tcW w:w="3727" w:type="dxa"/>
            <w:tcBorders>
              <w:top w:val="nil"/>
              <w:left w:val="nil"/>
              <w:bottom w:val="nil"/>
              <w:right w:val="nil"/>
            </w:tcBorders>
          </w:tcPr>
          <w:p w:rsidRPr="00523084" w:rsidR="00870F64" w:rsidP="00942F8C" w:rsidRDefault="0051562C">
            <w:pPr>
              <w:rPr>
                <w:rFonts w:ascii="Arial" w:hAnsi="Arial"/>
                <w:b/>
                <w:bCs/>
                <w:sz w:val="26"/>
                <w:szCs w:val="26"/>
                <w:rtl/>
              </w:rPr>
            </w:pPr>
            <w:r w:rsidRPr="00523084">
              <w:rPr>
                <w:rFonts w:ascii="Arial" w:hAnsi="Arial"/>
                <w:b/>
                <w:bCs/>
                <w:sz w:val="26"/>
                <w:szCs w:val="26"/>
                <w:rtl/>
              </w:rPr>
              <w:t>ה</w:t>
            </w:r>
            <w:sdt>
              <w:sdtPr>
                <w:rPr>
                  <w:rtl/>
                </w:rPr>
                <w:alias w:val="1180"/>
                <w:tag w:val="1180"/>
                <w:id w:val="-996955522"/>
                <w:text w:multiLine="1"/>
              </w:sdtPr>
              <w:sdtEndPr/>
              <w:sdtContent>
                <w:r>
                  <w:rPr>
                    <w:rFonts w:ascii="Arial" w:hAnsi="Arial"/>
                    <w:b/>
                    <w:bCs/>
                    <w:sz w:val="26"/>
                    <w:szCs w:val="26"/>
                    <w:rtl/>
                  </w:rPr>
                  <w:t>תובעים</w:t>
                </w:r>
              </w:sdtContent>
            </w:sdt>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7968" w:type="dxa"/>
            <w:gridSpan w:val="2"/>
            <w:tcBorders>
              <w:top w:val="nil"/>
              <w:left w:val="nil"/>
              <w:bottom w:val="nil"/>
              <w:right w:val="nil"/>
            </w:tcBorders>
          </w:tcPr>
          <w:p w:rsidRPr="00523084" w:rsidR="00870F64" w:rsidRDefault="00870F64">
            <w:pPr>
              <w:jc w:val="center"/>
              <w:rPr>
                <w:rFonts w:ascii="Arial" w:hAnsi="Arial"/>
                <w:b/>
                <w:bCs/>
                <w:sz w:val="26"/>
                <w:szCs w:val="26"/>
                <w:rtl/>
              </w:rPr>
            </w:pPr>
          </w:p>
          <w:p w:rsidRPr="00523084" w:rsidR="00870F64" w:rsidRDefault="0051562C">
            <w:pPr>
              <w:jc w:val="center"/>
              <w:rPr>
                <w:rFonts w:ascii="Arial" w:hAnsi="Arial"/>
                <w:b/>
                <w:bCs/>
                <w:sz w:val="26"/>
                <w:szCs w:val="26"/>
                <w:rtl/>
              </w:rPr>
            </w:pPr>
            <w:r w:rsidRPr="00523084">
              <w:rPr>
                <w:rFonts w:ascii="Arial" w:hAnsi="Arial"/>
                <w:b/>
                <w:bCs/>
                <w:sz w:val="26"/>
                <w:szCs w:val="26"/>
                <w:rtl/>
              </w:rPr>
              <w:t>נגד</w:t>
            </w:r>
          </w:p>
          <w:p w:rsidRPr="00523084" w:rsidR="00870F64" w:rsidRDefault="00870F64">
            <w:pPr>
              <w:jc w:val="both"/>
              <w:rPr>
                <w:rFonts w:ascii="Arial" w:hAnsi="Arial"/>
                <w:b/>
                <w:bCs/>
                <w:sz w:val="26"/>
                <w:szCs w:val="26"/>
              </w:rPr>
            </w:pPr>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4241" w:type="dxa"/>
            <w:tcBorders>
              <w:top w:val="nil"/>
              <w:left w:val="nil"/>
              <w:bottom w:val="nil"/>
              <w:right w:val="nil"/>
            </w:tcBorders>
          </w:tcPr>
          <w:p w:rsidRPr="00523084" w:rsidR="00870F64" w:rsidP="00942F8C" w:rsidRDefault="00187862">
            <w:pPr>
              <w:rPr>
                <w:b/>
                <w:bCs/>
                <w:sz w:val="26"/>
                <w:szCs w:val="26"/>
                <w:rtl/>
              </w:rPr>
            </w:pPr>
            <w:sdt>
              <w:sdtPr>
                <w:rPr>
                  <w:rtl/>
                </w:rPr>
                <w:alias w:val="1571"/>
                <w:tag w:val="1571"/>
                <w:id w:val="-2437142"/>
                <w:text w:multiLine="1"/>
              </w:sdtPr>
              <w:sdtEndPr/>
              <w:sdtContent>
                <w:r w:rsidR="00464E4C">
                  <w:rPr>
                    <w:rFonts w:ascii="Arial" w:hAnsi="Arial"/>
                    <w:b/>
                    <w:bCs/>
                    <w:sz w:val="26"/>
                    <w:szCs w:val="26"/>
                    <w:rtl/>
                  </w:rPr>
                  <w:t>1</w:t>
                </w:r>
              </w:sdtContent>
            </w:sdt>
            <w:r w:rsidRPr="00523084" w:rsidR="00834D17">
              <w:rPr>
                <w:rFonts w:ascii="Arial" w:hAnsi="Arial"/>
                <w:b/>
                <w:bCs/>
                <w:sz w:val="26"/>
                <w:szCs w:val="26"/>
                <w:rtl/>
              </w:rPr>
              <w:t>.</w:t>
            </w:r>
            <w:sdt>
              <w:sdtPr>
                <w:rPr>
                  <w:rtl/>
                </w:rPr>
                <w:alias w:val="1486"/>
                <w:tag w:val="1486"/>
                <w:id w:val="1635441335"/>
                <w:text w:multiLine="1"/>
              </w:sdtPr>
              <w:sdtEndPr/>
              <w:sdtContent>
                <w:r w:rsidR="00464E4C">
                  <w:rPr>
                    <w:rFonts w:ascii="Arial" w:hAnsi="Arial"/>
                    <w:b/>
                    <w:bCs/>
                    <w:sz w:val="26"/>
                    <w:szCs w:val="26"/>
                    <w:rtl/>
                  </w:rPr>
                  <w:t>העיירה הפקות נ.א בע"מ</w:t>
                </w:r>
              </w:sdtContent>
            </w:sdt>
          </w:p>
          <w:p w:rsidRPr="00523084" w:rsidR="00870F64" w:rsidP="003F17D5" w:rsidRDefault="00187862">
            <w:pPr>
              <w:rPr>
                <w:b/>
                <w:bCs/>
                <w:sz w:val="26"/>
                <w:szCs w:val="26"/>
                <w:rtl/>
              </w:rPr>
            </w:pPr>
            <w:sdt>
              <w:sdtPr>
                <w:rPr>
                  <w:rtl/>
                </w:rPr>
                <w:alias w:val="1571"/>
                <w:tag w:val="1571"/>
                <w:id w:val="55435704"/>
                <w:text w:multiLine="1"/>
              </w:sdtPr>
              <w:sdtEndPr/>
              <w:sdtContent>
                <w:r w:rsidR="00464E4C">
                  <w:rPr>
                    <w:rFonts w:ascii="Arial" w:hAnsi="Arial"/>
                    <w:b/>
                    <w:bCs/>
                    <w:sz w:val="26"/>
                    <w:szCs w:val="26"/>
                    <w:rtl/>
                  </w:rPr>
                  <w:t>2</w:t>
                </w:r>
              </w:sdtContent>
            </w:sdt>
            <w:r w:rsidRPr="00523084" w:rsidR="00834D17">
              <w:rPr>
                <w:rFonts w:ascii="Arial" w:hAnsi="Arial"/>
                <w:b/>
                <w:bCs/>
                <w:sz w:val="26"/>
                <w:szCs w:val="26"/>
                <w:rtl/>
              </w:rPr>
              <w:t>.</w:t>
            </w:r>
            <w:sdt>
              <w:sdtPr>
                <w:rPr>
                  <w:rtl/>
                </w:rPr>
                <w:alias w:val="1486"/>
                <w:tag w:val="1486"/>
                <w:id w:val="-1510592843"/>
                <w:text w:multiLine="1"/>
              </w:sdtPr>
              <w:sdtEndPr/>
              <w:sdtContent>
                <w:r w:rsidR="00464E4C">
                  <w:rPr>
                    <w:rFonts w:ascii="Arial" w:hAnsi="Arial"/>
                    <w:b/>
                    <w:bCs/>
                    <w:sz w:val="26"/>
                    <w:szCs w:val="26"/>
                    <w:rtl/>
                  </w:rPr>
                  <w:t>ניל בן אמו</w:t>
                </w:r>
                <w:r w:rsidR="003F17D5">
                  <w:rPr>
                    <w:rFonts w:ascii="Arial" w:hAnsi="Arial"/>
                    <w:b/>
                    <w:bCs/>
                    <w:sz w:val="26"/>
                    <w:szCs w:val="26"/>
                    <w:rtl/>
                  </w:rPr>
                  <w:br/>
                </w:r>
                <w:r w:rsidR="003F17D5">
                  <w:rPr>
                    <w:rFonts w:hint="cs"/>
                    <w:rtl/>
                  </w:rPr>
                  <w:t>ע"י עו"ד דוד אליעזר</w:t>
                </w:r>
              </w:sdtContent>
            </w:sdt>
          </w:p>
          <w:p w:rsidRPr="00523084" w:rsidR="00870F64" w:rsidP="00942F8C" w:rsidRDefault="00187862">
            <w:pPr>
              <w:rPr>
                <w:b/>
                <w:bCs/>
                <w:sz w:val="26"/>
                <w:szCs w:val="26"/>
                <w:rtl/>
              </w:rPr>
            </w:pPr>
            <w:sdt>
              <w:sdtPr>
                <w:rPr>
                  <w:rtl/>
                </w:rPr>
                <w:alias w:val="1571"/>
                <w:tag w:val="1571"/>
                <w:id w:val="-2002653786"/>
                <w:text w:multiLine="1"/>
              </w:sdtPr>
              <w:sdtEndPr/>
              <w:sdtContent>
                <w:r w:rsidR="00464E4C">
                  <w:rPr>
                    <w:rFonts w:ascii="Arial" w:hAnsi="Arial"/>
                    <w:b/>
                    <w:bCs/>
                    <w:sz w:val="26"/>
                    <w:szCs w:val="26"/>
                    <w:rtl/>
                  </w:rPr>
                  <w:t>3</w:t>
                </w:r>
              </w:sdtContent>
            </w:sdt>
            <w:r w:rsidRPr="00523084" w:rsidR="00834D17">
              <w:rPr>
                <w:rFonts w:ascii="Arial" w:hAnsi="Arial"/>
                <w:b/>
                <w:bCs/>
                <w:sz w:val="26"/>
                <w:szCs w:val="26"/>
                <w:rtl/>
              </w:rPr>
              <w:t>.</w:t>
            </w:r>
            <w:sdt>
              <w:sdtPr>
                <w:rPr>
                  <w:rtl/>
                </w:rPr>
                <w:alias w:val="1486"/>
                <w:tag w:val="1486"/>
                <w:id w:val="2117024606"/>
                <w:text w:multiLine="1"/>
              </w:sdtPr>
              <w:sdtEndPr/>
              <w:sdtContent>
                <w:r w:rsidR="00464E4C">
                  <w:rPr>
                    <w:rFonts w:ascii="Arial" w:hAnsi="Arial"/>
                    <w:b/>
                    <w:bCs/>
                    <w:sz w:val="26"/>
                    <w:szCs w:val="26"/>
                    <w:rtl/>
                  </w:rPr>
                  <w:t>אור תמם</w:t>
                </w:r>
                <w:r w:rsidR="003F17D5">
                  <w:rPr>
                    <w:rFonts w:ascii="Arial" w:hAnsi="Arial"/>
                    <w:b/>
                    <w:bCs/>
                    <w:sz w:val="26"/>
                    <w:szCs w:val="26"/>
                    <w:rtl/>
                  </w:rPr>
                  <w:br/>
                </w:r>
                <w:r w:rsidR="003F17D5">
                  <w:rPr>
                    <w:rFonts w:hint="cs"/>
                    <w:rtl/>
                  </w:rPr>
                  <w:t xml:space="preserve">ע"י עו"ד אילן תמם </w:t>
                </w:r>
              </w:sdtContent>
            </w:sdt>
          </w:p>
        </w:tc>
        <w:tc>
          <w:tcPr>
            <w:tcW w:w="3727" w:type="dxa"/>
            <w:tcBorders>
              <w:top w:val="nil"/>
              <w:left w:val="nil"/>
              <w:bottom w:val="nil"/>
              <w:right w:val="nil"/>
            </w:tcBorders>
          </w:tcPr>
          <w:p w:rsidRPr="00523084" w:rsidR="00870F64" w:rsidRDefault="00870F64">
            <w:pPr>
              <w:jc w:val="right"/>
              <w:rPr>
                <w:rFonts w:ascii="Arial" w:hAnsi="Arial"/>
                <w:b/>
                <w:bCs/>
                <w:sz w:val="26"/>
                <w:szCs w:val="26"/>
              </w:rPr>
            </w:pPr>
          </w:p>
        </w:tc>
      </w:tr>
      <w:tr w:rsidRPr="00523084" w:rsidR="00870F64">
        <w:trPr>
          <w:trHeight w:val="355"/>
          <w:jc w:val="center"/>
        </w:trPr>
        <w:tc>
          <w:tcPr>
            <w:tcW w:w="852" w:type="dxa"/>
            <w:tcBorders>
              <w:top w:val="nil"/>
              <w:left w:val="nil"/>
              <w:bottom w:val="nil"/>
              <w:right w:val="nil"/>
            </w:tcBorders>
          </w:tcPr>
          <w:p w:rsidRPr="00523084" w:rsidR="00870F64" w:rsidRDefault="00870F64">
            <w:pPr>
              <w:jc w:val="both"/>
              <w:rPr>
                <w:rFonts w:ascii="Arial" w:hAnsi="Arial"/>
                <w:b/>
                <w:bCs/>
                <w:sz w:val="28"/>
                <w:szCs w:val="28"/>
                <w:rtl/>
              </w:rPr>
            </w:pPr>
          </w:p>
        </w:tc>
        <w:tc>
          <w:tcPr>
            <w:tcW w:w="4241" w:type="dxa"/>
            <w:tcBorders>
              <w:top w:val="nil"/>
              <w:left w:val="nil"/>
              <w:bottom w:val="nil"/>
              <w:right w:val="nil"/>
            </w:tcBorders>
          </w:tcPr>
          <w:p w:rsidRPr="00523084" w:rsidR="00870F64" w:rsidRDefault="00870F64">
            <w:pPr>
              <w:jc w:val="both"/>
              <w:rPr>
                <w:b/>
                <w:bCs/>
                <w:sz w:val="26"/>
                <w:szCs w:val="26"/>
                <w:rtl/>
              </w:rPr>
            </w:pPr>
          </w:p>
        </w:tc>
        <w:tc>
          <w:tcPr>
            <w:tcW w:w="3727" w:type="dxa"/>
            <w:tcBorders>
              <w:top w:val="nil"/>
              <w:left w:val="nil"/>
              <w:bottom w:val="nil"/>
              <w:right w:val="nil"/>
            </w:tcBorders>
          </w:tcPr>
          <w:p w:rsidRPr="00523084" w:rsidR="00870F64" w:rsidP="00942F8C" w:rsidRDefault="0051562C">
            <w:pPr>
              <w:rPr>
                <w:rFonts w:ascii="Arial" w:hAnsi="Arial"/>
                <w:b/>
                <w:bCs/>
                <w:sz w:val="26"/>
                <w:szCs w:val="26"/>
              </w:rPr>
            </w:pPr>
            <w:r w:rsidRPr="00523084">
              <w:rPr>
                <w:rFonts w:ascii="Arial" w:hAnsi="Arial"/>
                <w:b/>
                <w:bCs/>
                <w:sz w:val="26"/>
                <w:szCs w:val="26"/>
                <w:rtl/>
              </w:rPr>
              <w:t>ה</w:t>
            </w:r>
            <w:sdt>
              <w:sdtPr>
                <w:rPr>
                  <w:rtl/>
                </w:rPr>
                <w:alias w:val="1184"/>
                <w:tag w:val="1184"/>
                <w:id w:val="-790980808"/>
                <w:text w:multiLine="1"/>
              </w:sdtPr>
              <w:sdtEndPr/>
              <w:sdtContent>
                <w:r>
                  <w:rPr>
                    <w:rFonts w:ascii="Arial" w:hAnsi="Arial"/>
                    <w:b/>
                    <w:bCs/>
                    <w:sz w:val="26"/>
                    <w:szCs w:val="26"/>
                    <w:rtl/>
                  </w:rPr>
                  <w:t>נתבעים</w:t>
                </w:r>
              </w:sdtContent>
            </w:sdt>
          </w:p>
        </w:tc>
      </w:tr>
    </w:tbl>
    <w:p w:rsidRPr="00523084" w:rsidR="00870F64" w:rsidRDefault="00870F64">
      <w:pPr>
        <w:rPr>
          <w:rtl/>
        </w:rPr>
      </w:pPr>
    </w:p>
    <w:p w:rsidRPr="00523084" w:rsidR="00870F64" w:rsidRDefault="00870F64">
      <w:pPr>
        <w:rPr>
          <w:rtl/>
        </w:rPr>
      </w:pPr>
    </w:p>
    <w:tbl>
      <w:tblPr>
        <w:tblStyle w:val="a5"/>
        <w:bidiVisual/>
        <w:tblW w:w="8820" w:type="dxa"/>
        <w:jc w:val="center"/>
        <w:tblLook w:val="01E0" w:firstRow="1" w:lastRow="1" w:firstColumn="1" w:lastColumn="1" w:noHBand="0" w:noVBand="0"/>
      </w:tblPr>
      <w:tblGrid>
        <w:gridCol w:w="8820"/>
      </w:tblGrid>
      <w:tr w:rsidRPr="00523084" w:rsidR="00870F64">
        <w:trPr>
          <w:trHeight w:val="355"/>
          <w:jc w:val="center"/>
        </w:trPr>
        <w:tc>
          <w:tcPr>
            <w:tcW w:w="8820" w:type="dxa"/>
            <w:tcBorders>
              <w:top w:val="nil"/>
              <w:left w:val="nil"/>
              <w:bottom w:val="nil"/>
              <w:right w:val="nil"/>
            </w:tcBorders>
          </w:tcPr>
          <w:p w:rsidRPr="00523084" w:rsidR="00870F64" w:rsidP="00EF23EC" w:rsidRDefault="00EF23EC">
            <w:pPr>
              <w:jc w:val="center"/>
              <w:rPr>
                <w:rFonts w:ascii="Arial" w:hAnsi="Arial"/>
                <w:sz w:val="28"/>
                <w:szCs w:val="28"/>
                <w:u w:val="single"/>
                <w:rtl/>
              </w:rPr>
            </w:pPr>
            <w:r w:rsidRPr="00523084">
              <w:rPr>
                <w:rFonts w:hint="cs" w:ascii="Arial" w:hAnsi="Arial"/>
                <w:b/>
                <w:bCs/>
                <w:sz w:val="28"/>
                <w:szCs w:val="28"/>
                <w:u w:val="single"/>
                <w:rtl/>
              </w:rPr>
              <w:t>פסק</w:t>
            </w:r>
            <w:r w:rsidRPr="00523084" w:rsidR="0051562C">
              <w:rPr>
                <w:rFonts w:ascii="Arial" w:hAnsi="Arial"/>
                <w:b/>
                <w:bCs/>
                <w:sz w:val="28"/>
                <w:szCs w:val="28"/>
                <w:u w:val="single"/>
                <w:rtl/>
              </w:rPr>
              <w:t xml:space="preserve"> דין</w:t>
            </w:r>
          </w:p>
        </w:tc>
      </w:tr>
    </w:tbl>
    <w:p w:rsidRPr="00523084" w:rsidR="00870F64" w:rsidP="00523084" w:rsidRDefault="00870F64">
      <w:pPr>
        <w:spacing w:line="360" w:lineRule="auto"/>
        <w:rPr>
          <w:rFonts w:ascii="Arial" w:hAnsi="Arial"/>
          <w:sz w:val="26"/>
          <w:szCs w:val="26"/>
          <w:rtl/>
        </w:rPr>
      </w:pPr>
    </w:p>
    <w:p w:rsidR="00D761E1" w:rsidP="00D761E1" w:rsidRDefault="00D761E1">
      <w:pPr>
        <w:spacing w:line="360" w:lineRule="auto"/>
        <w:rPr>
          <w:sz w:val="26"/>
          <w:szCs w:val="26"/>
          <w:rtl/>
        </w:rPr>
      </w:pPr>
    </w:p>
    <w:p w:rsidR="00D761E1" w:rsidP="00D761E1" w:rsidRDefault="00D761E1">
      <w:pPr>
        <w:spacing w:line="360" w:lineRule="auto"/>
        <w:rPr>
          <w:sz w:val="26"/>
          <w:szCs w:val="26"/>
          <w:rtl/>
        </w:rPr>
      </w:pPr>
    </w:p>
    <w:p w:rsidR="00D761E1" w:rsidP="00D761E1" w:rsidRDefault="00D761E1">
      <w:pPr>
        <w:spacing w:line="360" w:lineRule="auto"/>
        <w:rPr>
          <w:sz w:val="26"/>
          <w:szCs w:val="26"/>
          <w:rtl/>
        </w:rPr>
      </w:pPr>
    </w:p>
    <w:p w:rsidR="00D761E1" w:rsidP="00D761E1" w:rsidRDefault="00D761E1">
      <w:pPr>
        <w:numPr>
          <w:ilvl w:val="0"/>
          <w:numId w:val="7"/>
        </w:numPr>
        <w:spacing w:line="360" w:lineRule="auto"/>
        <w:rPr>
          <w:sz w:val="26"/>
          <w:szCs w:val="26"/>
          <w:rtl/>
        </w:rPr>
      </w:pPr>
      <w:r>
        <w:rPr>
          <w:rFonts w:hint="cs"/>
          <w:sz w:val="26"/>
          <w:szCs w:val="26"/>
          <w:rtl/>
        </w:rPr>
        <w:t xml:space="preserve">תביעה  ע"ס 200,000 ₪ לפיצוי בגין הפרת הסכם שנחתם בין הצדדים  ביום 3.3.16. </w:t>
      </w:r>
    </w:p>
    <w:p w:rsidR="00D761E1" w:rsidP="00D761E1" w:rsidRDefault="00D761E1">
      <w:pPr>
        <w:spacing w:line="360" w:lineRule="auto"/>
        <w:ind w:left="720"/>
        <w:rPr>
          <w:sz w:val="26"/>
          <w:szCs w:val="26"/>
        </w:rPr>
      </w:pPr>
    </w:p>
    <w:p w:rsidR="00D761E1" w:rsidP="00D761E1" w:rsidRDefault="00D761E1">
      <w:pPr>
        <w:numPr>
          <w:ilvl w:val="0"/>
          <w:numId w:val="7"/>
        </w:numPr>
        <w:spacing w:line="360" w:lineRule="auto"/>
        <w:rPr>
          <w:sz w:val="26"/>
          <w:szCs w:val="26"/>
        </w:rPr>
      </w:pPr>
      <w:r>
        <w:rPr>
          <w:rFonts w:hint="cs"/>
          <w:sz w:val="26"/>
          <w:szCs w:val="26"/>
          <w:rtl/>
        </w:rPr>
        <w:t>הרקע להגשת התביעה:</w:t>
      </w:r>
    </w:p>
    <w:p w:rsidR="00D761E1" w:rsidP="00D761E1" w:rsidRDefault="00D761E1">
      <w:pPr>
        <w:spacing w:line="360" w:lineRule="auto"/>
        <w:ind w:left="720"/>
        <w:rPr>
          <w:sz w:val="26"/>
          <w:szCs w:val="26"/>
        </w:rPr>
      </w:pPr>
      <w:r>
        <w:rPr>
          <w:rFonts w:hint="cs"/>
          <w:sz w:val="26"/>
          <w:szCs w:val="26"/>
          <w:rtl/>
        </w:rPr>
        <w:t xml:space="preserve">התובע, אסף חמו ,  בעל עסק להפקת נשפי סיום לתלמידי תיכון בבתי ספר שונים בארץ. הנתבעת העיירה הפקות נ.א. בע"מ מחזיקה מתחם אירועים הנקרא "פטיט קסטל" המצוי ברעננה. </w:t>
      </w:r>
    </w:p>
    <w:p w:rsidR="00D761E1" w:rsidP="00D761E1" w:rsidRDefault="00D761E1">
      <w:pPr>
        <w:spacing w:line="360" w:lineRule="auto"/>
        <w:ind w:left="720"/>
        <w:rPr>
          <w:sz w:val="26"/>
          <w:szCs w:val="26"/>
          <w:rtl/>
        </w:rPr>
      </w:pPr>
      <w:r>
        <w:rPr>
          <w:rFonts w:hint="cs"/>
          <w:sz w:val="26"/>
          <w:szCs w:val="26"/>
          <w:rtl/>
        </w:rPr>
        <w:t xml:space="preserve">ביום 3.3.16 נחתם הסכם בין התובע לנתבעת לפיו התחייבה הנתבעת להשכיר לתובע המקום בכדי להפיק נשף סיום בית ספר תיכון ביום 16.6.16.  דמי השכירות נקבעו בגובה 7,800 ₪ כולל מע"מ.  (ההסכם צורף כנספח א' לכתב התביעה). </w:t>
      </w:r>
    </w:p>
    <w:p w:rsidR="00D761E1" w:rsidP="00D761E1" w:rsidRDefault="00D761E1">
      <w:pPr>
        <w:spacing w:line="360" w:lineRule="auto"/>
        <w:ind w:left="720"/>
        <w:rPr>
          <w:sz w:val="26"/>
          <w:szCs w:val="26"/>
          <w:rtl/>
        </w:rPr>
      </w:pPr>
      <w:r>
        <w:rPr>
          <w:rFonts w:hint="cs"/>
          <w:sz w:val="26"/>
          <w:szCs w:val="26"/>
          <w:rtl/>
        </w:rPr>
        <w:t xml:space="preserve">לטענת התובע הנתבעת הפרה ההסכם, הוא נאלץ למצוא מקום חלופי  בעלות של 25,000 ₪ לערב, כן נגרמו לו נזקים נוספים ומשכך הוגשה התביעה בגין פיצוי מוסכם על הפרת ההסכם בסך 100,000 ₪, נזק ישיר על סך 50,000 ₪ וכן נזק תדמיתי על סך 50,000 ₪. </w:t>
      </w:r>
    </w:p>
    <w:p w:rsidR="00D761E1" w:rsidP="00D761E1" w:rsidRDefault="00D761E1">
      <w:pPr>
        <w:spacing w:line="360" w:lineRule="auto"/>
        <w:ind w:left="720"/>
        <w:rPr>
          <w:sz w:val="26"/>
          <w:szCs w:val="26"/>
        </w:rPr>
      </w:pPr>
    </w:p>
    <w:p w:rsidRPr="00CD771F" w:rsidR="00D761E1" w:rsidP="00D761E1" w:rsidRDefault="00D761E1">
      <w:pPr>
        <w:numPr>
          <w:ilvl w:val="0"/>
          <w:numId w:val="7"/>
        </w:numPr>
        <w:spacing w:line="360" w:lineRule="auto"/>
        <w:rPr>
          <w:b/>
          <w:bCs/>
          <w:sz w:val="26"/>
          <w:szCs w:val="26"/>
          <w:u w:val="single"/>
        </w:rPr>
      </w:pPr>
      <w:r w:rsidRPr="00CD771F">
        <w:rPr>
          <w:rFonts w:hint="cs"/>
          <w:b/>
          <w:bCs/>
          <w:sz w:val="26"/>
          <w:szCs w:val="26"/>
          <w:u w:val="single"/>
          <w:rtl/>
        </w:rPr>
        <w:t>טענות הצדדים:</w:t>
      </w:r>
    </w:p>
    <w:p w:rsidR="00D761E1" w:rsidP="003F17D5" w:rsidRDefault="00D761E1">
      <w:pPr>
        <w:spacing w:line="360" w:lineRule="auto"/>
        <w:ind w:left="720"/>
        <w:rPr>
          <w:sz w:val="26"/>
          <w:szCs w:val="26"/>
        </w:rPr>
      </w:pPr>
      <w:r>
        <w:rPr>
          <w:rFonts w:hint="cs"/>
          <w:sz w:val="26"/>
          <w:szCs w:val="26"/>
          <w:rtl/>
        </w:rPr>
        <w:t xml:space="preserve">התובע טען שלאחר החתימה על ההסכם הוא החל לקדם האירוע. נשלחו הזמנות ונרכש ציוד. ביום 14.6.16 הודיעו לו הנתבעים, ניל בן אמו ואור תמם שהינם בעלי הנתבעת שהאירוע לא יוכל להתקיים שכן המקום הושכר לאחרים. התובע ביקש מהנתבעים שיכבדו את ההסכם אולם הם לא הסכימו והוא נאלץ למצוא מקום אחר בהתראה קצרה. נציגי התלמידים ובית הספר הגיבו בצורה קשה להודעת התובע בדבר שינוי המקום, והאמון שניתן בו נסדק. </w:t>
      </w:r>
    </w:p>
    <w:p w:rsidR="00D761E1" w:rsidP="00D761E1" w:rsidRDefault="00D761E1">
      <w:pPr>
        <w:spacing w:line="360" w:lineRule="auto"/>
        <w:ind w:left="720"/>
        <w:rPr>
          <w:sz w:val="26"/>
          <w:szCs w:val="26"/>
        </w:rPr>
      </w:pPr>
      <w:r>
        <w:rPr>
          <w:rFonts w:hint="cs"/>
          <w:sz w:val="26"/>
          <w:szCs w:val="26"/>
          <w:rtl/>
        </w:rPr>
        <w:t xml:space="preserve">יש לחייב נתבעים 1 ו2 שכן הפרו עימו ההסכם. ויש להרים את מסך ההתאגדות ולייחס את חובות החברה גם לנתבע מס' 2. </w:t>
      </w:r>
    </w:p>
    <w:p w:rsidR="00D761E1" w:rsidP="00D761E1" w:rsidRDefault="00D761E1">
      <w:pPr>
        <w:spacing w:line="360" w:lineRule="auto"/>
        <w:ind w:left="720"/>
        <w:rPr>
          <w:sz w:val="26"/>
          <w:szCs w:val="26"/>
          <w:rtl/>
        </w:rPr>
      </w:pPr>
      <w:r>
        <w:rPr>
          <w:rFonts w:hint="cs"/>
          <w:sz w:val="26"/>
          <w:szCs w:val="26"/>
          <w:rtl/>
        </w:rPr>
        <w:t xml:space="preserve">באשר לנתבע מס 3 – אור תמם,  הוא שחתם על ההסכם מול התובע. </w:t>
      </w:r>
    </w:p>
    <w:p w:rsidR="00D761E1" w:rsidP="00D761E1" w:rsidRDefault="00D761E1">
      <w:pPr>
        <w:spacing w:line="360" w:lineRule="auto"/>
        <w:ind w:left="720"/>
        <w:rPr>
          <w:sz w:val="26"/>
          <w:szCs w:val="26"/>
          <w:rtl/>
        </w:rPr>
      </w:pPr>
    </w:p>
    <w:p w:rsidR="00D761E1" w:rsidP="00D761E1" w:rsidRDefault="00D761E1">
      <w:pPr>
        <w:spacing w:line="360" w:lineRule="auto"/>
        <w:ind w:left="720"/>
        <w:rPr>
          <w:sz w:val="26"/>
          <w:szCs w:val="26"/>
          <w:rtl/>
        </w:rPr>
      </w:pPr>
    </w:p>
    <w:p w:rsidRPr="00CD771F" w:rsidR="00D761E1" w:rsidP="00D761E1" w:rsidRDefault="00D761E1">
      <w:pPr>
        <w:numPr>
          <w:ilvl w:val="0"/>
          <w:numId w:val="7"/>
        </w:numPr>
        <w:spacing w:line="360" w:lineRule="auto"/>
        <w:rPr>
          <w:sz w:val="26"/>
          <w:szCs w:val="26"/>
          <w:u w:val="single"/>
        </w:rPr>
      </w:pPr>
      <w:r w:rsidRPr="00CD771F">
        <w:rPr>
          <w:rFonts w:hint="cs"/>
          <w:sz w:val="26"/>
          <w:szCs w:val="26"/>
          <w:u w:val="single"/>
          <w:rtl/>
        </w:rPr>
        <w:t>טענות נתבעים מס ' 1-2:</w:t>
      </w:r>
    </w:p>
    <w:p w:rsidR="00D761E1" w:rsidP="00D761E1" w:rsidRDefault="00D761E1">
      <w:pPr>
        <w:spacing w:line="360" w:lineRule="auto"/>
        <w:ind w:left="720"/>
        <w:rPr>
          <w:sz w:val="26"/>
          <w:szCs w:val="26"/>
        </w:rPr>
      </w:pPr>
      <w:r>
        <w:rPr>
          <w:rFonts w:hint="cs"/>
          <w:sz w:val="26"/>
          <w:szCs w:val="26"/>
          <w:rtl/>
        </w:rPr>
        <w:t>ביום 19.11.14 הוקמה נתבעת מס' 1 אשר נתבע מס' 2, ניל בן אמו (להלן: "</w:t>
      </w:r>
      <w:r>
        <w:rPr>
          <w:rFonts w:hint="cs"/>
          <w:b/>
          <w:bCs/>
          <w:sz w:val="26"/>
          <w:szCs w:val="26"/>
          <w:rtl/>
        </w:rPr>
        <w:t>ניל</w:t>
      </w:r>
      <w:r>
        <w:rPr>
          <w:rFonts w:hint="cs"/>
          <w:sz w:val="26"/>
          <w:szCs w:val="26"/>
          <w:rtl/>
        </w:rPr>
        <w:t>")  וכן נתבע מס' 3 אור תמם (להלן: "</w:t>
      </w:r>
      <w:r>
        <w:rPr>
          <w:rFonts w:hint="cs"/>
          <w:b/>
          <w:bCs/>
          <w:sz w:val="26"/>
          <w:szCs w:val="26"/>
          <w:rtl/>
        </w:rPr>
        <w:t>אור</w:t>
      </w:r>
      <w:r>
        <w:rPr>
          <w:rFonts w:hint="cs"/>
          <w:sz w:val="26"/>
          <w:szCs w:val="26"/>
          <w:rtl/>
        </w:rPr>
        <w:t xml:space="preserve">") ניהלו אותה גם יחד. </w:t>
      </w:r>
    </w:p>
    <w:p w:rsidR="00D761E1" w:rsidP="00D761E1" w:rsidRDefault="00D761E1">
      <w:pPr>
        <w:spacing w:line="360" w:lineRule="auto"/>
        <w:ind w:left="720"/>
        <w:rPr>
          <w:sz w:val="26"/>
          <w:szCs w:val="26"/>
          <w:rtl/>
        </w:rPr>
      </w:pPr>
      <w:r>
        <w:rPr>
          <w:rFonts w:hint="cs"/>
          <w:sz w:val="26"/>
          <w:szCs w:val="26"/>
          <w:rtl/>
        </w:rPr>
        <w:t xml:space="preserve">ביום 1.3.16 נחתם הסכם היפרדות בין הצדדים. בהתאם להסכם אור העביר את כל מניותיו לניל. הנתבעת היא שהמשיכה לנהל את מתחם האירועים "פטיט קסטל". (ההסכם היפרדות צורף כנספח א' לתצהיר הנתבעים). </w:t>
      </w:r>
    </w:p>
    <w:p w:rsidR="00D761E1" w:rsidP="00D761E1" w:rsidRDefault="00D761E1">
      <w:pPr>
        <w:spacing w:line="360" w:lineRule="auto"/>
        <w:ind w:left="720"/>
        <w:rPr>
          <w:sz w:val="26"/>
          <w:szCs w:val="26"/>
          <w:rtl/>
        </w:rPr>
      </w:pPr>
      <w:r>
        <w:rPr>
          <w:rFonts w:hint="cs"/>
          <w:sz w:val="26"/>
          <w:szCs w:val="26"/>
          <w:rtl/>
        </w:rPr>
        <w:t xml:space="preserve">בהסכם נקבע שאור יוכל בהודעה מראש לשכור את המקום בימים א' – ד'. </w:t>
      </w:r>
    </w:p>
    <w:p w:rsidR="00D761E1" w:rsidP="00D761E1" w:rsidRDefault="00D761E1">
      <w:pPr>
        <w:spacing w:line="360" w:lineRule="auto"/>
        <w:ind w:left="720"/>
        <w:rPr>
          <w:sz w:val="26"/>
          <w:szCs w:val="26"/>
          <w:rtl/>
        </w:rPr>
      </w:pPr>
      <w:r>
        <w:rPr>
          <w:rFonts w:hint="cs"/>
          <w:sz w:val="26"/>
          <w:szCs w:val="26"/>
          <w:rtl/>
        </w:rPr>
        <w:t xml:space="preserve">אור התחייב על דעתו בהסכם עם התובע. בחודש מאי הודיע אור לניל שחתם על ההסכם ההתקשרות לאירוע ביום 16.6.16 (יום ה' בשבוע), וזאת בניגוד להסכם ההיפרדות.  ניל הודיע לאור שלא ניתן לקיים האירוע באותו מועד שכן קיימת התחייבות מחודש אוקטובר 2015 להשכרת המקום לרשות צד ג' בסופי שבוע כולל יום חמישי. </w:t>
      </w:r>
    </w:p>
    <w:p w:rsidR="00D761E1" w:rsidP="00D761E1" w:rsidRDefault="00D761E1">
      <w:pPr>
        <w:spacing w:line="360" w:lineRule="auto"/>
        <w:ind w:left="720"/>
        <w:rPr>
          <w:sz w:val="26"/>
          <w:szCs w:val="26"/>
          <w:rtl/>
        </w:rPr>
      </w:pPr>
      <w:r>
        <w:rPr>
          <w:rFonts w:hint="cs"/>
          <w:sz w:val="26"/>
          <w:szCs w:val="26"/>
          <w:rtl/>
        </w:rPr>
        <w:t xml:space="preserve">הנתבעים אינם חייבים שכן לא הסכימו ולא התחייבו כלל ועיקר. התחייבות אור נעשתה שלא כדין, שלא בהרשאה ולא בידיעה. כן טענו שאין כל מקום להרמת מסך. </w:t>
      </w:r>
    </w:p>
    <w:p w:rsidR="00D761E1" w:rsidP="003F17D5" w:rsidRDefault="00D761E1">
      <w:pPr>
        <w:spacing w:line="360" w:lineRule="auto"/>
        <w:ind w:left="720"/>
        <w:rPr>
          <w:sz w:val="26"/>
          <w:szCs w:val="26"/>
        </w:rPr>
      </w:pPr>
    </w:p>
    <w:p w:rsidRPr="00CD771F" w:rsidR="00D761E1" w:rsidP="00D761E1" w:rsidRDefault="00D761E1">
      <w:pPr>
        <w:numPr>
          <w:ilvl w:val="0"/>
          <w:numId w:val="7"/>
        </w:numPr>
        <w:spacing w:line="360" w:lineRule="auto"/>
        <w:rPr>
          <w:sz w:val="26"/>
          <w:szCs w:val="26"/>
          <w:u w:val="single"/>
        </w:rPr>
      </w:pPr>
      <w:r w:rsidRPr="00CD771F">
        <w:rPr>
          <w:rFonts w:hint="cs"/>
          <w:sz w:val="26"/>
          <w:szCs w:val="26"/>
          <w:u w:val="single"/>
          <w:rtl/>
        </w:rPr>
        <w:t xml:space="preserve">טענות נתבע מס' 3 – </w:t>
      </w:r>
    </w:p>
    <w:p w:rsidR="00D761E1" w:rsidP="00D761E1" w:rsidRDefault="00D761E1">
      <w:pPr>
        <w:spacing w:line="360" w:lineRule="auto"/>
        <w:ind w:left="720"/>
        <w:rPr>
          <w:sz w:val="26"/>
          <w:szCs w:val="26"/>
        </w:rPr>
      </w:pPr>
      <w:r>
        <w:rPr>
          <w:rFonts w:hint="cs"/>
          <w:sz w:val="26"/>
          <w:szCs w:val="26"/>
          <w:rtl/>
        </w:rPr>
        <w:lastRenderedPageBreak/>
        <w:t xml:space="preserve">בהסכם ההיפרדות נקבע שהוא יהיה רשאי להשכיר את המתחם "פטיט קסטל" בתיאום עם ניל. הוא קיבל אישור מניל וביום 3.3.16 נחתם ההסכם  עם התובע, הכל באישור ניל. כשבוע לפני האירוע הודיע לו ניל שלא ניתן לקיים האירוע באותו היום. </w:t>
      </w:r>
    </w:p>
    <w:p w:rsidR="00D761E1" w:rsidP="00D761E1" w:rsidRDefault="00D761E1">
      <w:pPr>
        <w:spacing w:line="360" w:lineRule="auto"/>
        <w:ind w:left="720"/>
        <w:rPr>
          <w:sz w:val="26"/>
          <w:szCs w:val="26"/>
          <w:rtl/>
        </w:rPr>
      </w:pPr>
      <w:r>
        <w:rPr>
          <w:rFonts w:hint="cs"/>
          <w:sz w:val="26"/>
          <w:szCs w:val="26"/>
          <w:rtl/>
        </w:rPr>
        <w:t xml:space="preserve">מספר ימים לפני האירוע התקיימה פגישה שנכחו בה התובע ואף ניל ואבא שלו. בפגישה הציע ניל לתובע הצעה כספית. </w:t>
      </w:r>
    </w:p>
    <w:p w:rsidR="00D761E1" w:rsidP="003F17D5" w:rsidRDefault="00D761E1">
      <w:pPr>
        <w:spacing w:line="360" w:lineRule="auto"/>
        <w:ind w:left="720"/>
        <w:rPr>
          <w:sz w:val="26"/>
          <w:szCs w:val="26"/>
          <w:rtl/>
        </w:rPr>
      </w:pPr>
    </w:p>
    <w:p w:rsidRPr="00CD771F" w:rsidR="00D761E1" w:rsidP="00D761E1" w:rsidRDefault="00D761E1">
      <w:pPr>
        <w:numPr>
          <w:ilvl w:val="0"/>
          <w:numId w:val="7"/>
        </w:numPr>
        <w:spacing w:line="360" w:lineRule="auto"/>
        <w:rPr>
          <w:b/>
          <w:bCs/>
          <w:sz w:val="26"/>
          <w:szCs w:val="26"/>
          <w:u w:val="single"/>
        </w:rPr>
      </w:pPr>
      <w:r w:rsidRPr="00CD771F">
        <w:rPr>
          <w:rFonts w:hint="cs"/>
          <w:b/>
          <w:bCs/>
          <w:sz w:val="26"/>
          <w:szCs w:val="26"/>
          <w:u w:val="single"/>
          <w:rtl/>
        </w:rPr>
        <w:t>דיון והכרעה:</w:t>
      </w:r>
    </w:p>
    <w:p w:rsidR="00D761E1" w:rsidP="00D761E1" w:rsidRDefault="00D761E1">
      <w:pPr>
        <w:spacing w:line="360" w:lineRule="auto"/>
        <w:ind w:left="720"/>
        <w:rPr>
          <w:sz w:val="26"/>
          <w:szCs w:val="26"/>
        </w:rPr>
      </w:pPr>
      <w:r>
        <w:rPr>
          <w:rFonts w:hint="cs"/>
          <w:sz w:val="26"/>
          <w:szCs w:val="26"/>
          <w:rtl/>
        </w:rPr>
        <w:t xml:space="preserve">מהראיות שהוצגו בפני עולה שקודם להעלת ההסכם על הכתב ב3.3.16 הוסכם בין התובע לבין הנתבעת באמצעות אור תמם שהיה אחראי על שיווק אירועים בנתבעת על עריכת האירוע ביום 16.6.15. </w:t>
      </w:r>
    </w:p>
    <w:p w:rsidR="00D761E1" w:rsidP="00D761E1" w:rsidRDefault="00D761E1">
      <w:pPr>
        <w:spacing w:line="360" w:lineRule="auto"/>
        <w:ind w:left="720"/>
        <w:rPr>
          <w:sz w:val="26"/>
          <w:szCs w:val="26"/>
          <w:rtl/>
        </w:rPr>
      </w:pPr>
      <w:r>
        <w:rPr>
          <w:rFonts w:hint="cs"/>
          <w:sz w:val="26"/>
          <w:szCs w:val="26"/>
          <w:rtl/>
        </w:rPr>
        <w:t xml:space="preserve">התובע העיד בענין זה שסגר עם אור על התאריך כבר בחודשים אוקטובר – נובמבר (ראה עמ' 7 שורות 2-3). לאחר מכן נחתם ההסכם. </w:t>
      </w:r>
    </w:p>
    <w:p w:rsidR="00D761E1" w:rsidP="00D761E1" w:rsidRDefault="00D761E1">
      <w:pPr>
        <w:spacing w:line="360" w:lineRule="auto"/>
        <w:ind w:left="720"/>
        <w:rPr>
          <w:sz w:val="26"/>
          <w:szCs w:val="26"/>
          <w:rtl/>
        </w:rPr>
      </w:pPr>
      <w:r>
        <w:rPr>
          <w:rFonts w:hint="cs"/>
          <w:sz w:val="26"/>
          <w:szCs w:val="26"/>
          <w:rtl/>
        </w:rPr>
        <w:t>גם העדה מטעמו  של התובע הגב' עמית קלעי העידה שנפגשו לראות האולם כחצי שנה לפני האירוע, בסביבות נובמבר. (ראה עמ' 11 שורות 18-21).</w:t>
      </w:r>
    </w:p>
    <w:p w:rsidR="00D761E1" w:rsidP="00D761E1" w:rsidRDefault="00D761E1">
      <w:pPr>
        <w:spacing w:line="360" w:lineRule="auto"/>
        <w:ind w:left="720"/>
        <w:rPr>
          <w:sz w:val="26"/>
          <w:szCs w:val="26"/>
          <w:rtl/>
        </w:rPr>
      </w:pPr>
      <w:r>
        <w:rPr>
          <w:rFonts w:hint="cs"/>
          <w:sz w:val="26"/>
          <w:szCs w:val="26"/>
          <w:rtl/>
        </w:rPr>
        <w:t xml:space="preserve">גם מעדות אור תמם עלה שהאירוע נסגר בעל פה כשבעה חודשים לפניו ורק לאחר מכן נחתם ההסכם (ראה עמ' 20 שורות 2-4). </w:t>
      </w:r>
    </w:p>
    <w:p w:rsidR="00D761E1" w:rsidP="00D761E1" w:rsidRDefault="00D761E1">
      <w:pPr>
        <w:spacing w:line="360" w:lineRule="auto"/>
        <w:ind w:left="720"/>
        <w:rPr>
          <w:sz w:val="26"/>
          <w:szCs w:val="26"/>
          <w:rtl/>
        </w:rPr>
      </w:pPr>
      <w:r>
        <w:rPr>
          <w:rFonts w:hint="cs"/>
          <w:sz w:val="26"/>
          <w:szCs w:val="26"/>
          <w:rtl/>
        </w:rPr>
        <w:t xml:space="preserve">כן כאשר הוצג לו מסרון מהתובע ביום 6.1.15 לפיו נסגר מועד האירוע הוא העיד שאכן מועד זה נסגר. (ראה עמ' 17 שורות 11-12). </w:t>
      </w:r>
    </w:p>
    <w:p w:rsidR="00D761E1" w:rsidP="00D761E1" w:rsidRDefault="00D761E1">
      <w:pPr>
        <w:spacing w:line="360" w:lineRule="auto"/>
        <w:ind w:left="720"/>
        <w:rPr>
          <w:sz w:val="26"/>
          <w:szCs w:val="26"/>
          <w:rtl/>
        </w:rPr>
      </w:pPr>
    </w:p>
    <w:p w:rsidR="00D761E1" w:rsidP="003F17D5" w:rsidRDefault="00D761E1">
      <w:pPr>
        <w:spacing w:line="360" w:lineRule="auto"/>
        <w:ind w:left="708"/>
        <w:rPr>
          <w:sz w:val="26"/>
          <w:szCs w:val="26"/>
          <w:rtl/>
        </w:rPr>
      </w:pPr>
      <w:r>
        <w:rPr>
          <w:rFonts w:hint="cs"/>
          <w:sz w:val="26"/>
          <w:szCs w:val="26"/>
          <w:rtl/>
        </w:rPr>
        <w:t xml:space="preserve">מהאמור לעיל עולה שהוסכם על עריכת האירוע ביום 16.6.15 בין התובע לנתבעת עוד טרם נפרדו דרכי השותפים, ובשלב בו יכול היה אור תמם לסגור מועדי אירועים מצד הנתבעת. </w:t>
      </w:r>
    </w:p>
    <w:p w:rsidR="00D761E1" w:rsidP="003F17D5" w:rsidRDefault="00D761E1">
      <w:pPr>
        <w:spacing w:line="360" w:lineRule="auto"/>
        <w:ind w:left="708"/>
        <w:rPr>
          <w:sz w:val="26"/>
          <w:szCs w:val="26"/>
          <w:rtl/>
        </w:rPr>
      </w:pPr>
      <w:r>
        <w:rPr>
          <w:rFonts w:hint="cs"/>
          <w:sz w:val="26"/>
          <w:szCs w:val="26"/>
          <w:rtl/>
        </w:rPr>
        <w:t>העובדה שההסכם הועלה על הכתב לאחר פרידת השותפים אינה משנה מסקנתי שהנתבעת התחייבה עוד קודם לכן בעל פה באמצעות אור מול התובע לערוך אירוע נשף סיום שנה באולם פטיט קסטל.</w:t>
      </w:r>
    </w:p>
    <w:p w:rsidR="00D761E1" w:rsidP="003F17D5" w:rsidRDefault="00D761E1">
      <w:pPr>
        <w:spacing w:line="360" w:lineRule="auto"/>
        <w:ind w:left="708"/>
        <w:rPr>
          <w:sz w:val="26"/>
          <w:szCs w:val="26"/>
          <w:rtl/>
        </w:rPr>
      </w:pPr>
      <w:r>
        <w:rPr>
          <w:rFonts w:hint="cs"/>
          <w:sz w:val="26"/>
          <w:szCs w:val="26"/>
          <w:rtl/>
        </w:rPr>
        <w:t>לא הוכח בפני שכאשר עבדו השותפים יחדיו לא יכול היה אור לסגור תאריכי אירועים, אלא היפוכו של דבר, עלה מעדות כולם שזה היה תפקידו.</w:t>
      </w:r>
    </w:p>
    <w:p w:rsidR="00D761E1" w:rsidP="003F17D5" w:rsidRDefault="00D761E1">
      <w:pPr>
        <w:spacing w:line="360" w:lineRule="auto"/>
        <w:ind w:left="708"/>
        <w:rPr>
          <w:sz w:val="26"/>
          <w:szCs w:val="26"/>
          <w:rtl/>
        </w:rPr>
      </w:pPr>
    </w:p>
    <w:p w:rsidR="00D761E1" w:rsidP="003F17D5" w:rsidRDefault="00D761E1">
      <w:pPr>
        <w:spacing w:line="360" w:lineRule="auto"/>
        <w:ind w:left="708"/>
        <w:rPr>
          <w:sz w:val="26"/>
          <w:szCs w:val="26"/>
          <w:rtl/>
        </w:rPr>
      </w:pPr>
      <w:r>
        <w:rPr>
          <w:rFonts w:hint="cs"/>
          <w:sz w:val="26"/>
          <w:szCs w:val="26"/>
          <w:rtl/>
        </w:rPr>
        <w:lastRenderedPageBreak/>
        <w:t xml:space="preserve">הנתבעת הפרה הסכם זה שכן ביום 16.6.15 לא נערך במקום אירוע של התובע. לטענת הנתבעת בסוף כל שבוע המקום מושכר לקבוצה בשם "דישס" המפעילה את המקום בכל סוף שבוע, כולל ימי חמישי ולא ניתן היה לבטל עימם המועד. </w:t>
      </w:r>
    </w:p>
    <w:p w:rsidR="00D761E1" w:rsidP="00D761E1" w:rsidRDefault="00D761E1">
      <w:pPr>
        <w:spacing w:line="360" w:lineRule="auto"/>
        <w:ind w:left="720"/>
        <w:rPr>
          <w:sz w:val="26"/>
          <w:szCs w:val="26"/>
          <w:rtl/>
        </w:rPr>
      </w:pPr>
    </w:p>
    <w:p w:rsidR="00D761E1" w:rsidP="00D761E1" w:rsidRDefault="00D761E1">
      <w:pPr>
        <w:spacing w:line="360" w:lineRule="auto"/>
        <w:ind w:left="720"/>
        <w:rPr>
          <w:sz w:val="26"/>
          <w:szCs w:val="26"/>
          <w:rtl/>
        </w:rPr>
      </w:pPr>
      <w:r>
        <w:rPr>
          <w:rFonts w:hint="cs"/>
          <w:sz w:val="26"/>
          <w:szCs w:val="26"/>
          <w:rtl/>
        </w:rPr>
        <w:t>השאלה העומדת לדיון הינה האם יש לחייב גם את נתבעים 2 ו3. :</w:t>
      </w:r>
    </w:p>
    <w:p w:rsidR="00D761E1" w:rsidP="00D761E1" w:rsidRDefault="00D761E1">
      <w:pPr>
        <w:spacing w:line="360" w:lineRule="auto"/>
        <w:ind w:left="720"/>
        <w:rPr>
          <w:sz w:val="26"/>
          <w:szCs w:val="26"/>
          <w:rtl/>
        </w:rPr>
      </w:pPr>
    </w:p>
    <w:p w:rsidRPr="00CD771F" w:rsidR="00D761E1" w:rsidP="00D761E1" w:rsidRDefault="00D761E1">
      <w:pPr>
        <w:numPr>
          <w:ilvl w:val="0"/>
          <w:numId w:val="7"/>
        </w:numPr>
        <w:spacing w:line="360" w:lineRule="auto"/>
        <w:rPr>
          <w:sz w:val="26"/>
          <w:szCs w:val="26"/>
          <w:u w:val="single"/>
        </w:rPr>
      </w:pPr>
      <w:r w:rsidRPr="00CD771F">
        <w:rPr>
          <w:rFonts w:hint="cs"/>
          <w:sz w:val="26"/>
          <w:szCs w:val="26"/>
          <w:u w:val="single"/>
          <w:rtl/>
        </w:rPr>
        <w:t xml:space="preserve">באשר לנתבע מס' 2- </w:t>
      </w:r>
    </w:p>
    <w:p w:rsidR="00D761E1" w:rsidP="00D761E1" w:rsidRDefault="00D761E1">
      <w:pPr>
        <w:spacing w:line="360" w:lineRule="auto"/>
        <w:ind w:left="720"/>
        <w:rPr>
          <w:sz w:val="26"/>
          <w:szCs w:val="26"/>
        </w:rPr>
      </w:pPr>
      <w:r>
        <w:rPr>
          <w:rFonts w:hint="cs"/>
          <w:sz w:val="26"/>
          <w:szCs w:val="26"/>
          <w:rtl/>
        </w:rPr>
        <w:t>התובע אינו טוען שהנתבע התחייב מולו אישית או שההסכם נערך עימו. טענותיו של התובע  בכתב תביעתו טוען שמאחר והינו בעלי הנתבעת  והוא בחר משיקוליו להפר ההסכם, יש מקום להרים את מסך ההתאגדות ולתבוע אותו באופן אישי על חובות החברה שכן הוא בחר משיקוליו להפר את ההסכם.</w:t>
      </w:r>
    </w:p>
    <w:p w:rsidR="00D761E1" w:rsidP="00D761E1" w:rsidRDefault="00D761E1">
      <w:pPr>
        <w:spacing w:line="360" w:lineRule="auto"/>
        <w:ind w:left="720"/>
        <w:rPr>
          <w:sz w:val="26"/>
          <w:szCs w:val="26"/>
          <w:rtl/>
        </w:rPr>
      </w:pPr>
    </w:p>
    <w:p w:rsidR="00D761E1" w:rsidP="00D761E1" w:rsidRDefault="00D761E1">
      <w:pPr>
        <w:spacing w:line="360" w:lineRule="auto"/>
        <w:ind w:left="720"/>
        <w:rPr>
          <w:sz w:val="26"/>
          <w:szCs w:val="26"/>
          <w:rtl/>
        </w:rPr>
      </w:pPr>
      <w:r>
        <w:rPr>
          <w:rFonts w:hint="cs"/>
          <w:sz w:val="26"/>
          <w:szCs w:val="26"/>
          <w:rtl/>
        </w:rPr>
        <w:t xml:space="preserve">בסיכומיו אינו מעלה התובע כל טענה בדבר הרמת מסך כנגד נתבע זה. </w:t>
      </w:r>
    </w:p>
    <w:p w:rsidR="003F17D5" w:rsidP="00D761E1" w:rsidRDefault="003F17D5">
      <w:pPr>
        <w:spacing w:line="360" w:lineRule="auto"/>
        <w:ind w:left="360"/>
        <w:rPr>
          <w:sz w:val="26"/>
          <w:szCs w:val="26"/>
          <w:rtl/>
        </w:rPr>
      </w:pPr>
    </w:p>
    <w:p w:rsidR="003F17D5" w:rsidP="00D761E1" w:rsidRDefault="003F17D5">
      <w:pPr>
        <w:spacing w:line="360" w:lineRule="auto"/>
        <w:ind w:left="360"/>
        <w:rPr>
          <w:sz w:val="26"/>
          <w:szCs w:val="26"/>
          <w:rtl/>
        </w:rPr>
      </w:pPr>
    </w:p>
    <w:p w:rsidR="00D761E1" w:rsidP="003F17D5" w:rsidRDefault="00D761E1">
      <w:pPr>
        <w:spacing w:line="360" w:lineRule="auto"/>
        <w:ind w:left="708"/>
        <w:rPr>
          <w:sz w:val="26"/>
          <w:szCs w:val="26"/>
        </w:rPr>
      </w:pPr>
      <w:r>
        <w:rPr>
          <w:rFonts w:hint="cs"/>
          <w:sz w:val="26"/>
          <w:szCs w:val="26"/>
          <w:rtl/>
        </w:rPr>
        <w:t>סעיף 6 לחוק החברות התשנ"ט – 1999 קובע :</w:t>
      </w:r>
    </w:p>
    <w:p w:rsidRPr="003F17D5" w:rsidR="00D761E1" w:rsidP="00D761E1" w:rsidRDefault="00D761E1">
      <w:pPr>
        <w:spacing w:line="360" w:lineRule="auto"/>
        <w:ind w:left="360"/>
        <w:rPr>
          <w:sz w:val="26"/>
          <w:szCs w:val="26"/>
          <w:rtl/>
        </w:rPr>
      </w:pPr>
    </w:p>
    <w:p w:rsidR="00D761E1" w:rsidP="00D761E1" w:rsidRDefault="00D761E1">
      <w:pPr>
        <w:pStyle w:val="P000"/>
        <w:spacing w:before="72"/>
        <w:ind w:left="1021" w:right="1134" w:hanging="1021"/>
        <w:rPr>
          <w:rStyle w:val="default"/>
          <w:rFonts w:cs="FrankRuehl"/>
          <w:noProof w:val="0"/>
          <w:rtl/>
        </w:rPr>
      </w:pPr>
      <w:r>
        <w:rPr>
          <w:rStyle w:val="big-number"/>
          <w:rFonts w:hint="cs" w:cs="Miriam"/>
          <w:noProof w:val="0"/>
          <w:szCs w:val="32"/>
          <w:rtl/>
        </w:rPr>
        <w:t>.</w:t>
      </w:r>
      <w:r>
        <w:rPr>
          <w:rStyle w:val="big-number"/>
          <w:rFonts w:hint="cs" w:cs="Miriam"/>
          <w:noProof w:val="0"/>
          <w:szCs w:val="32"/>
          <w:rtl/>
        </w:rPr>
        <w:tab/>
      </w:r>
      <w:r>
        <w:rPr>
          <w:rStyle w:val="default"/>
          <w:rFonts w:hint="cs" w:cs="FrankRuehl"/>
          <w:noProof w:val="0"/>
          <w:rtl/>
        </w:rPr>
        <w:t xml:space="preserve"> (א)</w:t>
      </w:r>
      <w:r>
        <w:rPr>
          <w:rStyle w:val="default"/>
          <w:rFonts w:hint="cs" w:cs="FrankRuehl"/>
          <w:noProof w:val="0"/>
          <w:rtl/>
        </w:rPr>
        <w:tab/>
        <w:t>(1)</w:t>
      </w:r>
      <w:r>
        <w:rPr>
          <w:rStyle w:val="default"/>
          <w:rFonts w:hint="cs" w:cs="FrankRuehl"/>
          <w:noProof w:val="0"/>
          <w:rtl/>
        </w:rPr>
        <w:tab/>
        <w:t>בית משפט רשאי לייחס חוב של חברה לבעל מניה בה, אם מצא כי בנסיבות הענין צודק ונכון לעשות כן, במקרים החריגים שבהם השימוש באישיות המשפטית הנפרדת נעשה באחד מאלה:</w:t>
      </w:r>
    </w:p>
    <w:p w:rsidR="00D761E1" w:rsidP="00D761E1" w:rsidRDefault="00D761E1">
      <w:pPr>
        <w:pStyle w:val="P000"/>
        <w:spacing w:before="72"/>
        <w:ind w:left="1474" w:right="1134"/>
        <w:rPr>
          <w:rStyle w:val="default"/>
          <w:rFonts w:cs="FrankRuehl"/>
          <w:noProof w:val="0"/>
          <w:rtl/>
        </w:rPr>
      </w:pPr>
      <w:r>
        <w:rPr>
          <w:rStyle w:val="default"/>
          <w:rFonts w:hint="cs" w:cs="FrankRuehl"/>
          <w:noProof w:val="0"/>
          <w:rtl/>
        </w:rPr>
        <w:t>(א)</w:t>
      </w:r>
      <w:r>
        <w:rPr>
          <w:rStyle w:val="default"/>
          <w:rFonts w:hint="cs" w:cs="FrankRuehl"/>
          <w:noProof w:val="0"/>
          <w:rtl/>
        </w:rPr>
        <w:tab/>
        <w:t>באופן שיש בו כדי להונות אדם או לקפח נושה של החברה;</w:t>
      </w:r>
    </w:p>
    <w:p w:rsidR="00D761E1" w:rsidP="00D761E1" w:rsidRDefault="00D761E1">
      <w:pPr>
        <w:pStyle w:val="P000"/>
        <w:spacing w:before="72"/>
        <w:ind w:left="1474" w:right="1134"/>
        <w:rPr>
          <w:rStyle w:val="default"/>
          <w:rFonts w:cs="FrankRuehl"/>
          <w:noProof w:val="0"/>
          <w:rtl/>
        </w:rPr>
      </w:pPr>
      <w:r>
        <w:rPr>
          <w:rStyle w:val="default"/>
          <w:rFonts w:hint="cs" w:cs="FrankRuehl"/>
          <w:noProof w:val="0"/>
          <w:rtl/>
        </w:rPr>
        <w:t>(ב)</w:t>
      </w:r>
      <w:r>
        <w:rPr>
          <w:rStyle w:val="default"/>
          <w:rFonts w:hint="cs" w:cs="FrankRuehl"/>
          <w:noProof w:val="0"/>
          <w:rtl/>
        </w:rPr>
        <w:tab/>
        <w:t>באופן הפוגע בתכלית החברה ותוך נטילת סיכון בלתי סביר באשר ליכולתה לפרוע את חובותיה,</w:t>
      </w:r>
    </w:p>
    <w:p w:rsidR="00D761E1" w:rsidP="003F17D5" w:rsidRDefault="00D761E1">
      <w:pPr>
        <w:spacing w:line="360" w:lineRule="auto"/>
        <w:ind w:left="708"/>
        <w:rPr>
          <w:szCs w:val="26"/>
          <w:rtl/>
          <w:lang w:eastAsia="he-IL"/>
        </w:rPr>
      </w:pPr>
      <w:r>
        <w:rPr>
          <w:rStyle w:val="default"/>
          <w:rFonts w:hint="cs" w:cs="FrankRuehl"/>
          <w:szCs w:val="26"/>
          <w:rtl/>
        </w:rPr>
        <w:t>ובלבד שבעל המניה היה מודע לשימוש כאמור, ובשים</w:t>
      </w:r>
      <w:r>
        <w:rPr>
          <w:rFonts w:hint="cs" w:cs="FrankRuehl"/>
          <w:sz w:val="26"/>
          <w:szCs w:val="26"/>
          <w:rtl/>
          <w:lang w:eastAsia="he-IL"/>
        </w:rPr>
        <w:t xml:space="preserve"> לב לאחזקותיו ולמילוי חובותיו כלפי החברה לפי סעיפים 192 ו-193 ובשים לב ליכולת החברה לפרוע את חובותיה.</w:t>
      </w:r>
    </w:p>
    <w:p w:rsidR="00D761E1" w:rsidP="00D761E1" w:rsidRDefault="00D761E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021" w:right="1134"/>
        <w:jc w:val="both"/>
        <w:rPr>
          <w:rFonts w:cs="FrankRuehl"/>
          <w:sz w:val="26"/>
          <w:szCs w:val="26"/>
          <w:rtl/>
          <w:lang w:eastAsia="he-IL"/>
        </w:rPr>
      </w:pPr>
      <w:r>
        <w:rPr>
          <w:rFonts w:hint="cs" w:cs="FrankRuehl"/>
          <w:sz w:val="26"/>
          <w:szCs w:val="26"/>
          <w:rtl/>
          <w:lang w:eastAsia="he-IL"/>
        </w:rPr>
        <w:t>(2)</w:t>
      </w:r>
      <w:r>
        <w:rPr>
          <w:rFonts w:hint="cs" w:cs="FrankRuehl"/>
          <w:sz w:val="26"/>
          <w:szCs w:val="26"/>
          <w:rtl/>
          <w:lang w:eastAsia="he-IL"/>
        </w:rPr>
        <w:tab/>
        <w:t>לענין סעיף קטן זה, יראו אדם כמודע לשימוש כאמור בפסקה (1)(א) או (ב) גם אם חשד בדבר טיב ההתנהגות או בדבר אפשרות קיום הנסיבות, שגרמו לשימוש כאמור, אך נמנע מלבררן, למעט אם נהג ברשלנות בלבד.</w:t>
      </w:r>
    </w:p>
    <w:p w:rsidR="00D761E1" w:rsidP="003F17D5" w:rsidRDefault="00D761E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708" w:right="1134" w:hanging="141"/>
        <w:jc w:val="both"/>
        <w:rPr>
          <w:rFonts w:cs="FrankRuehl"/>
          <w:sz w:val="26"/>
          <w:szCs w:val="26"/>
          <w:rtl/>
          <w:lang w:eastAsia="he-IL"/>
        </w:rPr>
      </w:pPr>
      <w:r>
        <w:rPr>
          <w:rFonts w:hint="cs" w:cs="FrankRuehl"/>
          <w:sz w:val="26"/>
          <w:szCs w:val="26"/>
          <w:rtl/>
          <w:lang w:eastAsia="he-IL"/>
        </w:rPr>
        <w:tab/>
        <w:t>(ב)</w:t>
      </w:r>
      <w:r>
        <w:rPr>
          <w:rFonts w:hint="cs" w:cs="FrankRuehl"/>
          <w:sz w:val="26"/>
          <w:szCs w:val="26"/>
          <w:rtl/>
          <w:lang w:eastAsia="he-IL"/>
        </w:rPr>
        <w:tab/>
        <w:t>בית משפט רשאי לייחס תכונה, זכות או חובה של בעל מניה לחברה או זכות של החברה לבעל מניה בה, אם מצא כי בנסיבות הענין, צודק ונכון לעשות כן בהתחשב בכוונת הדין או ההסכם החלים על הענין הנדון לפניו.</w:t>
      </w:r>
    </w:p>
    <w:p w:rsidR="00D761E1" w:rsidP="003F17D5" w:rsidRDefault="00D761E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708" w:right="1134" w:hanging="708"/>
        <w:jc w:val="both"/>
        <w:rPr>
          <w:rFonts w:cs="FrankRuehl"/>
          <w:sz w:val="26"/>
          <w:szCs w:val="26"/>
          <w:rtl/>
          <w:lang w:eastAsia="he-IL"/>
        </w:rPr>
      </w:pPr>
      <w:r>
        <w:rPr>
          <w:rFonts w:hint="cs" w:cs="FrankRuehl"/>
          <w:sz w:val="26"/>
          <w:szCs w:val="26"/>
          <w:rtl/>
          <w:lang w:eastAsia="he-IL"/>
        </w:rPr>
        <w:tab/>
        <w:t>(ג)</w:t>
      </w:r>
      <w:r>
        <w:rPr>
          <w:rFonts w:hint="cs" w:cs="FrankRuehl"/>
          <w:sz w:val="26"/>
          <w:szCs w:val="26"/>
          <w:rtl/>
          <w:lang w:eastAsia="he-IL"/>
        </w:rPr>
        <w:tab/>
        <w:t xml:space="preserve">בית משפט רשאי להשעות זכותו של בעל מניה לפירעון חובו מאת החברה עד לאחר שהחברה פרעה במלואן את כל התחייבויותיה כלפי נושים אחרים של החברה, </w:t>
      </w:r>
      <w:r>
        <w:rPr>
          <w:rFonts w:hint="cs" w:cs="FrankRuehl"/>
          <w:sz w:val="26"/>
          <w:szCs w:val="26"/>
          <w:rtl/>
          <w:lang w:eastAsia="he-IL"/>
        </w:rPr>
        <w:lastRenderedPageBreak/>
        <w:t>אם מצא כי התקיימו התנאים לייחוס חוב של החברה לבעל המניה כאמור בסעיף קטן (א).</w:t>
      </w:r>
    </w:p>
    <w:p w:rsidR="00D761E1" w:rsidP="00D761E1" w:rsidRDefault="00D761E1">
      <w:pPr>
        <w:spacing w:line="360" w:lineRule="auto"/>
        <w:rPr>
          <w:sz w:val="26"/>
          <w:szCs w:val="26"/>
          <w:rtl/>
        </w:rPr>
      </w:pPr>
    </w:p>
    <w:p w:rsidR="00D761E1" w:rsidP="00D761E1" w:rsidRDefault="00D761E1">
      <w:pPr>
        <w:rPr>
          <w:rFonts w:cs="Times New Roman"/>
          <w:rtl/>
        </w:rPr>
      </w:pPr>
    </w:p>
    <w:p w:rsidR="00D761E1" w:rsidP="003F17D5" w:rsidRDefault="00D761E1">
      <w:pPr>
        <w:pStyle w:val="NormalWeb"/>
        <w:bidi/>
        <w:spacing w:line="360" w:lineRule="auto"/>
        <w:ind w:left="567"/>
        <w:rPr>
          <w:rFonts w:cs="David"/>
          <w:sz w:val="26"/>
          <w:szCs w:val="26"/>
          <w:rtl/>
        </w:rPr>
      </w:pPr>
      <w:r>
        <w:rPr>
          <w:rFonts w:hint="cs" w:cs="David"/>
          <w:sz w:val="26"/>
          <w:szCs w:val="26"/>
          <w:rtl/>
        </w:rPr>
        <w:t xml:space="preserve">הרמת המסך תתבצע אך ורק </w:t>
      </w:r>
      <w:r>
        <w:rPr>
          <w:rFonts w:hint="cs" w:cs="David"/>
          <w:b/>
          <w:bCs/>
          <w:sz w:val="26"/>
          <w:szCs w:val="26"/>
          <w:rtl/>
        </w:rPr>
        <w:t>" במקרים חריגים ומטעמים מיוחדים".</w:t>
      </w:r>
      <w:r>
        <w:rPr>
          <w:rFonts w:hint="cs" w:cs="David"/>
          <w:sz w:val="26"/>
          <w:szCs w:val="26"/>
          <w:rtl/>
        </w:rPr>
        <w:t xml:space="preserve"> יש לזכור, כי הרמת מסך, הנה החריג לכלל, אשר בו לחברה ישות משפטית נפרדת מבעלי המניות בה. כלל זה אומנם חזק, אך אינו כלל ברזל. מטרתו, היא יצירת וודאות בדבר התוצאות הנובעות מהפעלת עסק, אצל בעלי המניות, תוך מתן הגנה לפעולותיהם במסגרת התאגיד, כאמור בפסיקה ענפה.</w:t>
      </w:r>
    </w:p>
    <w:p w:rsidR="00D761E1" w:rsidP="003F17D5" w:rsidRDefault="00D761E1">
      <w:pPr>
        <w:pStyle w:val="NormalWeb"/>
        <w:bidi/>
        <w:spacing w:line="360" w:lineRule="auto"/>
        <w:ind w:left="567"/>
        <w:rPr>
          <w:rFonts w:cs="David"/>
          <w:sz w:val="26"/>
          <w:szCs w:val="26"/>
          <w:rtl/>
        </w:rPr>
      </w:pPr>
      <w:r>
        <w:rPr>
          <w:rFonts w:hint="cs" w:cs="David"/>
          <w:sz w:val="26"/>
          <w:szCs w:val="26"/>
          <w:rtl/>
        </w:rPr>
        <w:t xml:space="preserve">האם זהו המקרה המתאים להרמת המסך? איני סבורה כך. התובע לא הוכיח כלל שהחברה הנתבעת אינה יכולה לפרוע חובותיה, ומשכך לא הרים נטל ההוכחה בענין זה. </w:t>
      </w:r>
    </w:p>
    <w:p w:rsidR="00D761E1" w:rsidP="003F17D5" w:rsidRDefault="00D761E1">
      <w:pPr>
        <w:numPr>
          <w:ilvl w:val="0"/>
          <w:numId w:val="7"/>
        </w:numPr>
        <w:spacing w:line="360" w:lineRule="auto"/>
        <w:ind w:left="567"/>
        <w:rPr>
          <w:sz w:val="26"/>
          <w:szCs w:val="26"/>
        </w:rPr>
      </w:pPr>
      <w:r>
        <w:rPr>
          <w:rFonts w:hint="cs"/>
          <w:sz w:val="26"/>
          <w:szCs w:val="26"/>
          <w:rtl/>
        </w:rPr>
        <w:t xml:space="preserve">טוען התובע שהנתבע ראה עצמו אחראי ופעל יחד עם התובע למציאת מקום חלופי. מהראיות עולה שאכן הנתבע ניסה למצוא מקום אחר לתובע, שכן כאורגן הנתבעת ראה את הנתבעת כאחראית והבין שהנתבעת הפרה ההסכם עם התובע, אולם מכאן איני יכולה לקבוע שיש לחייבו אישית. </w:t>
      </w:r>
    </w:p>
    <w:p w:rsidR="00D761E1" w:rsidP="00D761E1" w:rsidRDefault="00D761E1">
      <w:pPr>
        <w:spacing w:line="360" w:lineRule="auto"/>
        <w:rPr>
          <w:sz w:val="26"/>
          <w:szCs w:val="26"/>
        </w:rPr>
      </w:pPr>
    </w:p>
    <w:p w:rsidRPr="00CD771F" w:rsidR="00CD771F" w:rsidP="00D761E1" w:rsidRDefault="00D761E1">
      <w:pPr>
        <w:numPr>
          <w:ilvl w:val="0"/>
          <w:numId w:val="7"/>
        </w:numPr>
        <w:spacing w:line="360" w:lineRule="auto"/>
        <w:rPr>
          <w:sz w:val="26"/>
          <w:szCs w:val="26"/>
        </w:rPr>
      </w:pPr>
      <w:r w:rsidRPr="00CD771F">
        <w:rPr>
          <w:rFonts w:hint="cs"/>
          <w:sz w:val="26"/>
          <w:szCs w:val="26"/>
          <w:u w:val="single"/>
          <w:rtl/>
        </w:rPr>
        <w:t>ה</w:t>
      </w:r>
      <w:r w:rsidR="00CD771F">
        <w:rPr>
          <w:rFonts w:hint="cs"/>
          <w:sz w:val="26"/>
          <w:szCs w:val="26"/>
          <w:u w:val="single"/>
          <w:rtl/>
        </w:rPr>
        <w:t>אם יש מקום לחייב את נתבע מס' 3?</w:t>
      </w:r>
    </w:p>
    <w:p w:rsidR="00CD771F" w:rsidP="00CD771F" w:rsidRDefault="00CD771F">
      <w:pPr>
        <w:spacing w:line="360" w:lineRule="auto"/>
        <w:ind w:left="720"/>
        <w:rPr>
          <w:sz w:val="26"/>
          <w:szCs w:val="26"/>
          <w:u w:val="single"/>
          <w:rtl/>
        </w:rPr>
      </w:pPr>
    </w:p>
    <w:p w:rsidR="00D761E1" w:rsidP="00CD771F" w:rsidRDefault="00D761E1">
      <w:pPr>
        <w:spacing w:line="360" w:lineRule="auto"/>
        <w:ind w:left="720"/>
        <w:rPr>
          <w:sz w:val="26"/>
          <w:szCs w:val="26"/>
        </w:rPr>
      </w:pPr>
      <w:r>
        <w:rPr>
          <w:rFonts w:hint="cs"/>
          <w:sz w:val="26"/>
          <w:szCs w:val="26"/>
          <w:rtl/>
        </w:rPr>
        <w:t xml:space="preserve"> הנתבע ערך ההסכם בהיותו אורגן החברה. לא עלה כלל מכתב התביעה שהתובע מייחס לנתבע זה התחייבות אישית כלפיו. אף מעדותו של התובע בבית המשפט התרשמתי שהיה ברור לו שההסכם נערך מול החברה, כאשר נתבע מס' 3 ייצג את החברה – הנתבעת מס' 1 כאורגן החברה. </w:t>
      </w:r>
    </w:p>
    <w:p w:rsidR="00D761E1" w:rsidP="00D761E1" w:rsidRDefault="00D761E1">
      <w:pPr>
        <w:spacing w:line="360" w:lineRule="auto"/>
        <w:ind w:left="720"/>
        <w:rPr>
          <w:sz w:val="26"/>
          <w:szCs w:val="26"/>
        </w:rPr>
      </w:pPr>
    </w:p>
    <w:p w:rsidR="00D761E1" w:rsidP="00D761E1" w:rsidRDefault="00D761E1">
      <w:pPr>
        <w:spacing w:line="360" w:lineRule="auto"/>
        <w:ind w:left="720"/>
        <w:rPr>
          <w:sz w:val="26"/>
          <w:szCs w:val="26"/>
          <w:rtl/>
        </w:rPr>
      </w:pPr>
      <w:r>
        <w:rPr>
          <w:rFonts w:hint="cs"/>
          <w:sz w:val="26"/>
          <w:szCs w:val="26"/>
          <w:rtl/>
        </w:rPr>
        <w:t xml:space="preserve">לענין הרמת המסך התובע בכתב תביעתו לא טוען להרמת מסך כנגדו. גם בסיכומיו לא מפרט התובע מדוע יש לחייב את נתבע מס' 3 באופן אישי ולא כאורגן החברה. </w:t>
      </w:r>
    </w:p>
    <w:p w:rsidR="00D761E1" w:rsidP="00D761E1" w:rsidRDefault="00D761E1">
      <w:pPr>
        <w:spacing w:line="360" w:lineRule="auto"/>
        <w:ind w:left="720"/>
        <w:rPr>
          <w:sz w:val="26"/>
          <w:szCs w:val="26"/>
          <w:rtl/>
        </w:rPr>
      </w:pPr>
    </w:p>
    <w:p w:rsidR="00D761E1" w:rsidP="00D761E1" w:rsidRDefault="00D761E1">
      <w:pPr>
        <w:spacing w:line="360" w:lineRule="auto"/>
        <w:ind w:left="720"/>
        <w:rPr>
          <w:sz w:val="26"/>
          <w:szCs w:val="26"/>
          <w:rtl/>
        </w:rPr>
      </w:pPr>
      <w:r>
        <w:rPr>
          <w:rFonts w:hint="cs"/>
          <w:sz w:val="26"/>
          <w:szCs w:val="26"/>
          <w:rtl/>
        </w:rPr>
        <w:t xml:space="preserve"> עיון בכתב התביעה המתוקן שהוגש על ידי התובע מלמד שאין כל עילת תביעה כנגד נתבע מס' 3,  אלא כל שמצוין הוא שהתובע חתם על ההסכם עם הנתבעת (באמצעות </w:t>
      </w:r>
      <w:r>
        <w:rPr>
          <w:rFonts w:hint="cs"/>
          <w:sz w:val="26"/>
          <w:szCs w:val="26"/>
          <w:rtl/>
        </w:rPr>
        <w:lastRenderedPageBreak/>
        <w:t>נתבע מס' 3). האם מכח זה ניתן לחייב הנתבע? היה על התובע לפרט עילת התביעה כנגד נתבע זה וכאשר לא עשה כן ועילות התביעה המפורטות הינן כנגד נתבעים 1 ו2 אין כל מקום לחיוב הנתבע.</w:t>
      </w:r>
    </w:p>
    <w:p w:rsidR="00D761E1" w:rsidP="00D761E1" w:rsidRDefault="00D761E1">
      <w:pPr>
        <w:spacing w:line="360" w:lineRule="auto"/>
        <w:ind w:left="720"/>
        <w:rPr>
          <w:sz w:val="26"/>
          <w:szCs w:val="26"/>
          <w:rtl/>
        </w:rPr>
      </w:pPr>
      <w:r>
        <w:rPr>
          <w:rFonts w:hint="cs"/>
          <w:sz w:val="26"/>
          <w:szCs w:val="26"/>
          <w:rtl/>
        </w:rPr>
        <w:t xml:space="preserve">עוד אוסיף שהתובע עצמו העיד שלא הגיש התביעה בתחילה כנגד נתבע מס' 3 שכן לא סבר שעליו לשאת בתשלום. (ראה עמ' 10 שורות 2-6). </w:t>
      </w:r>
    </w:p>
    <w:p w:rsidR="00D761E1" w:rsidP="00D761E1" w:rsidRDefault="00D761E1">
      <w:pPr>
        <w:spacing w:line="360" w:lineRule="auto"/>
        <w:ind w:left="720"/>
        <w:rPr>
          <w:sz w:val="26"/>
          <w:szCs w:val="26"/>
          <w:rtl/>
        </w:rPr>
      </w:pPr>
    </w:p>
    <w:p w:rsidR="00D761E1" w:rsidP="00D761E1" w:rsidRDefault="00D761E1">
      <w:pPr>
        <w:spacing w:line="360" w:lineRule="auto"/>
        <w:ind w:left="720"/>
        <w:rPr>
          <w:sz w:val="26"/>
          <w:szCs w:val="26"/>
          <w:rtl/>
        </w:rPr>
      </w:pPr>
      <w:r>
        <w:rPr>
          <w:rFonts w:hint="cs"/>
          <w:sz w:val="26"/>
          <w:szCs w:val="26"/>
          <w:rtl/>
        </w:rPr>
        <w:t xml:space="preserve">אף נתבע זה ניסה למצוא לתובע מקום חילופי לעריכת האירוע. האם מכאן למדה אני על אחריותו האישית? איני סבורה. כפי שקבעתי באשר לנתבע מס' 2, מאחר והנתבעת הפרה ההסכם עם התובע, ניסו בעליה למצוא פתרון אחר לתובע על מנת שניתן יהיה לקיים האירוע, אולם מכאן לא ניתן לקבוע שקיימת אחריות אישית של נתבע זה לפיצוי התובע. </w:t>
      </w:r>
    </w:p>
    <w:p w:rsidR="00D761E1" w:rsidP="00D761E1" w:rsidRDefault="00D761E1">
      <w:pPr>
        <w:spacing w:line="360" w:lineRule="auto"/>
        <w:rPr>
          <w:sz w:val="26"/>
          <w:szCs w:val="26"/>
          <w:rtl/>
        </w:rPr>
      </w:pPr>
    </w:p>
    <w:p w:rsidR="00D761E1" w:rsidP="003F17D5" w:rsidRDefault="00D761E1">
      <w:pPr>
        <w:spacing w:line="360" w:lineRule="auto"/>
        <w:ind w:left="708"/>
        <w:rPr>
          <w:sz w:val="26"/>
          <w:szCs w:val="26"/>
          <w:rtl/>
        </w:rPr>
      </w:pPr>
      <w:r>
        <w:rPr>
          <w:rFonts w:hint="cs"/>
          <w:sz w:val="26"/>
          <w:szCs w:val="26"/>
          <w:rtl/>
        </w:rPr>
        <w:t xml:space="preserve">למעלה מן הצורך אוסיף שאף לגופו של ענין לא הוכיח התובע תביעתו כנגד נתבע זה, שכן עלה מעדות נתבע מס' 3 מעדותו עלה שהנתבעת וניל אמו, שותפו היו מודעים להסכם זה. (ראה עמ' 17 שורות 17-21).  הוא העיד שבעת עריכת ההסכם יכול היה לסגור האירוע ביום חמישי מול התובע. הוא עשה כן ועדכן את ניל. </w:t>
      </w:r>
    </w:p>
    <w:p w:rsidR="00D761E1" w:rsidP="003F17D5" w:rsidRDefault="00D761E1">
      <w:pPr>
        <w:spacing w:line="360" w:lineRule="auto"/>
        <w:ind w:left="708"/>
        <w:rPr>
          <w:sz w:val="26"/>
          <w:szCs w:val="26"/>
          <w:rtl/>
        </w:rPr>
      </w:pPr>
    </w:p>
    <w:p w:rsidR="00D761E1" w:rsidP="003F17D5" w:rsidRDefault="00D761E1">
      <w:pPr>
        <w:spacing w:line="360" w:lineRule="auto"/>
        <w:ind w:left="708"/>
        <w:rPr>
          <w:sz w:val="26"/>
          <w:szCs w:val="26"/>
          <w:rtl/>
        </w:rPr>
      </w:pPr>
      <w:r>
        <w:rPr>
          <w:rFonts w:hint="cs"/>
          <w:sz w:val="26"/>
          <w:szCs w:val="26"/>
          <w:rtl/>
        </w:rPr>
        <w:t>לאחר מכן כאשר ראה שבאותו יום חמישי רשום אירוע של "הדישס" אמר לניל שבאותו המועד קיים האירוע של התובע. (ראה עמ' 18 שורות 28-30) .</w:t>
      </w:r>
    </w:p>
    <w:p w:rsidR="00D761E1" w:rsidP="003F17D5" w:rsidRDefault="00D761E1">
      <w:pPr>
        <w:spacing w:line="360" w:lineRule="auto"/>
        <w:ind w:left="708"/>
        <w:rPr>
          <w:sz w:val="26"/>
          <w:szCs w:val="26"/>
          <w:rtl/>
        </w:rPr>
      </w:pPr>
      <w:r>
        <w:rPr>
          <w:rFonts w:hint="cs"/>
          <w:sz w:val="26"/>
          <w:szCs w:val="26"/>
          <w:rtl/>
        </w:rPr>
        <w:t xml:space="preserve">בהמשך כאשר נפרדו דרכיהם נקבע בהסכם ההפרדות לגבי אירועים עתידיים שעליו לעדכן את ניל, אולם לגבי אירוע זה ניל כבר היה מעודכן ועל כן לא היה צורך לעדכנו. </w:t>
      </w:r>
    </w:p>
    <w:p w:rsidR="00D761E1" w:rsidP="003F17D5" w:rsidRDefault="00D761E1">
      <w:pPr>
        <w:spacing w:line="360" w:lineRule="auto"/>
        <w:ind w:left="708"/>
        <w:rPr>
          <w:sz w:val="26"/>
          <w:szCs w:val="26"/>
          <w:rtl/>
        </w:rPr>
      </w:pPr>
      <w:r>
        <w:rPr>
          <w:rFonts w:hint="cs"/>
          <w:sz w:val="26"/>
          <w:szCs w:val="26"/>
          <w:rtl/>
        </w:rPr>
        <w:t xml:space="preserve">אומנם ניל העיד מנגד  שלא ידע אודות האירוע כלל ועיקר אלא רק מספר ימים טרם עריכתו, אולם עדיין לא נסתרה עדותו של נתבע מס' 3 למרות חקירתו הנגדית. </w:t>
      </w:r>
    </w:p>
    <w:p w:rsidR="00D761E1" w:rsidP="00D761E1" w:rsidRDefault="00D761E1">
      <w:pPr>
        <w:spacing w:line="360" w:lineRule="auto"/>
        <w:rPr>
          <w:sz w:val="26"/>
          <w:szCs w:val="26"/>
          <w:rtl/>
        </w:rPr>
      </w:pPr>
    </w:p>
    <w:p w:rsidR="00D761E1" w:rsidP="003F17D5" w:rsidRDefault="00D761E1">
      <w:pPr>
        <w:spacing w:line="360" w:lineRule="auto"/>
        <w:ind w:left="708"/>
        <w:rPr>
          <w:sz w:val="26"/>
          <w:szCs w:val="26"/>
          <w:rtl/>
        </w:rPr>
      </w:pPr>
      <w:r>
        <w:rPr>
          <w:rFonts w:hint="cs"/>
          <w:sz w:val="26"/>
          <w:szCs w:val="26"/>
          <w:rtl/>
        </w:rPr>
        <w:t xml:space="preserve">כן סביר והגיוני הוא שכאשר הוא סוגר אירוע עם התובע שירשום זאת כמו שרשם את יתר האירועים על הלוח, כפי שהעיד שעשה. (ראה עמ' 17 שורה 15). </w:t>
      </w:r>
    </w:p>
    <w:p w:rsidR="00D761E1" w:rsidP="003F17D5" w:rsidRDefault="00D761E1">
      <w:pPr>
        <w:spacing w:line="360" w:lineRule="auto"/>
        <w:ind w:left="708"/>
        <w:rPr>
          <w:sz w:val="26"/>
          <w:szCs w:val="26"/>
          <w:rtl/>
        </w:rPr>
      </w:pPr>
      <w:r>
        <w:rPr>
          <w:rFonts w:hint="cs"/>
          <w:sz w:val="26"/>
          <w:szCs w:val="26"/>
          <w:rtl/>
        </w:rPr>
        <w:t xml:space="preserve">מדוע שלא יעשה כן? שוב כאשר קיבל את המסרון מהתובע בתחילת ינואר, מדוע שלא יודיע לניל ולנתבעת? לא היתה כל מניעה מצידו להודיע לנתבעת אודות אירוע זה. לא היתה כל סיבה מצידו שלא להודיע לנתבעת על אירוע זה, כאשר יודע בשלב מסוים שכל ימי חמישי מתקיים אירוע אחר אצל הנתבעת. אין זה שהנתבעת ידעה </w:t>
      </w:r>
      <w:r>
        <w:rPr>
          <w:rFonts w:hint="cs"/>
          <w:sz w:val="26"/>
          <w:szCs w:val="26"/>
          <w:rtl/>
        </w:rPr>
        <w:lastRenderedPageBreak/>
        <w:t xml:space="preserve">אף על אירוע זה, אולם בחרה מטעמה שלא להתייחס אליו לאחר שנפרדו דרכי השותפים. </w:t>
      </w:r>
    </w:p>
    <w:p w:rsidR="00D761E1" w:rsidP="00D761E1" w:rsidRDefault="00D761E1">
      <w:pPr>
        <w:spacing w:line="360" w:lineRule="auto"/>
        <w:rPr>
          <w:sz w:val="26"/>
          <w:szCs w:val="26"/>
          <w:rtl/>
        </w:rPr>
      </w:pPr>
    </w:p>
    <w:p w:rsidRPr="00CD771F" w:rsidR="00D761E1" w:rsidP="00D761E1" w:rsidRDefault="00D761E1">
      <w:pPr>
        <w:numPr>
          <w:ilvl w:val="0"/>
          <w:numId w:val="7"/>
        </w:numPr>
        <w:spacing w:line="360" w:lineRule="auto"/>
        <w:rPr>
          <w:b/>
          <w:bCs/>
          <w:sz w:val="26"/>
          <w:szCs w:val="26"/>
          <w:u w:val="single"/>
        </w:rPr>
      </w:pPr>
      <w:r w:rsidRPr="00CD771F">
        <w:rPr>
          <w:rFonts w:hint="cs"/>
          <w:b/>
          <w:bCs/>
          <w:sz w:val="26"/>
          <w:szCs w:val="26"/>
          <w:u w:val="single"/>
          <w:rtl/>
        </w:rPr>
        <w:t>מהו הנזק שנגרם לתובע כתוצאה מהפרת ההסכם?</w:t>
      </w:r>
    </w:p>
    <w:p w:rsidR="00D761E1" w:rsidP="003F17D5" w:rsidRDefault="00D761E1">
      <w:pPr>
        <w:spacing w:line="360" w:lineRule="auto"/>
        <w:ind w:left="720"/>
        <w:rPr>
          <w:sz w:val="26"/>
          <w:szCs w:val="26"/>
        </w:rPr>
      </w:pPr>
      <w:r>
        <w:rPr>
          <w:rFonts w:hint="cs"/>
          <w:sz w:val="26"/>
          <w:szCs w:val="26"/>
          <w:rtl/>
        </w:rPr>
        <w:t xml:space="preserve">התובע צירף קבלה לפיה שכר אולם אחר " סי לופט מקסים" בעלות של 25,000 ₪, (ההסכם צורף נספח ב' לתצהירו). לפי ההסכם עם הנתבעת היה על התובע לשלם סך של 7800 ₪ ומשכך יש להפחית סכום זה מהסכום ששילם למקום החלופי שכן בכל מקרה היה על התובע לשכור מקום. מכאן שהסכום ששולם על ידו ביתר עומד בגובה 17,200 ₪.  </w:t>
      </w:r>
    </w:p>
    <w:p w:rsidR="00D761E1" w:rsidP="00D761E1" w:rsidRDefault="00D761E1">
      <w:pPr>
        <w:spacing w:line="360" w:lineRule="auto"/>
        <w:ind w:left="720"/>
        <w:rPr>
          <w:sz w:val="26"/>
          <w:szCs w:val="26"/>
        </w:rPr>
      </w:pPr>
      <w:r>
        <w:rPr>
          <w:rFonts w:hint="cs"/>
          <w:sz w:val="26"/>
          <w:szCs w:val="26"/>
          <w:rtl/>
        </w:rPr>
        <w:t xml:space="preserve">בתחילה טען אור תמם ששילם סך של 14,000 ₪ לאולם החילופי אולם בבית המשפט הודה שנתן שיק מקדמה שהוחזר לידיו. (ראה עמ' 18 שורות 6-7). </w:t>
      </w:r>
    </w:p>
    <w:p w:rsidR="00D761E1" w:rsidP="00D761E1" w:rsidRDefault="00D761E1">
      <w:pPr>
        <w:spacing w:line="360" w:lineRule="auto"/>
        <w:ind w:left="720"/>
        <w:rPr>
          <w:sz w:val="26"/>
          <w:szCs w:val="26"/>
          <w:rtl/>
        </w:rPr>
      </w:pPr>
    </w:p>
    <w:p w:rsidR="00D761E1" w:rsidP="00D761E1" w:rsidRDefault="00D761E1">
      <w:pPr>
        <w:numPr>
          <w:ilvl w:val="0"/>
          <w:numId w:val="7"/>
        </w:numPr>
        <w:spacing w:line="360" w:lineRule="auto"/>
        <w:rPr>
          <w:sz w:val="26"/>
          <w:szCs w:val="26"/>
          <w:rtl/>
        </w:rPr>
      </w:pPr>
      <w:r>
        <w:rPr>
          <w:rFonts w:hint="cs"/>
          <w:sz w:val="26"/>
          <w:szCs w:val="26"/>
          <w:rtl/>
        </w:rPr>
        <w:t xml:space="preserve">האם מגיע לתובע סכום בגין פיצוי מוסכם – בהסכם נכתב שהצד המפר ישלם פיצוי מוסכם של 100,000 ₪. נראה לי שסכום זה הינו מופרז, בהתחשב בגובה ההסכם שהינו 7,800 ₪. עוד אציין שהתובע לא הביא כל ראיות לנזק שנגרם לו, כך היה יכול להביא ראיות לכך שנאלץ לשלם סכומים שונים לספקים, כאשר בכל מקרה ערך אירוע במקום אחר, כך שנזקק לספקים ממילא. </w:t>
      </w:r>
    </w:p>
    <w:p w:rsidR="00D761E1" w:rsidP="00D761E1" w:rsidRDefault="00D761E1">
      <w:pPr>
        <w:spacing w:line="360" w:lineRule="auto"/>
        <w:ind w:left="720"/>
        <w:rPr>
          <w:sz w:val="26"/>
          <w:szCs w:val="26"/>
        </w:rPr>
      </w:pPr>
    </w:p>
    <w:p w:rsidR="00D761E1" w:rsidP="00D761E1" w:rsidRDefault="00D761E1">
      <w:pPr>
        <w:spacing w:line="360" w:lineRule="auto"/>
        <w:ind w:left="720"/>
        <w:rPr>
          <w:sz w:val="26"/>
          <w:szCs w:val="26"/>
          <w:rtl/>
        </w:rPr>
      </w:pPr>
      <w:r>
        <w:rPr>
          <w:rFonts w:hint="cs"/>
          <w:sz w:val="26"/>
          <w:szCs w:val="26"/>
          <w:rtl/>
        </w:rPr>
        <w:t xml:space="preserve">מנגד אין מחלוקת שההסכם הופר.  עוד עלה מתצהירו שנציגי התלמידים וועד ההורים הגיבו בצורה קשה על הודעתו בדבר שינוי המקום והאמון שניתן בו נסדק. </w:t>
      </w:r>
    </w:p>
    <w:p w:rsidR="00D761E1" w:rsidP="00D761E1" w:rsidRDefault="00D761E1">
      <w:pPr>
        <w:spacing w:line="360" w:lineRule="auto"/>
        <w:rPr>
          <w:sz w:val="26"/>
          <w:szCs w:val="26"/>
        </w:rPr>
      </w:pPr>
    </w:p>
    <w:p w:rsidR="00D761E1" w:rsidP="003F17D5" w:rsidRDefault="00D761E1">
      <w:pPr>
        <w:spacing w:line="360" w:lineRule="auto"/>
        <w:ind w:left="708"/>
        <w:rPr>
          <w:sz w:val="26"/>
          <w:szCs w:val="26"/>
          <w:rtl/>
        </w:rPr>
      </w:pPr>
      <w:r>
        <w:rPr>
          <w:rFonts w:hint="cs"/>
          <w:sz w:val="26"/>
          <w:szCs w:val="26"/>
          <w:rtl/>
        </w:rPr>
        <w:t xml:space="preserve">התובע הסביר שתמיד דואג להכניס סעיף של פיצוי מוסכם. באשר להסכם עם המקום החילופי הסביר שמאחר והתקשר עימו יום לפני האירוע לא היה צורך בסעיף זה (ראה ע' 9 שורות 22-25). הסבר זה סביר והגיוני שכן יש לזכור שההסכם עם המקום החילופי נערך זמן קצר לפני האירוע ועל כן לא היה צורך בסעיף זה. </w:t>
      </w:r>
    </w:p>
    <w:p w:rsidR="00D761E1" w:rsidP="00D761E1" w:rsidRDefault="00D761E1">
      <w:pPr>
        <w:spacing w:line="360" w:lineRule="auto"/>
        <w:ind w:left="720"/>
        <w:rPr>
          <w:sz w:val="26"/>
          <w:szCs w:val="26"/>
        </w:rPr>
      </w:pPr>
    </w:p>
    <w:p w:rsidR="00D761E1" w:rsidP="00D761E1" w:rsidRDefault="00D761E1">
      <w:pPr>
        <w:spacing w:line="360" w:lineRule="auto"/>
        <w:ind w:left="720"/>
        <w:rPr>
          <w:sz w:val="26"/>
          <w:szCs w:val="26"/>
          <w:rtl/>
        </w:rPr>
      </w:pPr>
      <w:r>
        <w:rPr>
          <w:rFonts w:hint="cs"/>
          <w:sz w:val="26"/>
          <w:szCs w:val="26"/>
          <w:rtl/>
        </w:rPr>
        <w:t xml:space="preserve">משכך סבורני שיש מקום לחייב הנתבעת  בסך של 10,000 ₪  כפיצוי בגין הפרת ההסכם שנערך בין הצדדים. </w:t>
      </w:r>
    </w:p>
    <w:p w:rsidR="00D761E1" w:rsidP="00D761E1" w:rsidRDefault="00D761E1">
      <w:pPr>
        <w:spacing w:line="360" w:lineRule="auto"/>
        <w:ind w:left="360"/>
        <w:rPr>
          <w:sz w:val="26"/>
          <w:szCs w:val="26"/>
        </w:rPr>
      </w:pPr>
    </w:p>
    <w:p w:rsidR="00D761E1" w:rsidP="00D761E1" w:rsidRDefault="00D761E1">
      <w:pPr>
        <w:spacing w:line="360" w:lineRule="auto"/>
        <w:rPr>
          <w:sz w:val="26"/>
          <w:szCs w:val="26"/>
          <w:rtl/>
        </w:rPr>
      </w:pPr>
    </w:p>
    <w:p w:rsidR="00D761E1" w:rsidP="00D761E1" w:rsidRDefault="00D761E1">
      <w:pPr>
        <w:numPr>
          <w:ilvl w:val="0"/>
          <w:numId w:val="7"/>
        </w:numPr>
        <w:spacing w:line="360" w:lineRule="auto"/>
        <w:rPr>
          <w:sz w:val="26"/>
          <w:szCs w:val="26"/>
        </w:rPr>
      </w:pPr>
      <w:r>
        <w:rPr>
          <w:rFonts w:hint="cs"/>
          <w:sz w:val="26"/>
          <w:szCs w:val="26"/>
          <w:rtl/>
        </w:rPr>
        <w:t xml:space="preserve">האם נגרמו לתובע נזקים נוספים? התובע טען שנגרמו לו נזקים כלכליים ותדמיתיים. </w:t>
      </w:r>
    </w:p>
    <w:p w:rsidR="00D761E1" w:rsidP="00D761E1" w:rsidRDefault="00D761E1">
      <w:pPr>
        <w:spacing w:line="360" w:lineRule="auto"/>
        <w:ind w:left="720"/>
        <w:rPr>
          <w:sz w:val="26"/>
          <w:szCs w:val="26"/>
        </w:rPr>
      </w:pPr>
      <w:r>
        <w:rPr>
          <w:rFonts w:hint="cs"/>
          <w:sz w:val="26"/>
          <w:szCs w:val="26"/>
          <w:rtl/>
        </w:rPr>
        <w:t>בבית המשפט העידה הגב' עמית קלעי אולם מעדותה לא עלה כלל ועיקר שנגרם לתובע נזק כלשהוא.</w:t>
      </w:r>
    </w:p>
    <w:p w:rsidR="00D761E1" w:rsidP="00D761E1" w:rsidRDefault="00D761E1">
      <w:pPr>
        <w:spacing w:line="360" w:lineRule="auto"/>
        <w:ind w:left="720"/>
        <w:rPr>
          <w:sz w:val="26"/>
          <w:szCs w:val="26"/>
          <w:rtl/>
        </w:rPr>
      </w:pPr>
    </w:p>
    <w:p w:rsidR="00D761E1" w:rsidP="00D761E1" w:rsidRDefault="00D761E1">
      <w:pPr>
        <w:spacing w:line="360" w:lineRule="auto"/>
        <w:ind w:left="720"/>
        <w:rPr>
          <w:sz w:val="26"/>
          <w:szCs w:val="26"/>
          <w:rtl/>
        </w:rPr>
      </w:pPr>
      <w:r>
        <w:rPr>
          <w:rFonts w:hint="cs"/>
          <w:sz w:val="26"/>
          <w:szCs w:val="26"/>
          <w:rtl/>
        </w:rPr>
        <w:t>התובע לא הביא ראיות שיצביעו על ירידה בהכנסותיו, כן לא הביא לקוחות שביקשו לערוך עימו אירוע וחזרו בהם עקב האירוע נשוא התביעה, משכך לא הוכיח התובע תביעתו בענין זה.</w:t>
      </w:r>
    </w:p>
    <w:p w:rsidR="00D761E1" w:rsidP="00D761E1" w:rsidRDefault="00D761E1">
      <w:pPr>
        <w:spacing w:line="360" w:lineRule="auto"/>
        <w:ind w:left="720"/>
        <w:rPr>
          <w:sz w:val="26"/>
          <w:szCs w:val="26"/>
          <w:rtl/>
        </w:rPr>
      </w:pPr>
    </w:p>
    <w:p w:rsidR="00D761E1" w:rsidP="00D761E1" w:rsidRDefault="00D761E1">
      <w:pPr>
        <w:numPr>
          <w:ilvl w:val="0"/>
          <w:numId w:val="7"/>
        </w:numPr>
        <w:spacing w:line="360" w:lineRule="auto"/>
        <w:rPr>
          <w:sz w:val="26"/>
          <w:szCs w:val="26"/>
        </w:rPr>
      </w:pPr>
      <w:r>
        <w:rPr>
          <w:rFonts w:hint="cs"/>
          <w:sz w:val="26"/>
          <w:szCs w:val="26"/>
          <w:rtl/>
        </w:rPr>
        <w:t xml:space="preserve">לאור האמור לעיל סבורני שהסכום הכולל לפיצוי התובע עומד בגובה  10,000 ₪. </w:t>
      </w:r>
    </w:p>
    <w:p w:rsidR="00D761E1" w:rsidP="003F17D5" w:rsidRDefault="00D761E1">
      <w:pPr>
        <w:spacing w:line="360" w:lineRule="auto"/>
        <w:ind w:left="720"/>
        <w:rPr>
          <w:sz w:val="26"/>
          <w:szCs w:val="26"/>
        </w:rPr>
      </w:pPr>
      <w:r>
        <w:rPr>
          <w:rFonts w:hint="cs"/>
          <w:sz w:val="26"/>
          <w:szCs w:val="26"/>
          <w:rtl/>
        </w:rPr>
        <w:t xml:space="preserve">סוף דבר: הנתבעת תשלם לתובע סך כולל של 27,200 ₪. כן תשלם אגרת בית המשפט ושכ"ט עוד בסך 4,000 ₪. </w:t>
      </w:r>
    </w:p>
    <w:p w:rsidR="00D761E1" w:rsidP="003F17D5" w:rsidRDefault="00CD771F">
      <w:pPr>
        <w:spacing w:line="360" w:lineRule="auto"/>
        <w:ind w:left="720"/>
        <w:rPr>
          <w:sz w:val="26"/>
          <w:szCs w:val="26"/>
        </w:rPr>
      </w:pPr>
      <w:r>
        <w:rPr>
          <w:rFonts w:hint="cs"/>
          <w:sz w:val="26"/>
          <w:szCs w:val="26"/>
          <w:rtl/>
        </w:rPr>
        <w:t xml:space="preserve">בנסיבות הענין אין צו להוצאות כנגד נתבע מס' 3. </w:t>
      </w:r>
    </w:p>
    <w:p w:rsidR="00870F64" w:rsidP="00523084" w:rsidRDefault="00870F64">
      <w:pPr>
        <w:spacing w:line="360" w:lineRule="auto"/>
        <w:rPr>
          <w:rFonts w:ascii="Arial" w:hAnsi="Arial"/>
          <w:sz w:val="26"/>
          <w:szCs w:val="26"/>
          <w:rtl/>
        </w:rPr>
      </w:pPr>
    </w:p>
    <w:p w:rsidR="00CD771F" w:rsidP="00523084" w:rsidRDefault="00CD771F">
      <w:pPr>
        <w:spacing w:line="360" w:lineRule="auto"/>
        <w:rPr>
          <w:rFonts w:ascii="Arial" w:hAnsi="Arial"/>
          <w:sz w:val="26"/>
          <w:szCs w:val="26"/>
          <w:rtl/>
        </w:rPr>
      </w:pPr>
    </w:p>
    <w:p w:rsidR="00CD771F" w:rsidP="00523084" w:rsidRDefault="00CD771F">
      <w:pPr>
        <w:spacing w:line="360" w:lineRule="auto"/>
        <w:rPr>
          <w:rFonts w:ascii="Arial" w:hAnsi="Arial"/>
          <w:sz w:val="26"/>
          <w:szCs w:val="26"/>
          <w:rtl/>
        </w:rPr>
      </w:pPr>
    </w:p>
    <w:p w:rsidRPr="00523084" w:rsidR="00CD771F" w:rsidP="00523084" w:rsidRDefault="00CD771F">
      <w:pPr>
        <w:spacing w:line="360" w:lineRule="auto"/>
        <w:rPr>
          <w:rFonts w:ascii="Arial" w:hAnsi="Arial"/>
          <w:sz w:val="26"/>
          <w:szCs w:val="26"/>
          <w:rtl/>
        </w:rPr>
      </w:pPr>
    </w:p>
    <w:p w:rsidRPr="00523084" w:rsidR="00870F64" w:rsidP="00523084" w:rsidRDefault="00870F64">
      <w:pPr>
        <w:spacing w:line="360" w:lineRule="auto"/>
        <w:rPr>
          <w:rFonts w:ascii="Arial" w:hAnsi="Arial"/>
          <w:sz w:val="26"/>
          <w:szCs w:val="26"/>
          <w:rtl/>
        </w:rPr>
      </w:pPr>
    </w:p>
    <w:p w:rsidR="003F17D5" w:rsidP="003F17D5" w:rsidRDefault="0051562C">
      <w:pPr>
        <w:rPr>
          <w:rFonts w:ascii="Arial" w:hAnsi="Arial"/>
          <w:rtl/>
        </w:rPr>
      </w:pPr>
      <w:r w:rsidRPr="00523084">
        <w:rPr>
          <w:rFonts w:ascii="Arial" w:hAnsi="Arial"/>
          <w:rtl/>
        </w:rPr>
        <w:t>נית</w:t>
      </w:r>
      <w:r w:rsidRPr="00523084" w:rsidR="00523084">
        <w:rPr>
          <w:rFonts w:hint="cs" w:ascii="Arial" w:hAnsi="Arial"/>
          <w:rtl/>
        </w:rPr>
        <w:t>ן</w:t>
      </w:r>
      <w:r w:rsidRPr="00523084">
        <w:rPr>
          <w:rFonts w:ascii="Arial" w:hAnsi="Arial"/>
          <w:rtl/>
        </w:rPr>
        <w:t xml:space="preserve"> היום,  </w:t>
      </w:r>
      <w:sdt>
        <w:sdtPr>
          <w:rPr>
            <w:rtl/>
          </w:rPr>
          <w:alias w:val="1455"/>
          <w:tag w:val="1455"/>
          <w:id w:val="-1984149291"/>
          <w:text w:multiLine="1"/>
        </w:sdtPr>
        <w:sdtEndPr/>
        <w:sdtContent>
          <w:r>
            <w:rPr>
              <w:rFonts w:hint="cs" w:ascii="Arial" w:hAnsi="Arial"/>
              <w:rtl/>
            </w:rPr>
            <w:t>כ"ו ניסן תשע"ח</w:t>
          </w:r>
        </w:sdtContent>
      </w:sdt>
      <w:r w:rsidRPr="00523084">
        <w:rPr>
          <w:rFonts w:ascii="Arial" w:hAnsi="Arial"/>
          <w:rtl/>
        </w:rPr>
        <w:t xml:space="preserve"> , </w:t>
      </w:r>
      <w:r w:rsidR="003F17D5">
        <w:rPr>
          <w:rFonts w:hint="cs" w:ascii="Arial" w:hAnsi="Arial"/>
          <w:rtl/>
        </w:rPr>
        <w:t xml:space="preserve"> 11 באפריל 2018</w:t>
      </w:r>
    </w:p>
    <w:p w:rsidR="003F17D5" w:rsidP="003F17D5" w:rsidRDefault="003F17D5">
      <w:pPr>
        <w:rPr>
          <w:rFonts w:ascii="Arial" w:hAnsi="Arial"/>
          <w:rtl/>
        </w:rPr>
      </w:pPr>
    </w:p>
    <w:p w:rsidRPr="00523084" w:rsidR="00870F64" w:rsidP="003F17D5" w:rsidRDefault="003F17D5">
      <w:pPr>
        <w:rPr>
          <w:rFonts w:ascii="Arial" w:hAnsi="Arial"/>
          <w:rtl/>
        </w:rPr>
      </w:pPr>
      <w:r>
        <w:rPr>
          <w:rFonts w:hint="cs" w:ascii="Arial" w:hAnsi="Arial"/>
          <w:rtl/>
        </w:rPr>
        <w:t xml:space="preserve"> </w:t>
      </w:r>
    </w:p>
    <w:p w:rsidRPr="00523084" w:rsidR="00AE60C8" w:rsidP="00AE60C8" w:rsidRDefault="00AE60C8">
      <w:pPr>
        <w:tabs>
          <w:tab w:val="left" w:pos="1625"/>
        </w:tabs>
        <w:jc w:val="center"/>
        <w:rPr>
          <w:rtl/>
        </w:rPr>
      </w:pPr>
      <w:r w:rsidRPr="00523084">
        <w:rPr>
          <w:rFonts w:hint="cs"/>
          <w:rtl/>
        </w:rPr>
        <w:t xml:space="preserve">                                </w:t>
      </w:r>
    </w:p>
    <w:p w:rsidRPr="00523084" w:rsidR="00AE60C8" w:rsidP="00AE60C8" w:rsidRDefault="00AE60C8">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Pr="00523084" w:rsidR="00AE60C8" w:rsidP="00AE60C8" w:rsidRDefault="00AE60C8">
          <w:pPr>
            <w:tabs>
              <w:tab w:val="left" w:pos="1625"/>
            </w:tabs>
            <w:jc w:val="center"/>
          </w:pPr>
          <w:r w:rsidRPr="00523084">
            <w:rPr>
              <w:rFonts w:hint="cs"/>
              <w:rtl/>
            </w:rPr>
            <w:t xml:space="preserve">    </w:t>
          </w:r>
        </w:p>
      </w:sdtContent>
    </w:sdt>
    <w:p w:rsidRPr="00523084" w:rsidR="00A5454F" w:rsidP="00F718AF" w:rsidRDefault="00F718AF">
      <w:pPr>
        <w:tabs>
          <w:tab w:val="left" w:pos="2553"/>
        </w:tabs>
        <w:rPr>
          <w:rFonts w:ascii="Arial" w:hAnsi="Arial"/>
        </w:rPr>
      </w:pPr>
      <w:r w:rsidRPr="00523084">
        <w:rPr>
          <w:rFonts w:hint="cs"/>
          <w:rtl/>
        </w:rPr>
        <w:t xml:space="preserve">                                                                </w:t>
      </w:r>
      <w:sdt>
        <w:sdtPr>
          <w:alias w:val="MergeField"/>
          <w:tag w:val="1237"/>
        </w:sdtPr>
        <w:sdtContent>
          <w:p>
            <w:r>
              <w:drawing>
                <wp:inline distT="0" distB="0" distL="0" distR="0" wp14:editId="50D07946">
                  <wp:extent cx="2299716" cy="98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b71422444e7429d" cstate="print">
                            <a:extLst>
                              <a:ext uri="{28A0092B-C50C-407E-A947-70E740481C1C}"/>
                            </a:extLst>
                          </a:blip>
                          <a:stretch>
                            <a:fillRect/>
                          </a:stretch>
                        </pic:blipFill>
                        <pic:spPr>
                          <a:xfrm>
                            <a:off x="0" y="0"/>
                            <a:ext cx="2299716" cy="982980"/>
                          </a:xfrm>
                          <a:prstGeom prst="rect">
                            <a:avLst/>
                          </a:prstGeom>
                        </pic:spPr>
                      </pic:pic>
                    </a:graphicData>
                  </a:graphic>
                </wp:inline>
              </w:drawing>
            </w:r>
          </w:p>
        </w:sdtContent>
      </w:sdt>
    </w:p>
    <w:p w:rsidR="00A5454F" w:rsidP="00AE60C8" w:rsidRDefault="00A5454F">
      <w:pPr>
        <w:tabs>
          <w:tab w:val="left" w:pos="1625"/>
        </w:tabs>
        <w:jc w:val="center"/>
        <w:rPr>
          <w:rtl/>
        </w:rPr>
      </w:pPr>
      <w:bookmarkStart w:name="_GoBack" w:id="0"/>
      <w:bookmarkEnd w:id="0"/>
    </w:p>
    <w:sectPr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187862">
      <w:rPr>
        <w:noProof/>
        <w:rtl/>
      </w:rPr>
      <w:t>8</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187862">
      <w:rPr>
        <w:noProof/>
        <w:rtl/>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187862">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בנתניה</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187862">
          <w:pPr>
            <w:rPr>
              <w:rFonts w:cs="FrankRuehl"/>
              <w:sz w:val="28"/>
              <w:szCs w:val="28"/>
              <w:rtl/>
            </w:rPr>
          </w:pPr>
          <w:sdt>
            <w:sdtPr>
              <w:rPr>
                <w:rtl/>
              </w:rPr>
              <w:alias w:val="1170"/>
              <w:tag w:val="1170"/>
              <w:id w:val="873580151"/>
              <w:text w:multiLine="1"/>
            </w:sdtPr>
            <w:sdtEndPr/>
            <w:sdtContent>
              <w:r w:rsidR="00464E4C">
                <w:rPr>
                  <w:sz w:val="28"/>
                  <w:szCs w:val="28"/>
                  <w:rtl/>
                </w:rPr>
                <w:t>ת"א</w:t>
              </w:r>
            </w:sdtContent>
          </w:sdt>
          <w:r w:rsidR="0051562C">
            <w:rPr>
              <w:rFonts w:hint="cs" w:cs="FrankRuehl"/>
              <w:sz w:val="28"/>
              <w:szCs w:val="28"/>
              <w:rtl/>
            </w:rPr>
            <w:t xml:space="preserve"> </w:t>
          </w:r>
          <w:sdt>
            <w:sdtPr>
              <w:rPr>
                <w:rtl/>
              </w:rPr>
              <w:alias w:val="1171"/>
              <w:tag w:val="1171"/>
              <w:id w:val="910738904"/>
              <w:text w:multiLine="1"/>
            </w:sdtPr>
            <w:sdtEndPr/>
            <w:sdtContent>
              <w:r w:rsidR="00464E4C">
                <w:rPr>
                  <w:sz w:val="28"/>
                  <w:szCs w:val="28"/>
                  <w:rtl/>
                </w:rPr>
                <w:t>43430-12-16</w:t>
              </w:r>
            </w:sdtContent>
          </w:sdt>
          <w:r w:rsidR="0051562C">
            <w:rPr>
              <w:rFonts w:hint="cs" w:cs="FrankRuehl"/>
              <w:sz w:val="28"/>
              <w:szCs w:val="28"/>
              <w:rtl/>
            </w:rPr>
            <w:t xml:space="preserve"> </w:t>
          </w:r>
          <w:sdt>
            <w:sdtPr>
              <w:rPr>
                <w:rtl/>
              </w:rPr>
              <w:alias w:val="1172"/>
              <w:tag w:val="1172"/>
              <w:id w:val="1749923716"/>
              <w:text w:multiLine="1"/>
            </w:sdtPr>
            <w:sdtEndPr/>
            <w:sdtContent>
              <w:r w:rsidR="00464E4C">
                <w:rPr>
                  <w:sz w:val="28"/>
                  <w:szCs w:val="28"/>
                  <w:rtl/>
                </w:rPr>
                <w:t>חמון ואח' נ' העיירה הפקות נ.א בע"מ ואח'</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DDD04B4"/>
    <w:multiLevelType w:val="hybridMultilevel"/>
    <w:tmpl w:val="6F9E9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0354"/>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97BFF"/>
    <w:rsid w:val="000D676C"/>
    <w:rsid w:val="000E5776"/>
    <w:rsid w:val="00112056"/>
    <w:rsid w:val="0016006A"/>
    <w:rsid w:val="00186BCB"/>
    <w:rsid w:val="00187862"/>
    <w:rsid w:val="001E77B5"/>
    <w:rsid w:val="002039F6"/>
    <w:rsid w:val="002D68F5"/>
    <w:rsid w:val="00334A35"/>
    <w:rsid w:val="00337463"/>
    <w:rsid w:val="003A027F"/>
    <w:rsid w:val="003C74D6"/>
    <w:rsid w:val="003F17D5"/>
    <w:rsid w:val="004334DF"/>
    <w:rsid w:val="00464E4C"/>
    <w:rsid w:val="004F2B64"/>
    <w:rsid w:val="0051562C"/>
    <w:rsid w:val="0052227C"/>
    <w:rsid w:val="00523084"/>
    <w:rsid w:val="005C3A98"/>
    <w:rsid w:val="0064690D"/>
    <w:rsid w:val="006958A7"/>
    <w:rsid w:val="007C40F8"/>
    <w:rsid w:val="007C6F61"/>
    <w:rsid w:val="007C7991"/>
    <w:rsid w:val="00810372"/>
    <w:rsid w:val="00834D17"/>
    <w:rsid w:val="00870F64"/>
    <w:rsid w:val="008D35B7"/>
    <w:rsid w:val="008E1EC5"/>
    <w:rsid w:val="00906D9D"/>
    <w:rsid w:val="009074A1"/>
    <w:rsid w:val="009251A2"/>
    <w:rsid w:val="00942F8C"/>
    <w:rsid w:val="00A11EC9"/>
    <w:rsid w:val="00A5454F"/>
    <w:rsid w:val="00AE60C8"/>
    <w:rsid w:val="00B20868"/>
    <w:rsid w:val="00B949CB"/>
    <w:rsid w:val="00BF0FEA"/>
    <w:rsid w:val="00C075DD"/>
    <w:rsid w:val="00C842D3"/>
    <w:rsid w:val="00C863A8"/>
    <w:rsid w:val="00CD771F"/>
    <w:rsid w:val="00D63841"/>
    <w:rsid w:val="00D761E1"/>
    <w:rsid w:val="00DC081D"/>
    <w:rsid w:val="00E20138"/>
    <w:rsid w:val="00E92233"/>
    <w:rsid w:val="00EA352A"/>
    <w:rsid w:val="00EB19E0"/>
    <w:rsid w:val="00EB3D96"/>
    <w:rsid w:val="00EE1AFA"/>
    <w:rsid w:val="00EF23EC"/>
    <w:rsid w:val="00F470DB"/>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14:docId w14:val="0A2E1CC5"/>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 w:type="paragraph" w:styleId="NormalWeb">
    <w:name w:val="Normal (Web)"/>
    <w:basedOn w:val="a"/>
    <w:semiHidden/>
    <w:unhideWhenUsed/>
    <w:rsid w:val="00D761E1"/>
    <w:pPr>
      <w:bidi w:val="0"/>
      <w:spacing w:before="100" w:beforeAutospacing="1" w:after="100" w:afterAutospacing="1"/>
      <w:jc w:val="both"/>
    </w:pPr>
    <w:rPr>
      <w:rFonts w:ascii="Arial" w:hAnsi="Arial" w:cs="Arial"/>
      <w:sz w:val="22"/>
      <w:szCs w:val="22"/>
      <w:lang w:eastAsia="he-IL"/>
    </w:rPr>
  </w:style>
  <w:style w:type="character" w:customStyle="1" w:styleId="P00">
    <w:name w:val="P00 תו"/>
    <w:link w:val="P000"/>
    <w:locked/>
    <w:rsid w:val="00D761E1"/>
    <w:rPr>
      <w:noProof/>
      <w:szCs w:val="26"/>
      <w:lang w:eastAsia="he-IL"/>
    </w:rPr>
  </w:style>
  <w:style w:type="paragraph" w:customStyle="1" w:styleId="P000">
    <w:name w:val="P00"/>
    <w:link w:val="P00"/>
    <w:rsid w:val="00D761E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D761E1"/>
    <w:rPr>
      <w:rFonts w:ascii="Times New Roman" w:hAnsi="Times New Roman" w:cs="Times New Roman" w:hint="default"/>
      <w:sz w:val="26"/>
    </w:rPr>
  </w:style>
  <w:style w:type="character" w:customStyle="1" w:styleId="big-number">
    <w:name w:val="big-number"/>
    <w:rsid w:val="00D761E1"/>
    <w:rPr>
      <w:rFonts w:ascii="Times New Roman" w:hAnsi="Times New Roman" w:cs="Times New Roman" w:hint="default"/>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210385278">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eb71422444e7429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506165" w:rsidRDefault="00A95A44" w:rsidP="00A95A44">
          <w:pPr>
            <w:pStyle w:val="5A947A4CD3794C1787DFBDB7708A00784"/>
          </w:pPr>
          <w:r w:rsidRPr="00523084">
            <w:rPr>
              <w:rFonts w:hint="cs"/>
              <w:rtl/>
            </w:rPr>
            <w:t xml:space="preserve">    </w:t>
          </w:r>
        </w:p>
      </w:docPartBody>
    </w:docPart>
    <w:docPart>
      <w:docPartPr>
        <w:name w:val="74F5AD2CAC3F49419A83AA4F3CD85725"/>
        <w:category>
          <w:name w:val="כללי"/>
          <w:gallery w:val="placeholder"/>
        </w:category>
        <w:types>
          <w:type w:val="bbPlcHdr"/>
        </w:types>
        <w:behaviors>
          <w:behavior w:val="content"/>
        </w:behaviors>
        <w:guid w:val="{5D686DD7-5446-477D-9267-A9E4514AC412}"/>
      </w:docPartPr>
      <w:docPartBody>
        <w:p w:rsidR="00F729AA" w:rsidRDefault="00A95A44" w:rsidP="00A95A44">
          <w:pPr>
            <w:pStyle w:val="74F5AD2CAC3F49419A83AA4F3CD857251"/>
          </w:pPr>
          <w:r w:rsidRPr="00523084">
            <w:rPr>
              <w:rFonts w:ascii="Arial" w:hAnsi="Arial"/>
              <w:b/>
              <w:bCs/>
              <w:rtl/>
            </w:rPr>
            <w:t xml:space="preserve">שם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303435"/>
    <w:rsid w:val="00341414"/>
    <w:rsid w:val="0041073D"/>
    <w:rsid w:val="00506165"/>
    <w:rsid w:val="00845549"/>
    <w:rsid w:val="00A95A44"/>
    <w:rsid w:val="00D60258"/>
    <w:rsid w:val="00EE501F"/>
    <w:rsid w:val="00F729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5A44"/>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506165"/>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341414"/>
    <w:pPr>
      <w:bidi/>
      <w:spacing w:after="0" w:line="240" w:lineRule="auto"/>
    </w:pPr>
    <w:rPr>
      <w:rFonts w:ascii="Arial (W1)" w:eastAsia="Times New Roman" w:hAnsi="Arial (W1)" w:cs="David"/>
      <w:sz w:val="24"/>
      <w:szCs w:val="24"/>
    </w:rPr>
  </w:style>
  <w:style w:type="paragraph" w:customStyle="1" w:styleId="74F5AD2CAC3F49419A83AA4F3CD85725">
    <w:name w:val="74F5AD2CAC3F49419A83AA4F3CD85725"/>
    <w:rsid w:val="00F729AA"/>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F729AA"/>
    <w:pPr>
      <w:bidi/>
      <w:spacing w:after="0" w:line="240" w:lineRule="auto"/>
    </w:pPr>
    <w:rPr>
      <w:rFonts w:ascii="Arial (W1)" w:eastAsia="Times New Roman" w:hAnsi="Arial (W1)" w:cs="David"/>
      <w:sz w:val="24"/>
      <w:szCs w:val="24"/>
    </w:rPr>
  </w:style>
  <w:style w:type="paragraph" w:customStyle="1" w:styleId="74F5AD2CAC3F49419A83AA4F3CD857251">
    <w:name w:val="74F5AD2CAC3F49419A83AA4F3CD857251"/>
    <w:rsid w:val="00A95A44"/>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A95A44"/>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1756</Words>
  <Characters>8781</Characters>
  <Application>Microsoft Office Word</Application>
  <DocSecurity>0</DocSecurity>
  <Lines>73</Lines>
  <Paragraphs>21</Paragraphs>
  <ScaleCrop>false</ScaleCrop>
  <Company>Microsoft Corporation</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סמדר קולנדר-אברמוביץ</cp:lastModifiedBy>
  <cp:revision>28</cp:revision>
  <dcterms:created xsi:type="dcterms:W3CDTF">2012-08-06T06:15:00Z</dcterms:created>
  <dcterms:modified xsi:type="dcterms:W3CDTF">2018-04-11T12:03:00Z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