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32390E" w:rsidR="00694556" w:rsidP="004A6EE5" w:rsidRDefault="00694556">
      <w:pPr>
        <w:spacing w:line="360" w:lineRule="auto"/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4A6EE5" w:rsidR="00694556" w:rsidP="004A6EE5" w:rsidRDefault="00FE735B">
            <w:pPr>
              <w:spacing w:line="360" w:lineRule="auto"/>
              <w:rPr>
                <w:rFonts w:ascii="Arial" w:hAnsi="Arial"/>
                <w:b/>
                <w:bCs/>
                <w:sz w:val="32"/>
                <w:szCs w:val="32"/>
                <w:rtl/>
              </w:rPr>
            </w:pPr>
            <w:r w:rsidRPr="004A6EE5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>ל</w:t>
            </w:r>
            <w:r w:rsidRPr="004A6EE5" w:rsidR="00621052">
              <w:rPr>
                <w:rFonts w:ascii="Arial" w:hAnsi="Arial"/>
                <w:b/>
                <w:bCs/>
                <w:sz w:val="32"/>
                <w:szCs w:val="32"/>
                <w:rtl/>
              </w:rPr>
              <w:t>פני</w:t>
            </w:r>
            <w:r w:rsidRPr="004A6EE5" w:rsidR="00621052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P="004A6EE5" w:rsidRDefault="00694556">
            <w:pPr>
              <w:spacing w:line="360" w:lineRule="auto"/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4A6EE5" w:rsidR="00621052" w:rsidP="004A6EE5" w:rsidRDefault="00621052">
            <w:pPr>
              <w:spacing w:line="360" w:lineRule="auto"/>
              <w:rPr>
                <w:rFonts w:ascii="Arial" w:hAnsi="Arial"/>
                <w:b/>
                <w:bCs/>
                <w:sz w:val="32"/>
                <w:szCs w:val="32"/>
                <w:rtl/>
              </w:rPr>
            </w:pPr>
            <w:r w:rsidRPr="004A6EE5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>כב' ה</w:t>
            </w:r>
            <w:sdt>
              <w:sdtPr>
                <w:rPr>
                  <w:sz w:val="32"/>
                  <w:szCs w:val="32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 w:rsidRPr="004A6EE5"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שופט</w:t>
                </w:r>
              </w:sdtContent>
            </w:sdt>
            <w:r w:rsidRPr="004A6EE5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 </w:t>
            </w:r>
            <w:sdt>
              <w:sdtPr>
                <w:rPr>
                  <w:sz w:val="32"/>
                  <w:szCs w:val="32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 w:rsidRPr="004A6EE5"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דורי ספיבק</w:t>
                </w:r>
              </w:sdtContent>
            </w:sdt>
          </w:p>
          <w:p w:rsidRPr="004A6EE5" w:rsidR="00621052" w:rsidP="004A6EE5" w:rsidRDefault="00621052">
            <w:pPr>
              <w:spacing w:line="360" w:lineRule="auto"/>
              <w:rPr>
                <w:b/>
                <w:bCs/>
                <w:sz w:val="32"/>
                <w:szCs w:val="32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4A6EE5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4A6EE5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ת: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4A6EE5" w:rsidRDefault="00070B8F">
            <w:pPr>
              <w:spacing w:line="360" w:lineRule="auto"/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יוסקוביץ</w:t>
                </w:r>
              </w:sdtContent>
            </w:sdt>
          </w:p>
          <w:p w:rsidRPr="004A6EE5" w:rsidR="00621052" w:rsidP="004A6EE5" w:rsidRDefault="004A6EE5">
            <w:pPr>
              <w:spacing w:line="360" w:lineRule="auto"/>
              <w:rPr>
                <w:sz w:val="28"/>
                <w:szCs w:val="28"/>
              </w:rPr>
            </w:pPr>
            <w:r w:rsidRPr="004A6EE5">
              <w:rPr>
                <w:rFonts w:hint="cs"/>
                <w:sz w:val="28"/>
                <w:szCs w:val="28"/>
                <w:rtl/>
              </w:rPr>
              <w:t>ע"י ב"כ</w:t>
            </w:r>
            <w:r w:rsidRPr="004A6EE5" w:rsidR="00621052">
              <w:rPr>
                <w:rFonts w:hint="cs"/>
                <w:sz w:val="28"/>
                <w:szCs w:val="28"/>
                <w:rtl/>
              </w:rPr>
              <w:t xml:space="preserve"> עו"ד</w:t>
            </w:r>
            <w:r>
              <w:rPr>
                <w:rFonts w:hint="cs"/>
                <w:sz w:val="28"/>
                <w:szCs w:val="28"/>
                <w:rtl/>
              </w:rPr>
              <w:t xml:space="preserve"> נייגר רות 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4A6EE5" w:rsidRDefault="00621052">
            <w:pPr>
              <w:spacing w:before="240" w:after="240"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4A6EE5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4A6EE5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ת:</w:t>
                </w:r>
              </w:sdtContent>
            </w:sdt>
          </w:p>
        </w:tc>
        <w:tc>
          <w:tcPr>
            <w:tcW w:w="5571" w:type="dxa"/>
            <w:gridSpan w:val="2"/>
          </w:tcPr>
          <w:p w:rsidRPr="004A6EE5" w:rsidR="00621052" w:rsidP="004A6EE5" w:rsidRDefault="00070B8F">
            <w:pPr>
              <w:spacing w:line="360" w:lineRule="auto"/>
              <w:rPr>
                <w:noProof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הדר ברמה בע"מ</w:t>
                </w:r>
              </w:sdtContent>
            </w:sdt>
          </w:p>
        </w:tc>
      </w:tr>
    </w:tbl>
    <w:p w:rsidRPr="0032390E" w:rsidR="00694556" w:rsidP="004A6EE5" w:rsidRDefault="00694556">
      <w:pPr>
        <w:spacing w:line="360" w:lineRule="auto"/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P="004A6EE5" w:rsidRDefault="00005C8B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4A6EE5" w:rsidR="004A6EE5" w:rsidP="00B30530" w:rsidRDefault="004A6EE5">
      <w:pPr>
        <w:spacing w:line="360" w:lineRule="auto"/>
        <w:ind w:left="720" w:hanging="720"/>
        <w:jc w:val="both"/>
        <w:rPr>
          <w:sz w:val="32"/>
          <w:szCs w:val="28"/>
        </w:rPr>
      </w:pPr>
    </w:p>
    <w:p w:rsidRPr="004A6EE5" w:rsidR="004A6EE5" w:rsidP="004A6EE5" w:rsidRDefault="004A6EE5">
      <w:pPr>
        <w:spacing w:line="360" w:lineRule="auto"/>
        <w:ind w:left="720" w:hanging="720"/>
        <w:jc w:val="both"/>
        <w:rPr>
          <w:sz w:val="32"/>
          <w:szCs w:val="28"/>
        </w:rPr>
      </w:pPr>
      <w:r w:rsidRPr="004A6EE5">
        <w:rPr>
          <w:rFonts w:hint="cs"/>
          <w:sz w:val="32"/>
          <w:szCs w:val="28"/>
          <w:rtl/>
        </w:rPr>
        <w:t>1.</w:t>
      </w:r>
      <w:r w:rsidRPr="004A6EE5">
        <w:rPr>
          <w:rFonts w:hint="cs"/>
          <w:sz w:val="32"/>
          <w:szCs w:val="28"/>
          <w:rtl/>
        </w:rPr>
        <w:tab/>
        <w:t xml:space="preserve">ביום </w:t>
      </w:r>
      <w:r>
        <w:rPr>
          <w:rFonts w:hint="cs"/>
          <w:sz w:val="32"/>
          <w:szCs w:val="28"/>
          <w:rtl/>
        </w:rPr>
        <w:t xml:space="preserve">28/06/2017 </w:t>
      </w:r>
      <w:r w:rsidRPr="004A6EE5">
        <w:rPr>
          <w:rFonts w:hint="cs"/>
          <w:sz w:val="32"/>
          <w:szCs w:val="28"/>
          <w:rtl/>
        </w:rPr>
        <w:t>הגיש</w:t>
      </w:r>
      <w:r>
        <w:rPr>
          <w:rFonts w:hint="cs"/>
          <w:sz w:val="32"/>
          <w:szCs w:val="28"/>
          <w:rtl/>
        </w:rPr>
        <w:t>ה</w:t>
      </w:r>
      <w:r w:rsidRPr="004A6EE5">
        <w:rPr>
          <w:rFonts w:hint="cs"/>
          <w:sz w:val="32"/>
          <w:szCs w:val="28"/>
          <w:rtl/>
        </w:rPr>
        <w:t xml:space="preserve"> התובע</w:t>
      </w:r>
      <w:r>
        <w:rPr>
          <w:rFonts w:hint="cs"/>
          <w:sz w:val="32"/>
          <w:szCs w:val="28"/>
          <w:rtl/>
        </w:rPr>
        <w:t>ת</w:t>
      </w:r>
      <w:r w:rsidRPr="004A6EE5">
        <w:rPr>
          <w:rFonts w:hint="cs"/>
          <w:sz w:val="32"/>
          <w:szCs w:val="28"/>
          <w:rtl/>
        </w:rPr>
        <w:t xml:space="preserve"> תביעה נגד הנתבעת בשל זכויות המגיעות ל</w:t>
      </w:r>
      <w:r>
        <w:rPr>
          <w:rFonts w:hint="cs"/>
          <w:sz w:val="32"/>
          <w:szCs w:val="28"/>
          <w:rtl/>
        </w:rPr>
        <w:t>ה</w:t>
      </w:r>
      <w:r w:rsidRPr="004A6EE5">
        <w:rPr>
          <w:rFonts w:hint="cs"/>
          <w:sz w:val="32"/>
          <w:szCs w:val="28"/>
          <w:rtl/>
        </w:rPr>
        <w:t xml:space="preserve"> עקב עבודת</w:t>
      </w:r>
      <w:r>
        <w:rPr>
          <w:rFonts w:hint="cs"/>
          <w:sz w:val="32"/>
          <w:szCs w:val="28"/>
          <w:rtl/>
        </w:rPr>
        <w:t>ה</w:t>
      </w:r>
      <w:r w:rsidRPr="004A6EE5">
        <w:rPr>
          <w:rFonts w:hint="cs"/>
          <w:sz w:val="32"/>
          <w:szCs w:val="28"/>
          <w:rtl/>
        </w:rPr>
        <w:t xml:space="preserve"> אצל הנתבעת וסיומה.</w:t>
      </w:r>
    </w:p>
    <w:p w:rsidRPr="004A6EE5" w:rsidR="004A6EE5" w:rsidP="00B30530" w:rsidRDefault="004A6EE5">
      <w:pPr>
        <w:spacing w:line="360" w:lineRule="auto"/>
        <w:ind w:left="720" w:hanging="720"/>
        <w:jc w:val="both"/>
        <w:rPr>
          <w:sz w:val="32"/>
          <w:szCs w:val="28"/>
          <w:rtl/>
        </w:rPr>
      </w:pPr>
    </w:p>
    <w:p w:rsidRPr="004A6EE5" w:rsidR="004A6EE5" w:rsidP="004A6EE5" w:rsidRDefault="004A6EE5">
      <w:pPr>
        <w:spacing w:line="360" w:lineRule="auto"/>
        <w:ind w:left="720" w:hanging="720"/>
        <w:jc w:val="both"/>
        <w:rPr>
          <w:sz w:val="32"/>
          <w:szCs w:val="28"/>
        </w:rPr>
      </w:pPr>
      <w:r w:rsidRPr="004A6EE5">
        <w:rPr>
          <w:rFonts w:hint="cs"/>
          <w:sz w:val="32"/>
          <w:szCs w:val="28"/>
          <w:rtl/>
        </w:rPr>
        <w:t>2.</w:t>
      </w:r>
      <w:r w:rsidRPr="004A6EE5">
        <w:rPr>
          <w:rFonts w:hint="cs"/>
          <w:sz w:val="32"/>
          <w:szCs w:val="28"/>
          <w:rtl/>
        </w:rPr>
        <w:tab/>
        <w:t>הנתבעת נדרשה להגיש כתב הגנה תוך 30 ימים מיום שנמסרו לה כתבי בי-דין, וחרף העובדה שאלה נמסרו לה ביום</w:t>
      </w:r>
      <w:r>
        <w:rPr>
          <w:rFonts w:hint="cs"/>
          <w:sz w:val="32"/>
          <w:szCs w:val="28"/>
          <w:rtl/>
        </w:rPr>
        <w:t>27/02/2018</w:t>
      </w:r>
      <w:r w:rsidRPr="004A6EE5">
        <w:rPr>
          <w:rFonts w:hint="cs"/>
          <w:sz w:val="32"/>
          <w:szCs w:val="28"/>
          <w:rtl/>
        </w:rPr>
        <w:t>, לא הגישה כתב הגנה.</w:t>
      </w:r>
    </w:p>
    <w:p w:rsidRPr="004A6EE5" w:rsidR="004A6EE5" w:rsidP="00B30530" w:rsidRDefault="004A6EE5">
      <w:pPr>
        <w:spacing w:line="360" w:lineRule="auto"/>
        <w:ind w:left="720" w:hanging="720"/>
        <w:jc w:val="both"/>
        <w:rPr>
          <w:sz w:val="32"/>
          <w:szCs w:val="28"/>
          <w:rtl/>
        </w:rPr>
      </w:pPr>
      <w:r w:rsidRPr="004A6EE5">
        <w:rPr>
          <w:rFonts w:hint="cs"/>
          <w:sz w:val="32"/>
          <w:szCs w:val="28"/>
          <w:rtl/>
        </w:rPr>
        <w:t> </w:t>
      </w:r>
    </w:p>
    <w:p w:rsidRPr="004A6EE5" w:rsidR="004A6EE5" w:rsidP="006A7B71" w:rsidRDefault="004A6EE5">
      <w:pPr>
        <w:spacing w:line="360" w:lineRule="auto"/>
        <w:ind w:left="720" w:hanging="720"/>
        <w:jc w:val="both"/>
        <w:rPr>
          <w:sz w:val="32"/>
          <w:szCs w:val="28"/>
          <w:rtl/>
        </w:rPr>
      </w:pPr>
      <w:r w:rsidRPr="004A6EE5">
        <w:rPr>
          <w:rFonts w:hint="cs"/>
          <w:sz w:val="32"/>
          <w:szCs w:val="28"/>
          <w:rtl/>
        </w:rPr>
        <w:t> 3.</w:t>
      </w:r>
      <w:r w:rsidRPr="004A6EE5">
        <w:rPr>
          <w:rFonts w:hint="cs"/>
          <w:sz w:val="32"/>
          <w:szCs w:val="28"/>
          <w:rtl/>
        </w:rPr>
        <w:tab/>
        <w:t>משלא הוגש כתב הגנה במועד, ומשזה לא הוגש אף בחלוף ארכה נוספת שניתנה לנתבעת, ובהתאם לסמכות הקבועה בתקנה 43 (א) לתקנות בית הדין לעבודה (סדרי דין), התשנ"ב - 1991, ניתן בזאת פסק דין על יסוד כתב התביעה.</w:t>
      </w:r>
    </w:p>
    <w:p w:rsidRPr="004A6EE5" w:rsidR="004A6EE5" w:rsidP="00B30530" w:rsidRDefault="004A6EE5">
      <w:pPr>
        <w:spacing w:line="360" w:lineRule="auto"/>
        <w:ind w:left="720" w:hanging="720"/>
        <w:jc w:val="both"/>
        <w:rPr>
          <w:sz w:val="32"/>
          <w:szCs w:val="28"/>
        </w:rPr>
      </w:pPr>
      <w:r w:rsidRPr="004A6EE5">
        <w:rPr>
          <w:rFonts w:hint="cs"/>
          <w:sz w:val="32"/>
          <w:szCs w:val="28"/>
          <w:rtl/>
        </w:rPr>
        <w:t> </w:t>
      </w:r>
    </w:p>
    <w:p w:rsidRPr="004A6EE5" w:rsidR="004A6EE5" w:rsidP="006B3EBD" w:rsidRDefault="004A6EE5">
      <w:pPr>
        <w:spacing w:line="360" w:lineRule="auto"/>
        <w:ind w:left="720" w:hanging="720"/>
        <w:jc w:val="both"/>
        <w:rPr>
          <w:sz w:val="32"/>
          <w:szCs w:val="28"/>
          <w:rtl/>
        </w:rPr>
      </w:pPr>
      <w:r w:rsidRPr="004A6EE5">
        <w:rPr>
          <w:rFonts w:hint="cs"/>
          <w:sz w:val="32"/>
          <w:szCs w:val="28"/>
          <w:rtl/>
        </w:rPr>
        <w:t>4.</w:t>
      </w:r>
      <w:r w:rsidRPr="004A6EE5">
        <w:rPr>
          <w:rFonts w:hint="cs"/>
          <w:sz w:val="32"/>
          <w:szCs w:val="28"/>
          <w:rtl/>
        </w:rPr>
        <w:tab/>
        <w:t>לפיכך, אני מחייב את הנתבעת לשלם לתובע</w:t>
      </w:r>
      <w:r>
        <w:rPr>
          <w:rFonts w:hint="cs"/>
          <w:sz w:val="32"/>
          <w:szCs w:val="28"/>
          <w:rtl/>
        </w:rPr>
        <w:t>ת</w:t>
      </w:r>
      <w:r w:rsidRPr="004A6EE5">
        <w:rPr>
          <w:rFonts w:hint="cs"/>
          <w:sz w:val="32"/>
          <w:szCs w:val="28"/>
          <w:rtl/>
        </w:rPr>
        <w:t xml:space="preserve"> את הסכומים הבאים:</w:t>
      </w:r>
    </w:p>
    <w:p w:rsidRPr="004A6EE5" w:rsidR="004A6EE5" w:rsidP="00666C5A" w:rsidRDefault="004A6EE5">
      <w:pPr>
        <w:spacing w:line="360" w:lineRule="auto"/>
        <w:ind w:left="1440" w:hanging="720"/>
        <w:jc w:val="both"/>
        <w:rPr>
          <w:sz w:val="32"/>
          <w:szCs w:val="28"/>
          <w:rtl/>
        </w:rPr>
      </w:pPr>
      <w:r w:rsidRPr="004A6EE5">
        <w:rPr>
          <w:rFonts w:hint="cs"/>
          <w:sz w:val="32"/>
          <w:szCs w:val="28"/>
          <w:rtl/>
        </w:rPr>
        <w:t>א.</w:t>
      </w:r>
      <w:r w:rsidRPr="004A6EE5">
        <w:rPr>
          <w:rFonts w:hint="cs"/>
          <w:sz w:val="32"/>
          <w:szCs w:val="28"/>
          <w:rtl/>
        </w:rPr>
        <w:tab/>
      </w:r>
      <w:r w:rsidR="00666C5A">
        <w:rPr>
          <w:rFonts w:hint="cs"/>
          <w:sz w:val="32"/>
          <w:szCs w:val="28"/>
          <w:rtl/>
        </w:rPr>
        <w:t xml:space="preserve">שכר עבודה שלא שולם בסך של 8,939 ₪ בתוספת פיצויי הלנת שכר בסך של 5,000 ₪. </w:t>
      </w:r>
    </w:p>
    <w:p w:rsidR="004A6EE5" w:rsidP="00B30530" w:rsidRDefault="004A6EE5">
      <w:pPr>
        <w:spacing w:line="360" w:lineRule="auto"/>
        <w:ind w:left="1440" w:hanging="720"/>
        <w:jc w:val="both"/>
        <w:rPr>
          <w:sz w:val="32"/>
          <w:szCs w:val="28"/>
          <w:rtl/>
        </w:rPr>
      </w:pPr>
      <w:r w:rsidRPr="004A6EE5">
        <w:rPr>
          <w:rFonts w:hint="cs"/>
          <w:sz w:val="32"/>
          <w:szCs w:val="28"/>
          <w:rtl/>
        </w:rPr>
        <w:t>ב.</w:t>
      </w:r>
      <w:r w:rsidRPr="004A6EE5">
        <w:rPr>
          <w:rFonts w:hint="cs"/>
          <w:sz w:val="32"/>
          <w:szCs w:val="28"/>
          <w:rtl/>
        </w:rPr>
        <w:tab/>
      </w:r>
      <w:r w:rsidR="00666C5A">
        <w:rPr>
          <w:rFonts w:hint="cs"/>
          <w:sz w:val="32"/>
          <w:szCs w:val="28"/>
          <w:rtl/>
        </w:rPr>
        <w:t xml:space="preserve">פיצויי פיטורים בסך של 11,100 ₪ בתוספת פיצויי הלנת פיצויי פיטורים בסך של 3,500 ₪. </w:t>
      </w:r>
    </w:p>
    <w:p w:rsidR="00666C5A" w:rsidP="00B30530" w:rsidRDefault="00666C5A">
      <w:pPr>
        <w:spacing w:line="360" w:lineRule="auto"/>
        <w:ind w:left="1440" w:hanging="720"/>
        <w:jc w:val="both"/>
        <w:rPr>
          <w:sz w:val="32"/>
          <w:szCs w:val="28"/>
          <w:rtl/>
        </w:rPr>
      </w:pPr>
      <w:r>
        <w:rPr>
          <w:rFonts w:hint="cs"/>
          <w:sz w:val="32"/>
          <w:szCs w:val="28"/>
          <w:rtl/>
        </w:rPr>
        <w:t>ג.</w:t>
      </w:r>
      <w:r>
        <w:rPr>
          <w:rFonts w:hint="cs"/>
          <w:sz w:val="32"/>
          <w:szCs w:val="28"/>
          <w:rtl/>
        </w:rPr>
        <w:tab/>
        <w:t xml:space="preserve">אי תשלום עבור בגדי עבודה בסך של 800 ₪. </w:t>
      </w:r>
    </w:p>
    <w:p w:rsidRPr="004A6EE5" w:rsidR="004A6EE5" w:rsidP="00666C5A" w:rsidRDefault="004A6EE5">
      <w:pPr>
        <w:spacing w:line="360" w:lineRule="auto"/>
        <w:ind w:left="720"/>
        <w:jc w:val="both"/>
        <w:rPr>
          <w:rStyle w:val="normal-h"/>
          <w:sz w:val="32"/>
          <w:szCs w:val="28"/>
          <w:rtl/>
        </w:rPr>
      </w:pPr>
      <w:r w:rsidRPr="004A6EE5">
        <w:rPr>
          <w:rStyle w:val="normal-h"/>
          <w:rFonts w:hint="cs"/>
          <w:sz w:val="32"/>
          <w:szCs w:val="28"/>
          <w:rtl/>
        </w:rPr>
        <w:lastRenderedPageBreak/>
        <w:t>לסכומים האמורים יוספו הפרשי הצמדה וריבית כחוק מ</w:t>
      </w:r>
      <w:r w:rsidR="00666C5A">
        <w:rPr>
          <w:rStyle w:val="normal-h"/>
          <w:rFonts w:hint="cs"/>
          <w:sz w:val="32"/>
          <w:szCs w:val="28"/>
          <w:rtl/>
        </w:rPr>
        <w:t>ה</w:t>
      </w:r>
      <w:r w:rsidRPr="004A6EE5">
        <w:rPr>
          <w:rStyle w:val="normal-h"/>
          <w:rFonts w:hint="cs"/>
          <w:sz w:val="32"/>
          <w:szCs w:val="28"/>
          <w:rtl/>
        </w:rPr>
        <w:t>יום</w:t>
      </w:r>
      <w:r w:rsidR="00666C5A">
        <w:rPr>
          <w:rStyle w:val="normal-h"/>
          <w:rFonts w:hint="cs"/>
          <w:sz w:val="32"/>
          <w:szCs w:val="28"/>
          <w:rtl/>
        </w:rPr>
        <w:t xml:space="preserve"> </w:t>
      </w:r>
      <w:r w:rsidRPr="004A6EE5">
        <w:rPr>
          <w:rStyle w:val="normal-h"/>
          <w:rFonts w:hint="cs"/>
          <w:sz w:val="32"/>
          <w:szCs w:val="28"/>
          <w:rtl/>
        </w:rPr>
        <w:t>ועד ל</w:t>
      </w:r>
      <w:r w:rsidR="00666C5A">
        <w:rPr>
          <w:rStyle w:val="normal-h"/>
          <w:rFonts w:hint="cs"/>
          <w:sz w:val="32"/>
          <w:szCs w:val="28"/>
          <w:rtl/>
        </w:rPr>
        <w:t xml:space="preserve">מועד </w:t>
      </w:r>
      <w:r w:rsidRPr="004A6EE5">
        <w:rPr>
          <w:rStyle w:val="normal-h"/>
          <w:rFonts w:hint="cs"/>
          <w:sz w:val="32"/>
          <w:szCs w:val="28"/>
          <w:rtl/>
        </w:rPr>
        <w:t xml:space="preserve">התשלום המלא בפועל. </w:t>
      </w:r>
    </w:p>
    <w:p w:rsidR="00666C5A" w:rsidP="00B30530" w:rsidRDefault="00666C5A">
      <w:pPr>
        <w:spacing w:line="360" w:lineRule="auto"/>
        <w:ind w:left="720" w:hanging="720"/>
        <w:jc w:val="both"/>
        <w:rPr>
          <w:rStyle w:val="normal-h"/>
          <w:sz w:val="32"/>
          <w:szCs w:val="28"/>
          <w:rtl/>
        </w:rPr>
      </w:pPr>
    </w:p>
    <w:p w:rsidRPr="004A6EE5" w:rsidR="004A6EE5" w:rsidP="00666C5A" w:rsidRDefault="004A6EE5">
      <w:pPr>
        <w:spacing w:line="360" w:lineRule="auto"/>
        <w:ind w:left="720" w:hanging="720"/>
        <w:jc w:val="both"/>
        <w:rPr>
          <w:sz w:val="32"/>
          <w:szCs w:val="28"/>
          <w:rtl/>
        </w:rPr>
      </w:pPr>
      <w:r w:rsidRPr="004A6EE5">
        <w:rPr>
          <w:rStyle w:val="normal-h"/>
          <w:rFonts w:hint="cs"/>
          <w:sz w:val="32"/>
          <w:szCs w:val="28"/>
          <w:rtl/>
        </w:rPr>
        <w:t>5.</w:t>
      </w:r>
      <w:r w:rsidRPr="004A6EE5">
        <w:rPr>
          <w:rStyle w:val="normal-h"/>
          <w:rFonts w:hint="cs"/>
          <w:sz w:val="32"/>
          <w:szCs w:val="28"/>
          <w:rtl/>
        </w:rPr>
        <w:tab/>
        <w:t>כמו כן, תשלם הנתבעת לתובע</w:t>
      </w:r>
      <w:r w:rsidR="00666C5A">
        <w:rPr>
          <w:rStyle w:val="normal-h"/>
          <w:rFonts w:hint="cs"/>
          <w:sz w:val="32"/>
          <w:szCs w:val="28"/>
          <w:rtl/>
        </w:rPr>
        <w:t>ת</w:t>
      </w:r>
      <w:r w:rsidRPr="004A6EE5">
        <w:rPr>
          <w:rStyle w:val="normal-h"/>
          <w:rFonts w:hint="cs"/>
          <w:sz w:val="32"/>
          <w:szCs w:val="28"/>
          <w:rtl/>
        </w:rPr>
        <w:t xml:space="preserve"> שכ"ט עו"ד והוצאות משפט, בסך כו</w:t>
      </w:r>
      <w:bookmarkStart w:name="_GoBack" w:id="0"/>
      <w:bookmarkEnd w:id="0"/>
      <w:r w:rsidRPr="004A6EE5">
        <w:rPr>
          <w:rStyle w:val="normal-h"/>
          <w:rFonts w:hint="cs"/>
          <w:sz w:val="32"/>
          <w:szCs w:val="28"/>
          <w:rtl/>
        </w:rPr>
        <w:t xml:space="preserve">לל של </w:t>
      </w:r>
      <w:r w:rsidR="00666C5A">
        <w:rPr>
          <w:rStyle w:val="normal-h"/>
          <w:rFonts w:hint="cs"/>
          <w:sz w:val="32"/>
          <w:szCs w:val="28"/>
          <w:rtl/>
        </w:rPr>
        <w:t>4,000</w:t>
      </w:r>
      <w:r w:rsidRPr="004A6EE5">
        <w:rPr>
          <w:rStyle w:val="normal-h"/>
          <w:rFonts w:hint="cs"/>
          <w:sz w:val="32"/>
          <w:szCs w:val="28"/>
          <w:rtl/>
        </w:rPr>
        <w:t xml:space="preserve"> ₪ תוך 30 ימים מהיום, אחרת יישא הסך הנ"ל הפרשי הצמדה וריבית כחוק מהיום ועד התשלום המלא בפועל.</w:t>
      </w:r>
    </w:p>
    <w:p w:rsidRPr="004A6EE5" w:rsidR="004A6EE5" w:rsidP="00B30530" w:rsidRDefault="004A6EE5">
      <w:pPr>
        <w:spacing w:line="360" w:lineRule="auto"/>
        <w:ind w:left="720" w:hanging="720"/>
        <w:jc w:val="both"/>
        <w:rPr>
          <w:sz w:val="32"/>
          <w:szCs w:val="28"/>
        </w:rPr>
      </w:pPr>
    </w:p>
    <w:p w:rsidRPr="00621052" w:rsidR="00694556" w:rsidP="004A6EE5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666C5A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>, בהעדר הצדדים.</w:t>
      </w:r>
    </w:p>
    <w:p w:rsidR="00694556" w:rsidP="004A6EE5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666C5A" w:rsidRDefault="00070B8F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525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75bdd64f44d498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70B8F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70B8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70B8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070B8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ד"מ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65240-06-17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C61E0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5C775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3CD41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AEA6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8C7C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D6E8C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98DF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64C2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581B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5AFF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70B8F"/>
    <w:rsid w:val="001067E3"/>
    <w:rsid w:val="0014234E"/>
    <w:rsid w:val="001439B0"/>
    <w:rsid w:val="001C4003"/>
    <w:rsid w:val="0025187E"/>
    <w:rsid w:val="0032390E"/>
    <w:rsid w:val="00400EF8"/>
    <w:rsid w:val="004121E7"/>
    <w:rsid w:val="004A6EE5"/>
    <w:rsid w:val="004E6E3C"/>
    <w:rsid w:val="00547DB7"/>
    <w:rsid w:val="00621052"/>
    <w:rsid w:val="00622BAA"/>
    <w:rsid w:val="00666C5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EF4992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5:docId w15:val="{6F5876DC-49EC-4CDF-AEA8-49FCAB88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A6E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A6E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A6E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A6E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A6E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A6EE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A6EE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A6EE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-h">
    <w:name w:val="normal-h"/>
    <w:basedOn w:val="a2"/>
    <w:rsid w:val="004A6EE5"/>
    <w:rPr>
      <w:noProof w:val="0"/>
    </w:rPr>
  </w:style>
  <w:style w:type="character" w:styleId="FollowedHyperlink">
    <w:name w:val="FollowedHyperlink"/>
    <w:basedOn w:val="a2"/>
    <w:semiHidden/>
    <w:unhideWhenUsed/>
    <w:rsid w:val="004A6EE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A6EE5"/>
    <w:rPr>
      <w:i/>
      <w:iCs/>
      <w:noProof w:val="0"/>
    </w:rPr>
  </w:style>
  <w:style w:type="character" w:styleId="HTMLCode">
    <w:name w:val="HTML Code"/>
    <w:basedOn w:val="a2"/>
    <w:semiHidden/>
    <w:unhideWhenUsed/>
    <w:rsid w:val="004A6EE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A6EE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A6EE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A6EE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A6EE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A6EE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A6EE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A6EE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A6EE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A6EE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A6EE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A6EE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A6EE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A6EE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A6EE5"/>
    <w:pPr>
      <w:ind w:left="2160" w:hanging="240"/>
    </w:pPr>
  </w:style>
  <w:style w:type="paragraph" w:styleId="NormalWeb">
    <w:name w:val="Normal (Web)"/>
    <w:basedOn w:val="a1"/>
    <w:semiHidden/>
    <w:unhideWhenUsed/>
    <w:rsid w:val="004A6EE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A6EE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A6EE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A6EE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A6EE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A6EE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A6EE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A6EE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A6EE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A6EE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A6EE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A6EE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A6EE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4A6EE5"/>
  </w:style>
  <w:style w:type="paragraph" w:styleId="af0">
    <w:name w:val="Salutation"/>
    <w:basedOn w:val="a1"/>
    <w:next w:val="a1"/>
    <w:link w:val="af1"/>
    <w:rsid w:val="004A6EE5"/>
  </w:style>
  <w:style w:type="character" w:customStyle="1" w:styleId="af1">
    <w:name w:val="ברכה תו"/>
    <w:basedOn w:val="a2"/>
    <w:link w:val="af0"/>
    <w:rsid w:val="004A6EE5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4A6EE5"/>
    <w:pPr>
      <w:spacing w:after="120"/>
    </w:pPr>
  </w:style>
  <w:style w:type="character" w:customStyle="1" w:styleId="af3">
    <w:name w:val="גוף טקסט תו"/>
    <w:basedOn w:val="a2"/>
    <w:link w:val="af2"/>
    <w:semiHidden/>
    <w:rsid w:val="004A6EE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A6EE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A6EE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A6EE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A6EE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A6EE5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4A6EE5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4A6EE5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4A6EE5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4A6EE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A6EE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A6EE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A6EE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A6EE5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4A6EE5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4A6EE5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4A6EE5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4A6EE5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4A6E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A6E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A6E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A6E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A6E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A6E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A6E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A6E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4A6E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A6E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A6E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A6E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A6E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A6E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A6E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4A6E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A6E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A6E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A6E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A6E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A6E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4A6EE5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4A6EE5"/>
    <w:pPr>
      <w:ind w:left="4252"/>
    </w:pPr>
  </w:style>
  <w:style w:type="character" w:customStyle="1" w:styleId="aff0">
    <w:name w:val="חתימה תו"/>
    <w:basedOn w:val="a2"/>
    <w:link w:val="aff"/>
    <w:semiHidden/>
    <w:rsid w:val="004A6EE5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4A6EE5"/>
  </w:style>
  <w:style w:type="character" w:customStyle="1" w:styleId="aff2">
    <w:name w:val="חתימת דואר אלקטרוני תו"/>
    <w:basedOn w:val="a2"/>
    <w:link w:val="aff1"/>
    <w:semiHidden/>
    <w:rsid w:val="004A6EE5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4A6EE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4A6EE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A6EE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A6EE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4A6EE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A6EE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A6EE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A6E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A6EE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A6EE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A6EE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A6EE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A6EE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A6EE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A6EE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A6E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A6EE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A6EE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A6EE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A6EE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A6EE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A6EE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A6EE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A6E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A6E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A6E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A6E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A6E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A6E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A6E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A6EE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A6EE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A6EE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A6EE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A6EE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A6EE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A6EE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A6EE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A6EE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A6EE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A6EE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A6EE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A6EE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A6EE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A6E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A6E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A6EE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A6E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A6EE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A6EE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A6EE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A6EE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A6EE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A6EE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A6EE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A6EE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A6EE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A6EE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A6EE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A6EE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A6EE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A6EE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A6EE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A6EE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A6EE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A6EE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A6EE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A6EE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A6EE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A6EE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A6EE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A6EE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A6EE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A6EE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A6EE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A6EE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A6EE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A6EE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A6EE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A6EE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A6EE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A6EE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A6EE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A6EE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A6EE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A6EE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A6E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A6E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A6EE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A6E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A6EE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A6EE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A6EE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A6E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A6E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A6EE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A6E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A6EE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A6EE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A6EE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A6E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A6E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A6E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A6E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A6E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A6E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A6E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A6EE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A6EE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A6EE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A6EE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A6EE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A6EE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A6EE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A6EE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A6EE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A6EE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A6EE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A6EE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A6EE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A6EE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4A6E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4A6EE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4A6EE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4A6EE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4A6EE5"/>
    <w:rPr>
      <w:rFonts w:cs="David"/>
      <w:noProof w:val="0"/>
    </w:rPr>
  </w:style>
  <w:style w:type="paragraph" w:styleId="affb">
    <w:name w:val="macro"/>
    <w:link w:val="affc"/>
    <w:semiHidden/>
    <w:unhideWhenUsed/>
    <w:rsid w:val="004A6E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A6EE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A6EE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A6EE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A6EE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A6EE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A6EE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A6EE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A6EE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A6EE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A6EE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A6EE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A6EE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A6EE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A6EE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A6EE5"/>
  </w:style>
  <w:style w:type="character" w:customStyle="1" w:styleId="afff3">
    <w:name w:val="כותרת הערות תו"/>
    <w:basedOn w:val="a2"/>
    <w:link w:val="afff2"/>
    <w:semiHidden/>
    <w:rsid w:val="004A6EE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A6E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A6EE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A6EE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A6EE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A6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A6EE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A6EE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A6EE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A6EE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A6EE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A6EE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A6EE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A6EE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A6EE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A6EE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A6EE5"/>
    <w:pPr>
      <w:ind w:left="720"/>
    </w:pPr>
  </w:style>
  <w:style w:type="paragraph" w:styleId="affff0">
    <w:name w:val="Body Text First Indent"/>
    <w:basedOn w:val="af2"/>
    <w:link w:val="affff1"/>
    <w:rsid w:val="004A6EE5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4A6EE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A6EE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A6EE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A6EE5"/>
    <w:rPr>
      <w:i/>
      <w:iCs/>
    </w:rPr>
  </w:style>
  <w:style w:type="character" w:customStyle="1" w:styleId="HTML3">
    <w:name w:val="כתובת HTML תו"/>
    <w:basedOn w:val="a2"/>
    <w:link w:val="HTML2"/>
    <w:semiHidden/>
    <w:rsid w:val="004A6EE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A6EE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A6EE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A6EE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A6EE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A6EE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A6EE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A6EE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A6EE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A6EE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A6EE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A6EE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A6EE5"/>
    <w:pPr>
      <w:ind w:left="4252"/>
    </w:pPr>
  </w:style>
  <w:style w:type="character" w:customStyle="1" w:styleId="affffb">
    <w:name w:val="סיום תו"/>
    <w:basedOn w:val="a2"/>
    <w:link w:val="affffa"/>
    <w:semiHidden/>
    <w:rsid w:val="004A6EE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A6EE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A6EE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A6EE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A6EE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A6EE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A6EE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A6E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A6EE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A6E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A6EE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A6EE5"/>
    <w:rPr>
      <w:noProof w:val="0"/>
    </w:rPr>
  </w:style>
  <w:style w:type="paragraph" w:styleId="afffff1">
    <w:name w:val="List"/>
    <w:basedOn w:val="a1"/>
    <w:semiHidden/>
    <w:unhideWhenUsed/>
    <w:rsid w:val="004A6EE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A6EE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A6EE5"/>
    <w:pPr>
      <w:ind w:left="849" w:hanging="283"/>
      <w:contextualSpacing/>
    </w:pPr>
  </w:style>
  <w:style w:type="paragraph" w:styleId="48">
    <w:name w:val="List 4"/>
    <w:basedOn w:val="a1"/>
    <w:rsid w:val="004A6EE5"/>
    <w:pPr>
      <w:ind w:left="1132" w:hanging="283"/>
      <w:contextualSpacing/>
    </w:pPr>
  </w:style>
  <w:style w:type="paragraph" w:styleId="58">
    <w:name w:val="List 5"/>
    <w:basedOn w:val="a1"/>
    <w:rsid w:val="004A6EE5"/>
    <w:pPr>
      <w:ind w:left="1415" w:hanging="283"/>
      <w:contextualSpacing/>
    </w:pPr>
  </w:style>
  <w:style w:type="table" w:styleId="afffff2">
    <w:name w:val="Light List"/>
    <w:basedOn w:val="a3"/>
    <w:uiPriority w:val="61"/>
    <w:rsid w:val="004A6E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A6E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A6E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A6E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A6E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A6E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A6E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A6EE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A6EE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A6EE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A6E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A6EE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A6EE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A6EE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A6EE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A6E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A6E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A6E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A6E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A6E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A6E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A6E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A6EE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A6EE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A6EE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A6EE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A6EE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A6EE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A6EE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A6EE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A6EE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A6EE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A6E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A6E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A6E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A6E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A6E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A6E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A6E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A6EE5"/>
  </w:style>
  <w:style w:type="paragraph" w:styleId="afffff6">
    <w:name w:val="table of authorities"/>
    <w:basedOn w:val="a1"/>
    <w:next w:val="a1"/>
    <w:semiHidden/>
    <w:unhideWhenUsed/>
    <w:rsid w:val="004A6EE5"/>
    <w:pPr>
      <w:ind w:left="240" w:hanging="240"/>
    </w:pPr>
  </w:style>
  <w:style w:type="table" w:styleId="afffff7">
    <w:name w:val="Light Grid"/>
    <w:basedOn w:val="a3"/>
    <w:uiPriority w:val="62"/>
    <w:rsid w:val="004A6E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A6E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A6E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A6E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A6E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A6E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A6E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A6E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A6E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A6E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A6E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A6E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A6E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A6E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A6E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A6E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A6E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A6E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A6E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A6E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A6E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A6E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A6EE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A6EE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A6EE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A6EE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A6E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A6EE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A6EE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A6EE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A6EE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A6E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A6EE5"/>
  </w:style>
  <w:style w:type="character" w:customStyle="1" w:styleId="afffffb">
    <w:name w:val="תאריך תו"/>
    <w:basedOn w:val="a2"/>
    <w:link w:val="afffffa"/>
    <w:rsid w:val="004A6EE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475bdd64f44d498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195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דורי ספיבק</cp:lastModifiedBy>
  <cp:revision>18</cp:revision>
  <dcterms:created xsi:type="dcterms:W3CDTF">2012-08-06T01:26:00Z</dcterms:created>
  <dcterms:modified xsi:type="dcterms:W3CDTF">2018-04-10T17:17:00Z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