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647" w:type="dxa"/>
        <w:tblLayout w:type="fixed"/>
        <w:tblCellMar>
          <w:left w:w="107" w:type="dxa"/>
          <w:right w:w="107" w:type="dxa"/>
        </w:tblCellMar>
        <w:tblLook w:val="0000" w:firstRow="0" w:lastRow="0" w:firstColumn="0" w:lastColumn="0" w:noHBand="0" w:noVBand="0"/>
      </w:tblPr>
      <w:tblGrid>
        <w:gridCol w:w="1418"/>
        <w:gridCol w:w="3451"/>
        <w:gridCol w:w="1417"/>
        <w:gridCol w:w="2361"/>
      </w:tblGrid>
      <w:tr w:rsidRPr="0019385E" w:rsidR="0019385E" w:rsidTr="00A62802">
        <w:trPr>
          <w:trHeight w:val="495"/>
        </w:trPr>
        <w:tc>
          <w:tcPr>
            <w:tcW w:w="6286" w:type="dxa"/>
            <w:gridSpan w:val="3"/>
          </w:tcPr>
          <w:p w:rsidRPr="0019385E" w:rsidR="0019385E" w:rsidP="0019385E" w:rsidRDefault="0019385E">
            <w:pPr>
              <w:suppressLineNumbers/>
              <w:overflowPunct w:val="0"/>
              <w:autoSpaceDE w:val="0"/>
              <w:autoSpaceDN w:val="0"/>
              <w:adjustRightInd w:val="0"/>
              <w:spacing w:line="360" w:lineRule="auto"/>
              <w:textAlignment w:val="baseline"/>
              <w:rPr>
                <w:b/>
                <w:bCs/>
                <w:noProof w:val="0"/>
                <w:sz w:val="22"/>
                <w:rtl/>
                <w:lang w:eastAsia="he-IL"/>
              </w:rPr>
            </w:pPr>
            <w:r w:rsidRPr="0019385E">
              <w:rPr>
                <w:b/>
                <w:bCs/>
                <w:noProof w:val="0"/>
                <w:sz w:val="22"/>
                <w:rtl/>
                <w:lang w:eastAsia="he-IL"/>
              </w:rPr>
              <w:t>לפני השופט יצחק כהן, סגן נשיא</w:t>
            </w:r>
          </w:p>
        </w:tc>
        <w:tc>
          <w:tcPr>
            <w:tcW w:w="2361" w:type="dxa"/>
          </w:tcPr>
          <w:p w:rsidRPr="0019385E" w:rsidR="0019385E" w:rsidP="0019385E" w:rsidRDefault="0019385E">
            <w:pPr>
              <w:suppressLineNumbers/>
              <w:overflowPunct w:val="0"/>
              <w:autoSpaceDE w:val="0"/>
              <w:autoSpaceDN w:val="0"/>
              <w:adjustRightInd w:val="0"/>
              <w:textAlignment w:val="baseline"/>
              <w:rPr>
                <w:b/>
                <w:bCs/>
                <w:noProof w:val="0"/>
                <w:sz w:val="22"/>
                <w:szCs w:val="26"/>
                <w:u w:val="single"/>
                <w:rtl/>
                <w:lang w:eastAsia="he-IL"/>
              </w:rPr>
            </w:pPr>
          </w:p>
        </w:tc>
      </w:tr>
      <w:tr w:rsidRPr="0019385E" w:rsidR="0019385E" w:rsidTr="00A62802">
        <w:trPr>
          <w:trHeight w:val="495"/>
        </w:trPr>
        <w:tc>
          <w:tcPr>
            <w:tcW w:w="1418" w:type="dxa"/>
          </w:tcPr>
          <w:p w:rsidRPr="0019385E" w:rsidR="0019385E" w:rsidP="0019385E" w:rsidRDefault="0019385E">
            <w:pPr>
              <w:suppressLineNumbers/>
              <w:overflowPunct w:val="0"/>
              <w:autoSpaceDE w:val="0"/>
              <w:autoSpaceDN w:val="0"/>
              <w:adjustRightInd w:val="0"/>
              <w:textAlignment w:val="baseline"/>
              <w:rPr>
                <w:b/>
                <w:bCs/>
                <w:noProof w:val="0"/>
                <w:sz w:val="22"/>
                <w:rtl/>
                <w:lang w:eastAsia="he-IL"/>
              </w:rPr>
            </w:pPr>
          </w:p>
        </w:tc>
        <w:tc>
          <w:tcPr>
            <w:tcW w:w="4868" w:type="dxa"/>
            <w:gridSpan w:val="2"/>
          </w:tcPr>
          <w:p w:rsidRPr="0019385E" w:rsidR="0019385E" w:rsidP="0019385E" w:rsidRDefault="0019385E">
            <w:pPr>
              <w:suppressLineNumbers/>
              <w:overflowPunct w:val="0"/>
              <w:autoSpaceDE w:val="0"/>
              <w:autoSpaceDN w:val="0"/>
              <w:adjustRightInd w:val="0"/>
              <w:spacing w:line="360" w:lineRule="auto"/>
              <w:textAlignment w:val="baseline"/>
              <w:rPr>
                <w:b/>
                <w:bCs/>
                <w:noProof w:val="0"/>
                <w:sz w:val="22"/>
                <w:rtl/>
                <w:lang w:eastAsia="he-IL"/>
              </w:rPr>
            </w:pPr>
          </w:p>
        </w:tc>
        <w:tc>
          <w:tcPr>
            <w:tcW w:w="2361" w:type="dxa"/>
          </w:tcPr>
          <w:p w:rsidRPr="0019385E" w:rsidR="0019385E" w:rsidP="0019385E" w:rsidRDefault="0019385E">
            <w:pPr>
              <w:suppressLineNumbers/>
              <w:overflowPunct w:val="0"/>
              <w:autoSpaceDE w:val="0"/>
              <w:autoSpaceDN w:val="0"/>
              <w:adjustRightInd w:val="0"/>
              <w:textAlignment w:val="baseline"/>
              <w:rPr>
                <w:b/>
                <w:bCs/>
                <w:noProof w:val="0"/>
                <w:sz w:val="22"/>
                <w:szCs w:val="26"/>
                <w:u w:val="single"/>
                <w:rtl/>
                <w:lang w:eastAsia="he-IL"/>
              </w:rPr>
            </w:pPr>
          </w:p>
        </w:tc>
      </w:tr>
      <w:tr w:rsidRPr="0019385E" w:rsidR="0019385E" w:rsidTr="00A62802">
        <w:trPr>
          <w:trHeight w:val="468"/>
        </w:trPr>
        <w:tc>
          <w:tcPr>
            <w:tcW w:w="1418" w:type="dxa"/>
          </w:tcPr>
          <w:p w:rsidRPr="0019385E" w:rsidR="0019385E" w:rsidP="0019385E" w:rsidRDefault="0019385E">
            <w:pPr>
              <w:suppressLineNumbers/>
              <w:overflowPunct w:val="0"/>
              <w:autoSpaceDE w:val="0"/>
              <w:autoSpaceDN w:val="0"/>
              <w:adjustRightInd w:val="0"/>
              <w:textAlignment w:val="baseline"/>
              <w:rPr>
                <w:b/>
                <w:bCs/>
                <w:noProof w:val="0"/>
                <w:sz w:val="22"/>
                <w:rtl/>
                <w:lang w:eastAsia="he-IL"/>
              </w:rPr>
            </w:pPr>
          </w:p>
        </w:tc>
        <w:tc>
          <w:tcPr>
            <w:tcW w:w="4868" w:type="dxa"/>
            <w:gridSpan w:val="2"/>
          </w:tcPr>
          <w:p w:rsidRPr="0019385E" w:rsidR="0019385E" w:rsidP="0019385E" w:rsidRDefault="0019385E">
            <w:pPr>
              <w:suppressLineNumbers/>
              <w:overflowPunct w:val="0"/>
              <w:autoSpaceDE w:val="0"/>
              <w:autoSpaceDN w:val="0"/>
              <w:adjustRightInd w:val="0"/>
              <w:spacing w:line="360" w:lineRule="auto"/>
              <w:textAlignment w:val="baseline"/>
              <w:rPr>
                <w:b/>
                <w:bCs/>
                <w:noProof w:val="0"/>
                <w:sz w:val="22"/>
                <w:rtl/>
                <w:lang w:eastAsia="he-IL"/>
              </w:rPr>
            </w:pPr>
            <w:r w:rsidRPr="0019385E">
              <w:rPr>
                <w:b/>
                <w:bCs/>
                <w:noProof w:val="0"/>
                <w:sz w:val="22"/>
                <w:rtl/>
                <w:lang w:eastAsia="he-IL"/>
              </w:rPr>
              <w:t>חמ"כ</w:t>
            </w:r>
          </w:p>
        </w:tc>
        <w:tc>
          <w:tcPr>
            <w:tcW w:w="2361" w:type="dxa"/>
          </w:tcPr>
          <w:p w:rsidRPr="0019385E" w:rsidR="0019385E" w:rsidP="0019385E" w:rsidRDefault="0019385E">
            <w:pPr>
              <w:suppressLineNumbers/>
              <w:overflowPunct w:val="0"/>
              <w:autoSpaceDE w:val="0"/>
              <w:autoSpaceDN w:val="0"/>
              <w:adjustRightInd w:val="0"/>
              <w:textAlignment w:val="baseline"/>
              <w:rPr>
                <w:b/>
                <w:bCs/>
                <w:noProof w:val="0"/>
                <w:sz w:val="22"/>
                <w:szCs w:val="26"/>
                <w:u w:val="single"/>
                <w:rtl/>
                <w:lang w:eastAsia="he-IL"/>
              </w:rPr>
            </w:pPr>
          </w:p>
        </w:tc>
      </w:tr>
      <w:tr w:rsidRPr="0019385E" w:rsidR="0019385E" w:rsidTr="00A62802">
        <w:tc>
          <w:tcPr>
            <w:tcW w:w="1418" w:type="dxa"/>
          </w:tcPr>
          <w:p w:rsidRPr="0019385E" w:rsidR="0019385E" w:rsidP="0019385E" w:rsidRDefault="0019385E">
            <w:pPr>
              <w:suppressLineNumbers/>
              <w:overflowPunct w:val="0"/>
              <w:autoSpaceDE w:val="0"/>
              <w:autoSpaceDN w:val="0"/>
              <w:adjustRightInd w:val="0"/>
              <w:textAlignment w:val="baseline"/>
              <w:rPr>
                <w:b/>
                <w:bCs/>
                <w:noProof w:val="0"/>
                <w:sz w:val="22"/>
                <w:rtl/>
                <w:lang w:eastAsia="he-IL"/>
              </w:rPr>
            </w:pPr>
          </w:p>
        </w:tc>
        <w:tc>
          <w:tcPr>
            <w:tcW w:w="3451" w:type="dxa"/>
          </w:tcPr>
          <w:p w:rsidRPr="0019385E" w:rsidR="0019385E" w:rsidP="0019385E" w:rsidRDefault="0019385E">
            <w:pPr>
              <w:suppressLineNumbers/>
              <w:overflowPunct w:val="0"/>
              <w:autoSpaceDE w:val="0"/>
              <w:autoSpaceDN w:val="0"/>
              <w:adjustRightInd w:val="0"/>
              <w:textAlignment w:val="baseline"/>
              <w:rPr>
                <w:b/>
                <w:bCs/>
                <w:noProof w:val="0"/>
                <w:sz w:val="22"/>
                <w:szCs w:val="22"/>
                <w:rtl/>
                <w:lang w:eastAsia="he-IL"/>
              </w:rPr>
            </w:pPr>
            <w:r w:rsidRPr="0019385E">
              <w:rPr>
                <w:noProof w:val="0"/>
                <w:sz w:val="22"/>
                <w:szCs w:val="22"/>
                <w:rtl/>
                <w:lang w:eastAsia="he-IL"/>
              </w:rPr>
              <w:t>ע"י ב"כ עו"ד ירון בן ארי</w:t>
            </w:r>
          </w:p>
        </w:tc>
        <w:tc>
          <w:tcPr>
            <w:tcW w:w="1417" w:type="dxa"/>
          </w:tcPr>
          <w:p w:rsidRPr="0019385E" w:rsidR="0019385E" w:rsidP="0019385E" w:rsidRDefault="0019385E">
            <w:pPr>
              <w:suppressLineNumbers/>
              <w:overflowPunct w:val="0"/>
              <w:autoSpaceDE w:val="0"/>
              <w:autoSpaceDN w:val="0"/>
              <w:adjustRightInd w:val="0"/>
              <w:textAlignment w:val="baseline"/>
              <w:rPr>
                <w:noProof w:val="0"/>
                <w:sz w:val="22"/>
                <w:szCs w:val="22"/>
                <w:rtl/>
                <w:lang w:eastAsia="he-IL"/>
              </w:rPr>
            </w:pPr>
          </w:p>
        </w:tc>
        <w:tc>
          <w:tcPr>
            <w:tcW w:w="2361" w:type="dxa"/>
          </w:tcPr>
          <w:p w:rsidRPr="0019385E" w:rsidR="0019385E" w:rsidP="0019385E" w:rsidRDefault="0019385E">
            <w:pPr>
              <w:suppressLineNumbers/>
              <w:overflowPunct w:val="0"/>
              <w:autoSpaceDE w:val="0"/>
              <w:autoSpaceDN w:val="0"/>
              <w:adjustRightInd w:val="0"/>
              <w:textAlignment w:val="baseline"/>
              <w:rPr>
                <w:b/>
                <w:bCs/>
                <w:noProof w:val="0"/>
                <w:sz w:val="22"/>
                <w:szCs w:val="26"/>
                <w:u w:val="single"/>
                <w:rtl/>
                <w:lang w:eastAsia="he-IL"/>
              </w:rPr>
            </w:pPr>
            <w:r w:rsidRPr="0019385E">
              <w:rPr>
                <w:b/>
                <w:bCs/>
                <w:noProof w:val="0"/>
                <w:sz w:val="22"/>
                <w:szCs w:val="22"/>
                <w:u w:val="single"/>
                <w:rtl/>
                <w:lang w:eastAsia="he-IL"/>
              </w:rPr>
              <w:t>התובע</w:t>
            </w:r>
          </w:p>
        </w:tc>
      </w:tr>
      <w:tr w:rsidRPr="0019385E" w:rsidR="0019385E" w:rsidTr="00A62802">
        <w:trPr>
          <w:trHeight w:val="762"/>
        </w:trPr>
        <w:tc>
          <w:tcPr>
            <w:tcW w:w="1418" w:type="dxa"/>
          </w:tcPr>
          <w:p w:rsidRPr="0019385E" w:rsidR="0019385E" w:rsidP="0019385E" w:rsidRDefault="0019385E">
            <w:pPr>
              <w:suppressLineNumbers/>
              <w:overflowPunct w:val="0"/>
              <w:autoSpaceDE w:val="0"/>
              <w:autoSpaceDN w:val="0"/>
              <w:adjustRightInd w:val="0"/>
              <w:spacing w:before="600"/>
              <w:jc w:val="center"/>
              <w:textAlignment w:val="baseline"/>
              <w:rPr>
                <w:b/>
                <w:bCs/>
                <w:noProof w:val="0"/>
                <w:sz w:val="22"/>
                <w:rtl/>
                <w:lang w:eastAsia="he-IL"/>
              </w:rPr>
            </w:pPr>
          </w:p>
        </w:tc>
        <w:tc>
          <w:tcPr>
            <w:tcW w:w="4868" w:type="dxa"/>
            <w:gridSpan w:val="2"/>
            <w:vAlign w:val="center"/>
          </w:tcPr>
          <w:p w:rsidRPr="0019385E" w:rsidR="0019385E" w:rsidP="0019385E" w:rsidRDefault="0019385E">
            <w:pPr>
              <w:suppressLineNumbers/>
              <w:overflowPunct w:val="0"/>
              <w:autoSpaceDE w:val="0"/>
              <w:autoSpaceDN w:val="0"/>
              <w:adjustRightInd w:val="0"/>
              <w:jc w:val="center"/>
              <w:textAlignment w:val="baseline"/>
              <w:rPr>
                <w:b/>
                <w:bCs/>
                <w:noProof w:val="0"/>
                <w:sz w:val="22"/>
                <w:rtl/>
                <w:lang w:eastAsia="he-IL"/>
              </w:rPr>
            </w:pPr>
            <w:r w:rsidRPr="0019385E">
              <w:rPr>
                <w:b/>
                <w:bCs/>
                <w:noProof w:val="0"/>
                <w:sz w:val="22"/>
                <w:rtl/>
                <w:lang w:eastAsia="he-IL"/>
              </w:rPr>
              <w:t>נגד</w:t>
            </w:r>
          </w:p>
        </w:tc>
        <w:tc>
          <w:tcPr>
            <w:tcW w:w="2361" w:type="dxa"/>
          </w:tcPr>
          <w:p w:rsidRPr="0019385E" w:rsidR="0019385E" w:rsidP="0019385E" w:rsidRDefault="0019385E">
            <w:pPr>
              <w:suppressLineNumbers/>
              <w:overflowPunct w:val="0"/>
              <w:autoSpaceDE w:val="0"/>
              <w:autoSpaceDN w:val="0"/>
              <w:adjustRightInd w:val="0"/>
              <w:textAlignment w:val="baseline"/>
              <w:rPr>
                <w:b/>
                <w:bCs/>
                <w:noProof w:val="0"/>
                <w:sz w:val="22"/>
                <w:rtl/>
                <w:lang w:eastAsia="he-IL"/>
              </w:rPr>
            </w:pPr>
          </w:p>
        </w:tc>
      </w:tr>
      <w:tr w:rsidRPr="0019385E" w:rsidR="0019385E" w:rsidTr="00A62802">
        <w:trPr>
          <w:trHeight w:val="844"/>
        </w:trPr>
        <w:tc>
          <w:tcPr>
            <w:tcW w:w="1418" w:type="dxa"/>
          </w:tcPr>
          <w:p w:rsidRPr="0019385E" w:rsidR="0019385E" w:rsidP="0019385E" w:rsidRDefault="0019385E">
            <w:pPr>
              <w:suppressLineNumbers/>
              <w:overflowPunct w:val="0"/>
              <w:autoSpaceDE w:val="0"/>
              <w:autoSpaceDN w:val="0"/>
              <w:adjustRightInd w:val="0"/>
              <w:textAlignment w:val="baseline"/>
              <w:rPr>
                <w:b/>
                <w:bCs/>
                <w:noProof w:val="0"/>
                <w:sz w:val="22"/>
                <w:rtl/>
                <w:lang w:eastAsia="he-IL"/>
              </w:rPr>
            </w:pPr>
          </w:p>
        </w:tc>
        <w:tc>
          <w:tcPr>
            <w:tcW w:w="4868" w:type="dxa"/>
            <w:gridSpan w:val="2"/>
          </w:tcPr>
          <w:p w:rsidRPr="0019385E" w:rsidR="0019385E" w:rsidP="0019385E" w:rsidRDefault="0019385E">
            <w:pPr>
              <w:suppressLineNumbers/>
              <w:overflowPunct w:val="0"/>
              <w:autoSpaceDE w:val="0"/>
              <w:autoSpaceDN w:val="0"/>
              <w:adjustRightInd w:val="0"/>
              <w:spacing w:line="360" w:lineRule="auto"/>
              <w:textAlignment w:val="baseline"/>
              <w:rPr>
                <w:b/>
                <w:bCs/>
                <w:noProof w:val="0"/>
                <w:sz w:val="22"/>
                <w:rtl/>
                <w:lang w:eastAsia="he-IL"/>
              </w:rPr>
            </w:pPr>
            <w:r w:rsidRPr="0019385E">
              <w:rPr>
                <w:b/>
                <w:bCs/>
                <w:noProof w:val="0"/>
                <w:sz w:val="22"/>
                <w:rtl/>
                <w:lang w:eastAsia="he-IL"/>
              </w:rPr>
              <w:t>1. סלימאן ראגב</w:t>
            </w:r>
          </w:p>
          <w:p w:rsidRPr="0019385E" w:rsidR="0019385E" w:rsidP="0019385E" w:rsidRDefault="0019385E">
            <w:pPr>
              <w:suppressLineNumbers/>
              <w:overflowPunct w:val="0"/>
              <w:autoSpaceDE w:val="0"/>
              <w:autoSpaceDN w:val="0"/>
              <w:adjustRightInd w:val="0"/>
              <w:spacing w:line="360" w:lineRule="auto"/>
              <w:textAlignment w:val="baseline"/>
              <w:rPr>
                <w:b/>
                <w:bCs/>
                <w:noProof w:val="0"/>
                <w:sz w:val="22"/>
                <w:rtl/>
                <w:lang w:eastAsia="he-IL"/>
              </w:rPr>
            </w:pPr>
            <w:r w:rsidRPr="0019385E">
              <w:rPr>
                <w:b/>
                <w:bCs/>
                <w:noProof w:val="0"/>
                <w:sz w:val="22"/>
                <w:rtl/>
                <w:lang w:eastAsia="he-IL"/>
              </w:rPr>
              <w:t>2.  כלל חברה לביטוח בע"מ</w:t>
            </w:r>
          </w:p>
        </w:tc>
        <w:tc>
          <w:tcPr>
            <w:tcW w:w="2361" w:type="dxa"/>
          </w:tcPr>
          <w:p w:rsidRPr="0019385E" w:rsidR="0019385E" w:rsidP="0019385E" w:rsidRDefault="0019385E">
            <w:pPr>
              <w:suppressLineNumbers/>
              <w:overflowPunct w:val="0"/>
              <w:autoSpaceDE w:val="0"/>
              <w:autoSpaceDN w:val="0"/>
              <w:adjustRightInd w:val="0"/>
              <w:textAlignment w:val="baseline"/>
              <w:rPr>
                <w:b/>
                <w:bCs/>
                <w:noProof w:val="0"/>
                <w:sz w:val="22"/>
                <w:szCs w:val="26"/>
                <w:u w:val="single"/>
                <w:rtl/>
                <w:lang w:eastAsia="he-IL"/>
              </w:rPr>
            </w:pPr>
          </w:p>
        </w:tc>
      </w:tr>
      <w:tr w:rsidRPr="0019385E" w:rsidR="0019385E" w:rsidTr="00A62802">
        <w:tc>
          <w:tcPr>
            <w:tcW w:w="1418" w:type="dxa"/>
          </w:tcPr>
          <w:p w:rsidRPr="0019385E" w:rsidR="0019385E" w:rsidP="0019385E" w:rsidRDefault="0019385E">
            <w:pPr>
              <w:suppressLineNumbers/>
              <w:overflowPunct w:val="0"/>
              <w:autoSpaceDE w:val="0"/>
              <w:autoSpaceDN w:val="0"/>
              <w:adjustRightInd w:val="0"/>
              <w:textAlignment w:val="baseline"/>
              <w:rPr>
                <w:b/>
                <w:bCs/>
                <w:noProof w:val="0"/>
                <w:sz w:val="22"/>
                <w:rtl/>
                <w:lang w:eastAsia="he-IL"/>
              </w:rPr>
            </w:pPr>
          </w:p>
        </w:tc>
        <w:tc>
          <w:tcPr>
            <w:tcW w:w="3451" w:type="dxa"/>
          </w:tcPr>
          <w:p w:rsidRPr="0019385E" w:rsidR="0019385E" w:rsidP="0019385E" w:rsidRDefault="0019385E">
            <w:pPr>
              <w:suppressLineNumbers/>
              <w:overflowPunct w:val="0"/>
              <w:autoSpaceDE w:val="0"/>
              <w:autoSpaceDN w:val="0"/>
              <w:adjustRightInd w:val="0"/>
              <w:textAlignment w:val="baseline"/>
              <w:rPr>
                <w:noProof w:val="0"/>
                <w:sz w:val="22"/>
                <w:szCs w:val="22"/>
                <w:rtl/>
                <w:lang w:eastAsia="he-IL"/>
              </w:rPr>
            </w:pPr>
            <w:r w:rsidRPr="0019385E">
              <w:rPr>
                <w:noProof w:val="0"/>
                <w:sz w:val="22"/>
                <w:szCs w:val="22"/>
                <w:rtl/>
                <w:lang w:eastAsia="he-IL"/>
              </w:rPr>
              <w:t>ע"י ב"כ עו"ד עופר שגיא</w:t>
            </w:r>
          </w:p>
        </w:tc>
        <w:tc>
          <w:tcPr>
            <w:tcW w:w="1417" w:type="dxa"/>
          </w:tcPr>
          <w:p w:rsidRPr="0019385E" w:rsidR="0019385E" w:rsidP="0019385E" w:rsidRDefault="0019385E">
            <w:pPr>
              <w:suppressLineNumbers/>
              <w:overflowPunct w:val="0"/>
              <w:autoSpaceDE w:val="0"/>
              <w:autoSpaceDN w:val="0"/>
              <w:adjustRightInd w:val="0"/>
              <w:textAlignment w:val="baseline"/>
              <w:rPr>
                <w:noProof w:val="0"/>
                <w:sz w:val="22"/>
                <w:szCs w:val="22"/>
                <w:rtl/>
                <w:lang w:eastAsia="he-IL"/>
              </w:rPr>
            </w:pPr>
            <w:r w:rsidRPr="0019385E">
              <w:rPr>
                <w:noProof w:val="0"/>
                <w:sz w:val="22"/>
                <w:szCs w:val="22"/>
                <w:rtl/>
                <w:lang w:eastAsia="he-IL"/>
              </w:rPr>
              <w:t xml:space="preserve"> </w:t>
            </w:r>
          </w:p>
        </w:tc>
        <w:tc>
          <w:tcPr>
            <w:tcW w:w="2361" w:type="dxa"/>
          </w:tcPr>
          <w:p w:rsidRPr="0019385E" w:rsidR="0019385E" w:rsidP="0019385E" w:rsidRDefault="0019385E">
            <w:pPr>
              <w:suppressLineNumbers/>
              <w:overflowPunct w:val="0"/>
              <w:autoSpaceDE w:val="0"/>
              <w:autoSpaceDN w:val="0"/>
              <w:adjustRightInd w:val="0"/>
              <w:textAlignment w:val="baseline"/>
              <w:rPr>
                <w:b/>
                <w:bCs/>
                <w:noProof w:val="0"/>
                <w:sz w:val="22"/>
                <w:szCs w:val="26"/>
                <w:u w:val="single"/>
                <w:rtl/>
                <w:lang w:eastAsia="he-IL"/>
              </w:rPr>
            </w:pPr>
            <w:r w:rsidRPr="0019385E">
              <w:rPr>
                <w:b/>
                <w:bCs/>
                <w:noProof w:val="0"/>
                <w:sz w:val="22"/>
                <w:szCs w:val="22"/>
                <w:u w:val="single"/>
                <w:rtl/>
                <w:lang w:eastAsia="he-IL"/>
              </w:rPr>
              <w:t>הנתבעים</w:t>
            </w:r>
          </w:p>
        </w:tc>
      </w:tr>
    </w:tbl>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sz w:val="22"/>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sz w:val="22"/>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center"/>
        <w:rPr>
          <w:b/>
          <w:bCs/>
          <w:noProof w:val="0"/>
          <w:sz w:val="28"/>
          <w:szCs w:val="28"/>
          <w:rtl/>
        </w:rPr>
      </w:pPr>
      <w:r w:rsidRPr="0019385E">
        <w:rPr>
          <w:b/>
          <w:bCs/>
          <w:noProof w:val="0"/>
          <w:sz w:val="28"/>
          <w:szCs w:val="28"/>
          <w:rtl/>
        </w:rPr>
        <w:t>החלטה</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center"/>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r w:rsidRPr="0019385E">
        <w:rPr>
          <w:noProof w:val="0"/>
          <w:rtl/>
        </w:rPr>
        <w:t>1.</w:t>
      </w:r>
      <w:r w:rsidRPr="0019385E">
        <w:rPr>
          <w:noProof w:val="0"/>
          <w:rtl/>
        </w:rPr>
        <w:tab/>
        <w:t>לפני בקשת הנתבעים, לפסול את חוות דעתו של המומחה הרפואי, בתחום האורתופדיה, ד"ר ליאור מרום.</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bookmarkStart w:name="_GoBack" w:id="0"/>
      <w:bookmarkEnd w:id="0"/>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r w:rsidRPr="0019385E">
        <w:rPr>
          <w:noProof w:val="0"/>
          <w:rtl/>
        </w:rPr>
        <w:t>2.</w:t>
      </w:r>
      <w:r w:rsidRPr="0019385E">
        <w:rPr>
          <w:noProof w:val="0"/>
          <w:rtl/>
        </w:rPr>
        <w:tab/>
        <w:t>וזו השתלשלות הדברים הצריכה לעניין:</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r w:rsidRPr="0019385E">
        <w:rPr>
          <w:noProof w:val="0"/>
          <w:rtl/>
        </w:rPr>
        <w:tab/>
        <w:t>(א)</w:t>
      </w:r>
      <w:r w:rsidRPr="0019385E">
        <w:rPr>
          <w:noProof w:val="0"/>
          <w:rtl/>
        </w:rPr>
        <w:tab/>
        <w:t>התובע, יליד 27.4.1994, נפגע, לטענתו, בתאונת דרכים אשר אירעה בתאריך 10.3.2012, ובתביעתו המונחת לפני עותר הוא לכך שהנתבעים יחויבו לפצותו עבור נזקי הגוף שנגרמו לו.</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r w:rsidRPr="0019385E">
        <w:rPr>
          <w:noProof w:val="0"/>
          <w:rtl/>
        </w:rPr>
        <w:tab/>
        <w:t>(ב)</w:t>
      </w:r>
      <w:r w:rsidRPr="0019385E">
        <w:rPr>
          <w:noProof w:val="0"/>
          <w:rtl/>
        </w:rPr>
        <w:tab/>
        <w:t>עוד לפני הגשת תביעת התובע לבית המשפט, הסכימו בא כוח התובע ונציג הנתבעת מס' 2 למנות את ד"ר ליאור מרום, כמומחה רפואי בתחום האורתופדיה, כדי שיחווה דעתו על מצבו של התובע.</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r w:rsidRPr="0019385E">
        <w:rPr>
          <w:noProof w:val="0"/>
          <w:rtl/>
        </w:rPr>
        <w:tab/>
        <w:t>(ג)</w:t>
      </w:r>
      <w:r w:rsidRPr="0019385E">
        <w:rPr>
          <w:noProof w:val="0"/>
          <w:rtl/>
        </w:rPr>
        <w:tab/>
        <w:t xml:space="preserve">על רקע הסכמת הצדדים למינוי ד"ר מרום כמומחה מוסכם, שלח בא כוח התובע לד"ר מרום את החומר הרפואי הרלבנטי, ושלח אף העתק </w:t>
      </w:r>
      <w:r>
        <w:rPr>
          <w:rFonts w:hint="cs"/>
          <w:noProof w:val="0"/>
          <w:rtl/>
        </w:rPr>
        <w:t>מ</w:t>
      </w:r>
      <w:r w:rsidRPr="0019385E">
        <w:rPr>
          <w:noProof w:val="0"/>
          <w:rtl/>
        </w:rPr>
        <w:t>מכתבו אל הנתבעת מס' 2.</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r w:rsidRPr="0019385E">
        <w:rPr>
          <w:noProof w:val="0"/>
          <w:rtl/>
        </w:rPr>
        <w:lastRenderedPageBreak/>
        <w:tab/>
        <w:t>(ד)</w:t>
      </w:r>
      <w:r w:rsidRPr="0019385E">
        <w:rPr>
          <w:noProof w:val="0"/>
          <w:rtl/>
        </w:rPr>
        <w:tab/>
        <w:t>בתאריך 4.4.2016 קיבלה הנתבעת העתק ממכתב בא כוח התובע, ואז התברר לה כי בא כוח התובע שלח למומחה מסמכים מתיקו של התובע במוסד לביטוח לאומי, לרבות חוות דעת רפואית, שניתנה לצורך קביעת נכותו של התובע לפי פרק ט' ("ביטוח נכות") לחוק הביטוח הלאומי [נוסח משולב], תשנ"ה - 1995, ולרבות קביעות שיעורי הנכות שנקבעו לתובע.</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r w:rsidRPr="0019385E">
        <w:rPr>
          <w:noProof w:val="0"/>
          <w:rtl/>
        </w:rPr>
        <w:tab/>
        <w:t>(ה)</w:t>
      </w:r>
      <w:r w:rsidRPr="0019385E">
        <w:rPr>
          <w:noProof w:val="0"/>
          <w:rtl/>
        </w:rPr>
        <w:tab/>
        <w:t>בעקבות זאת, ועוד באותו תאריך (4.4.2016) הודיעה הנתבעת לבא כוח התובע, כי היא מבטלת הסכמתה למינוי ד"ר מרום כמומחה.</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r w:rsidRPr="0019385E">
        <w:rPr>
          <w:noProof w:val="0"/>
          <w:rtl/>
        </w:rPr>
        <w:tab/>
        <w:t>(ו)</w:t>
      </w:r>
      <w:r w:rsidRPr="0019385E">
        <w:rPr>
          <w:noProof w:val="0"/>
          <w:rtl/>
        </w:rPr>
        <w:tab/>
        <w:t>בתאריך 6.4.2016 שלח ד"ר מרום מכתב אל הנתבעת, ובו הצהיר כדלקמן: "אני מצהיר כי לא קיבלתי כל חומר מל"ל לעיוני".</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r w:rsidRPr="0019385E">
        <w:rPr>
          <w:noProof w:val="0"/>
          <w:rtl/>
        </w:rPr>
        <w:tab/>
        <w:t>(ז)</w:t>
      </w:r>
      <w:r w:rsidRPr="0019385E">
        <w:rPr>
          <w:noProof w:val="0"/>
          <w:rtl/>
        </w:rPr>
        <w:tab/>
        <w:t>נוכח הצהרתו של ד"ר מרום, חזרה בה הנתבעת מהודעתה כי היא מבטלת הסכמתה למינויו.</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r w:rsidRPr="0019385E">
        <w:rPr>
          <w:noProof w:val="0"/>
          <w:rtl/>
        </w:rPr>
        <w:tab/>
        <w:t>(ח)</w:t>
      </w:r>
      <w:r w:rsidRPr="0019385E">
        <w:rPr>
          <w:noProof w:val="0"/>
          <w:rtl/>
        </w:rPr>
        <w:tab/>
        <w:t>ואולם, משניתנה חוות דעתו של ד"ר מרום, התברר, כי בתחילת רשימת המסמכים שעמדו לרשותו, המובאת בתחילת חוות הדעת, ציין ד"ר מרום כי עמדו לרשותו "מסמכי נכות כללית מל"ל מתאריך 22.5.15, 29.4.15, 12.5.15".</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r w:rsidRPr="0019385E">
        <w:rPr>
          <w:noProof w:val="0"/>
          <w:rtl/>
        </w:rPr>
        <w:t>3.</w:t>
      </w:r>
      <w:r w:rsidRPr="0019385E">
        <w:rPr>
          <w:noProof w:val="0"/>
          <w:rtl/>
        </w:rPr>
        <w:tab/>
        <w:t>לטענת בא כוח הנתבעים, ד"ר מרום היה חשוף למסמכים רפואיים ולקביעות הנכות שנקבעו בעניינו של התובע, בניגוד להוראת תקנה 8(א) לתקנות הפיצויים לנפגעי תאונות דרכים (מומחים), תשמ"ז - 1986. לדעת בא כוח הנתבעים, בחוות דעתו של ד"ר מרום נפל פגם שאינו ניתן לתיקון, ויש לפסול את חוות דעתו.</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p>
    <w:p w:rsidRPr="0019385E" w:rsidR="0019385E" w:rsidP="00376057"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r w:rsidRPr="0019385E">
        <w:rPr>
          <w:noProof w:val="0"/>
          <w:rtl/>
        </w:rPr>
        <w:t>4.</w:t>
      </w:r>
      <w:r w:rsidRPr="0019385E">
        <w:rPr>
          <w:noProof w:val="0"/>
          <w:rtl/>
        </w:rPr>
        <w:tab/>
        <w:t xml:space="preserve">לעומת טענות בא כוח הנתבעים, טען בא כוח התובע, כי אין כל ראיה לכך, שהמסמכים שהומצאו לד"ר מרום השפיעו באופן כלשהו על חוות דעתו. לטענת בא כוח התובע, השוואת </w:t>
      </w:r>
      <w:r w:rsidR="00376057">
        <w:rPr>
          <w:rFonts w:hint="cs"/>
          <w:noProof w:val="0"/>
          <w:rtl/>
        </w:rPr>
        <w:t xml:space="preserve">סעיפי הנכות שנקבעו לתובע </w:t>
      </w:r>
      <w:r w:rsidRPr="0019385E">
        <w:rPr>
          <w:noProof w:val="0"/>
          <w:rtl/>
        </w:rPr>
        <w:t>על ידי הוועדה הרפואית שליד המוסד לביטוח לאומי</w:t>
      </w:r>
      <w:r w:rsidR="00376057">
        <w:rPr>
          <w:rFonts w:hint="cs"/>
          <w:noProof w:val="0"/>
          <w:rtl/>
        </w:rPr>
        <w:t xml:space="preserve">, ושיעורי הנכות שנקבעו, </w:t>
      </w:r>
      <w:r w:rsidRPr="0019385E">
        <w:rPr>
          <w:noProof w:val="0"/>
          <w:rtl/>
        </w:rPr>
        <w:t xml:space="preserve">עם הנכויות שנקבעו לתובע על ידי ד"ר מרום, מלמדת, כי למסמכי המוסד לביטוח לאומי לא הייתה כל השפעה על ד"ר מרום. בא כוח התובע מפנה לפסיקה, ממנה עולה, כי לא בהכרח יש לפסול את חוות דעת המומחה, ויש לבחון האם מדובר בפגם שנפל העלול </w:t>
      </w:r>
      <w:r w:rsidRPr="0019385E">
        <w:rPr>
          <w:noProof w:val="0"/>
          <w:rtl/>
        </w:rPr>
        <w:lastRenderedPageBreak/>
        <w:t>לגרום לעיוות דין. בא כוח התובע מוסיף, כי מכיוון שנראה שד"</w:t>
      </w:r>
      <w:r w:rsidR="00376057">
        <w:rPr>
          <w:rFonts w:hint="cs"/>
          <w:noProof w:val="0"/>
          <w:rtl/>
        </w:rPr>
        <w:t>ר</w:t>
      </w:r>
      <w:r w:rsidRPr="0019385E">
        <w:rPr>
          <w:noProof w:val="0"/>
          <w:rtl/>
        </w:rPr>
        <w:t xml:space="preserve"> מרום לא הושפע ממסכי המוסד לביטוח לאומי, יש לדחות את בקשת הנתבעים.</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r w:rsidRPr="0019385E">
        <w:rPr>
          <w:noProof w:val="0"/>
          <w:rtl/>
        </w:rPr>
        <w:t>5.</w:t>
      </w:r>
      <w:r w:rsidRPr="0019385E">
        <w:rPr>
          <w:noProof w:val="0"/>
          <w:rtl/>
        </w:rPr>
        <w:tab/>
        <w:t>לאחר ששקלתי טענות באי כוח הצדדים, הנני סבור, כי הבקשה לפסול את חוות דעתו של ד"ר מרום, בדין יסודה.</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r w:rsidRPr="0019385E">
        <w:rPr>
          <w:noProof w:val="0"/>
          <w:rtl/>
        </w:rPr>
        <w:tab/>
        <w:t>התקנות קבעו באופן מפורש, כי אין להעביר למומחה הרפואי מסמכים, שבמהותם הם חוות דעת רפואית, וזאת כדי לשמור על מעמדו האובייקטיבי של המומחה. על בא כוח התובע היה להקפיד על כך (במיוחד לאור העובדה, שבא כוח התובע מטפל בתביעות רבות שעילתן בחוק הפיצויים לנפגעי תאונות דרכים, תשל"ה - 1975, וחזקה שהוא יודע להבחין בין המותר והאסור). מדיניות שיפוטית ראויה מחייבת, כי בכל מקרה שבו נמסרו למומחה הרפואי "האובייקטיבי" מסמכים שהמחוקק אסר למסור לו, חוות דעתו תיפסל. אם לא תומר כך, כי אז ייפתח פתח לניצול לרעה של ההליך, והצדדים יתירו לעצמם למסור למומחה מסמכים שאין למסור לו, ולאחר מכן יטילו על בית המשפט לבחון, עד כמה, ואם בכלל, המסמכים שנשלחו אל המומחה בניגוד להוראות התקנות, השפיעו על חוות דעתו.</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r w:rsidRPr="0019385E">
        <w:rPr>
          <w:noProof w:val="0"/>
          <w:rtl/>
        </w:rPr>
        <w:t>6.</w:t>
      </w:r>
      <w:r w:rsidRPr="0019385E">
        <w:rPr>
          <w:noProof w:val="0"/>
          <w:rtl/>
        </w:rPr>
        <w:tab/>
        <w:t xml:space="preserve">לא נעלם מעיני, כי בא כוח התובע הפנה להחלטה שניתנה ברע"א 7323/11 </w:t>
      </w:r>
      <w:r w:rsidRPr="0019385E">
        <w:rPr>
          <w:b/>
          <w:bCs/>
          <w:noProof w:val="0"/>
          <w:rtl/>
        </w:rPr>
        <w:t>ועקנין נ' המאגר הישראלי לביטוחי רכב</w:t>
      </w:r>
      <w:r w:rsidRPr="0019385E">
        <w:rPr>
          <w:noProof w:val="0"/>
          <w:rtl/>
        </w:rPr>
        <w:t xml:space="preserve"> (28.11.2011), ולעניין זה אעיר ההערות הבאות:</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r w:rsidRPr="0019385E">
        <w:rPr>
          <w:noProof w:val="0"/>
          <w:rtl/>
        </w:rPr>
        <w:tab/>
        <w:t>(א)</w:t>
      </w:r>
      <w:r w:rsidRPr="0019385E">
        <w:rPr>
          <w:noProof w:val="0"/>
          <w:rtl/>
        </w:rPr>
        <w:tab/>
        <w:t>באותו מקרה התבקשה פסילת המומחה לא משום שהוצגו לו מסמכים שאסור היה למסור לו, אלא משום שהתברר, שהמומחה הורשע בעבירה פלילית של עשיית מעשה מגונה בסייעת שלו. השאלה שהתעוררה הייתה, האם הרשעתו של המומחה בעבירה פלילית מלמדת על חוסר מהימנות, המצדיק פסילת חוות הדעת, ומינוי מומחה אחר תחתיו. נקבע, כי אין לפסול את חוות הדעת רק בשל ההרשעה הפלילית, ויש לשקול האם ההרשעה היא אינדיקציה, המלמדת על חוסר מהימנותו של המומחה, ועוצמת האינדיקציה תלויה, בין היתר, במהות העבירה.</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r w:rsidRPr="0019385E">
        <w:rPr>
          <w:noProof w:val="0"/>
          <w:rtl/>
        </w:rPr>
        <w:tab/>
        <w:t>(ב)</w:t>
      </w:r>
      <w:r w:rsidRPr="0019385E">
        <w:rPr>
          <w:noProof w:val="0"/>
          <w:rtl/>
        </w:rPr>
        <w:tab/>
        <w:t xml:space="preserve">ההחלטה הנ"ל ניתנה על ידי שופט אחד (כב' המשנה לנשיאה, השופט א' ריבלין), ועל כן אינה הלכה מחייבת שלא ניתן לסטות ממנה. עם כל הגיונה של ההחלטה באותו עניין, הנני סבור שמשקל המדיניות המשפטית, שיש ליישם במקרים בהם למומחה נמסר חומר </w:t>
      </w:r>
      <w:r w:rsidRPr="0019385E">
        <w:rPr>
          <w:noProof w:val="0"/>
          <w:rtl/>
        </w:rPr>
        <w:lastRenderedPageBreak/>
        <w:t>אסור, הוא כבד יותר, וחשוב לגרום לעורכי הדין לפעול על פי ההוראות שנקבעו על ידי המחוקק.</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rtl/>
        </w:rPr>
      </w:pPr>
      <w:r w:rsidRPr="0019385E">
        <w:rPr>
          <w:noProof w:val="0"/>
          <w:rtl/>
        </w:rPr>
        <w:t>7.</w:t>
      </w:r>
      <w:r w:rsidRPr="0019385E">
        <w:rPr>
          <w:noProof w:val="0"/>
          <w:rtl/>
        </w:rPr>
        <w:tab/>
        <w:t>מאוד מטרידה ההצהרה שמסר המומחה, כי "לא קיבלתי כל חומר מל"ל לעיוני", כאשר בפתח חוות דעתו נוקב הוא במסמכי המוסד לביטוח לאומי שעמדו לעיונו. אפשר והיה מקום לבקש מהמומחה הבהרותיו לעניין זה. ואולם, מכיוון שהחלטתי לפסול את חוות הדעת מנימוקים של מדיניות משפטית, לא מצאתי צורך בהבהרות המומחה, ואני מוכן להניח שטעה בתום לב.</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b/>
          <w:bCs/>
          <w:noProof w:val="0"/>
          <w:rtl/>
        </w:rPr>
      </w:pPr>
      <w:r w:rsidRPr="0019385E">
        <w:rPr>
          <w:noProof w:val="0"/>
          <w:rtl/>
        </w:rPr>
        <w:t>8.</w:t>
      </w:r>
      <w:r w:rsidRPr="0019385E">
        <w:rPr>
          <w:noProof w:val="0"/>
          <w:rtl/>
        </w:rPr>
        <w:tab/>
      </w:r>
      <w:r w:rsidRPr="0019385E">
        <w:rPr>
          <w:b/>
          <w:bCs/>
          <w:noProof w:val="0"/>
          <w:rtl/>
        </w:rPr>
        <w:t>אשר על כל האמור לעיל, הנני מחליט כדלקמן:</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1134"/>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701" w:hanging="1134"/>
        <w:jc w:val="both"/>
        <w:rPr>
          <w:noProof w:val="0"/>
          <w:rtl/>
        </w:rPr>
      </w:pPr>
      <w:r w:rsidRPr="0019385E">
        <w:rPr>
          <w:noProof w:val="0"/>
          <w:rtl/>
        </w:rPr>
        <w:t>(א)</w:t>
      </w:r>
      <w:r w:rsidRPr="0019385E">
        <w:rPr>
          <w:noProof w:val="0"/>
          <w:rtl/>
        </w:rPr>
        <w:tab/>
        <w:t>הנני פוסל את חוות דעתו של ד"ר ליאור מרום.</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701" w:hanging="1134"/>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noProof w:val="0"/>
          <w:rtl/>
        </w:rPr>
      </w:pPr>
      <w:r w:rsidRPr="0019385E">
        <w:rPr>
          <w:noProof w:val="0"/>
          <w:rtl/>
        </w:rPr>
        <w:t>(ב)</w:t>
      </w:r>
      <w:r w:rsidRPr="0019385E">
        <w:rPr>
          <w:noProof w:val="0"/>
          <w:rtl/>
        </w:rPr>
        <w:tab/>
        <w:t>הבקשה למינוי מומחה רפואי בתחום האורתופדיה תידון על ידי במעמד באי כוח הצדדים בישיבת קדם המשפט הבאה (הקבועה ליום 21.5.2018).</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noProof w:val="0"/>
          <w:rtl/>
        </w:rPr>
      </w:pP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noProof w:val="0"/>
        </w:rPr>
      </w:pPr>
      <w:r w:rsidRPr="0019385E">
        <w:rPr>
          <w:noProof w:val="0"/>
          <w:rtl/>
        </w:rPr>
        <w:t>(ג)</w:t>
      </w:r>
      <w:r w:rsidRPr="0019385E">
        <w:rPr>
          <w:noProof w:val="0"/>
          <w:rtl/>
        </w:rPr>
        <w:tab/>
        <w:t>הנני מחייב את התובע לשלם לנתבעת מס' 2 את התשלומים ששולמו על ידה לד"ר מרום, ובנוסף לכך הנני מחייב את התובע לשלם לנתבעת מס' 2 הוצאות בקשה זו, לרבות שכ"ט עו"ד ומע"מ, בסכום כולל של 9,360 ₪.</w:t>
      </w:r>
    </w:p>
    <w:p w:rsidR="00FD71BD" w:rsidRDefault="00FD71BD">
      <w:pPr>
        <w:spacing w:line="360" w:lineRule="auto"/>
        <w:jc w:val="both"/>
        <w:rPr>
          <w:rFonts w:ascii="Arial" w:hAnsi="Arial"/>
          <w:noProof w:val="0"/>
          <w:rtl/>
        </w:rPr>
      </w:pPr>
    </w:p>
    <w:p w:rsidRPr="00FD71BD" w:rsidR="00694556" w:rsidP="00FD71BD" w:rsidRDefault="0043502B">
      <w:pPr>
        <w:spacing w:line="360" w:lineRule="auto"/>
        <w:ind w:left="567"/>
        <w:jc w:val="both"/>
        <w:rPr>
          <w:rFonts w:ascii="Arial" w:hAnsi="Arial"/>
          <w:b/>
          <w:bCs/>
          <w:noProof w:val="0"/>
          <w:rtl/>
        </w:rPr>
      </w:pPr>
      <w:r w:rsidRPr="00FD71BD">
        <w:rPr>
          <w:rFonts w:ascii="Arial" w:hAnsi="Arial"/>
          <w:b/>
          <w:bCs/>
          <w:noProof w:val="0"/>
          <w:rtl/>
        </w:rPr>
        <w:t>נית</w:t>
      </w:r>
      <w:r w:rsidRPr="00FD71BD">
        <w:rPr>
          <w:rFonts w:hint="cs" w:ascii="Arial" w:hAnsi="Arial"/>
          <w:b/>
          <w:bCs/>
          <w:noProof w:val="0"/>
          <w:rtl/>
        </w:rPr>
        <w:t>נה</w:t>
      </w:r>
      <w:r w:rsidRPr="00FD71BD" w:rsidR="00005C8B">
        <w:rPr>
          <w:rFonts w:ascii="Arial" w:hAnsi="Arial"/>
          <w:b/>
          <w:bCs/>
          <w:noProof w:val="0"/>
          <w:rtl/>
        </w:rPr>
        <w:t xml:space="preserve"> היום, </w:t>
      </w:r>
      <w:sdt>
        <w:sdtPr>
          <w:rPr>
            <w:b/>
            <w:bCs/>
            <w:rtl/>
          </w:rPr>
          <w:alias w:val="1455"/>
          <w:tag w:val="1455"/>
          <w:id w:val="1666048407"/>
          <w:text w:multiLine="1"/>
        </w:sdtPr>
        <w:sdtEndPr/>
        <w:sdtContent>
          <w:r>
            <w:rPr>
              <w:rFonts w:ascii="Arial" w:hAnsi="Arial"/>
              <w:b/>
              <w:bCs/>
              <w:noProof w:val="0"/>
              <w:rtl/>
            </w:rPr>
            <w:t>כ"ו ניסן תשע"ח</w:t>
          </w:r>
        </w:sdtContent>
      </w:sdt>
      <w:r w:rsidRPr="00FD71BD" w:rsidR="00005C8B">
        <w:rPr>
          <w:rFonts w:ascii="Arial" w:hAnsi="Arial"/>
          <w:b/>
          <w:bCs/>
          <w:noProof w:val="0"/>
          <w:rtl/>
        </w:rPr>
        <w:t xml:space="preserve">, </w:t>
      </w:r>
      <w:sdt>
        <w:sdtPr>
          <w:rPr>
            <w:b/>
            <w:bCs/>
            <w:rtl/>
          </w:rPr>
          <w:alias w:val="1456"/>
          <w:tag w:val="1456"/>
          <w:id w:val="-1186288958"/>
          <w:text w:multiLine="1"/>
        </w:sdtPr>
        <w:sdtEndPr/>
        <w:sdtContent>
          <w:r>
            <w:rPr>
              <w:rFonts w:hint="cs" w:ascii="Arial" w:hAnsi="Arial"/>
              <w:b/>
              <w:bCs/>
              <w:noProof w:val="0"/>
              <w:rtl/>
            </w:rPr>
            <w:t>11 אפריל 2018</w:t>
          </w:r>
        </w:sdtContent>
      </w:sdt>
      <w:r w:rsidRPr="00FD71BD" w:rsidR="00005C8B">
        <w:rPr>
          <w:rFonts w:ascii="Arial" w:hAnsi="Arial"/>
          <w:b/>
          <w:bCs/>
          <w:noProof w:val="0"/>
          <w:rtl/>
        </w:rPr>
        <w:t>, בהעדר הצדדים.</w:t>
      </w:r>
    </w:p>
    <w:p w:rsidR="00694556" w:rsidP="00FD71BD" w:rsidRDefault="00BD6531">
      <w:pPr>
        <w:tabs>
          <w:tab w:val="left" w:pos="2553"/>
        </w:tabs>
        <w:jc w:val="right"/>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7637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9e88ca083de479a" cstate="print">
                            <a:extLst>
                              <a:ext uri="{28A0092B-C50C-407E-A947-70E740481C1C}"/>
                            </a:extLst>
                          </a:blip>
                          <a:stretch>
                            <a:fillRect/>
                          </a:stretch>
                        </pic:blipFill>
                        <pic:spPr>
                          <a:xfrm>
                            <a:off x="0" y="0"/>
                            <a:ext cx="1476375" cy="790575"/>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5"/>
      <w:jc w:val="center"/>
      <w:rPr>
        <w:rStyle w:val="ac"/>
      </w:rPr>
    </w:pPr>
    <w:r w:rsidRPr="004E6E3C">
      <w:rPr>
        <w:rStyle w:val="ac"/>
        <w:rFonts w:cs="Times New Roman"/>
      </w:rPr>
      <w:fldChar w:fldCharType="begin"/>
    </w:r>
    <w:r w:rsidRPr="004E6E3C" w:rsidR="00005C8B">
      <w:rPr>
        <w:rStyle w:val="ac"/>
        <w:rFonts w:cs="Times New Roman"/>
      </w:rPr>
      <w:instrText xml:space="preserve"> PAGE </w:instrText>
    </w:r>
    <w:r w:rsidRPr="004E6E3C">
      <w:rPr>
        <w:rStyle w:val="ac"/>
        <w:rFonts w:cs="Times New Roman"/>
      </w:rPr>
      <w:fldChar w:fldCharType="separate"/>
    </w:r>
    <w:r w:rsidR="00187763">
      <w:rPr>
        <w:rStyle w:val="ac"/>
        <w:rFonts w:cs="Times New Roman"/>
        <w:rtl/>
      </w:rPr>
      <w:t>1</w:t>
    </w:r>
    <w:r w:rsidRPr="004E6E3C">
      <w:rPr>
        <w:rStyle w:val="ac"/>
        <w:rFonts w:cs="Times New Roman"/>
      </w:rPr>
      <w:fldChar w:fldCharType="end"/>
    </w:r>
    <w:r w:rsidRPr="004E6E3C" w:rsidR="00005C8B">
      <w:rPr>
        <w:rStyle w:val="ac"/>
        <w:rFonts w:hint="cs"/>
        <w:rtl/>
      </w:rPr>
      <w:t xml:space="preserve"> מתוך </w:t>
    </w:r>
    <w:r w:rsidRPr="004E6E3C">
      <w:rPr>
        <w:rStyle w:val="ac"/>
      </w:rPr>
      <w:fldChar w:fldCharType="begin"/>
    </w:r>
    <w:r w:rsidRPr="004E6E3C" w:rsidR="00005C8B">
      <w:rPr>
        <w:rStyle w:val="ac"/>
      </w:rPr>
      <w:instrText xml:space="preserve"> NUMPAGES </w:instrText>
    </w:r>
    <w:r w:rsidRPr="004E6E3C">
      <w:rPr>
        <w:rStyle w:val="ac"/>
      </w:rPr>
      <w:fldChar w:fldCharType="separate"/>
    </w:r>
    <w:r w:rsidR="00187763">
      <w:rPr>
        <w:rStyle w:val="ac"/>
        <w:rtl/>
      </w:rPr>
      <w:t>4</w:t>
    </w:r>
    <w:r w:rsidRPr="004E6E3C">
      <w:rPr>
        <w:rStyle w:val="ac"/>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19385E" w:rsidR="0019385E" w:rsidP="0019385E" w:rsidRDefault="0019385E">
    <w:pPr>
      <w:tabs>
        <w:tab w:val="center" w:pos="4153"/>
        <w:tab w:val="right" w:pos="8306"/>
      </w:tabs>
      <w:spacing w:line="360" w:lineRule="auto"/>
      <w:ind w:left="567" w:hanging="567"/>
      <w:jc w:val="center"/>
      <w:rPr>
        <w:rFonts w:cs="FrankRuehl"/>
        <w:noProof w:val="0"/>
        <w:sz w:val="28"/>
        <w:szCs w:val="28"/>
        <w:rtl/>
      </w:rPr>
    </w:pPr>
    <w:r>
      <w:rPr>
        <w:rFonts w:cs="FrankRuehl"/>
        <w:sz w:val="28"/>
        <w:szCs w:val="28"/>
      </w:rPr>
    </w:r>
    <w:r w:rsidRPr="0019385E">
      <w:rPr>
        <w:rFonts w:cs="FrankRuehl"/>
        <w:sz w:val="28"/>
        <w:szCs w:val="28"/>
      </w:rPr>
      <w:drawing>
        <wp:inline distT="0" distB="0" distL="0" distR="0" wp14:anchorId="6EA09833" wp14:editId="21FBCFD8">
          <wp:extent cx="457200" cy="466725"/>
          <wp:effectExtent l="0" t="0" r="0" b="9525"/>
          <wp:docPr id="2" name="תמונה 2"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3881"/>
      <w:gridCol w:w="1043"/>
      <w:gridCol w:w="3581"/>
    </w:tblGrid>
    <w:tr w:rsidRPr="0019385E" w:rsidR="0019385E" w:rsidTr="003160FC">
      <w:trPr>
        <w:trHeight w:val="418" w:hRule="exact"/>
        <w:jc w:val="center"/>
      </w:trPr>
      <w:tc>
        <w:tcPr>
          <w:tcW w:w="8522" w:type="dxa"/>
          <w:gridSpan w:val="3"/>
        </w:tcPr>
        <w:p w:rsidRPr="0019385E" w:rsidR="0019385E" w:rsidP="0019385E" w:rsidRDefault="0019385E">
          <w:pPr>
            <w:tabs>
              <w:tab w:val="center" w:pos="4153"/>
              <w:tab w:val="right" w:pos="8306"/>
            </w:tabs>
            <w:spacing w:line="360" w:lineRule="auto"/>
            <w:ind w:left="567" w:hanging="567"/>
            <w:jc w:val="center"/>
            <w:rPr>
              <w:rFonts w:ascii="Tahoma" w:hAnsi="Tahoma" w:cs="Tahoma"/>
              <w:noProof w:val="0"/>
              <w:color w:val="000080"/>
              <w:sz w:val="18"/>
              <w:szCs w:val="18"/>
              <w:rtl/>
            </w:rPr>
          </w:pPr>
          <w:r w:rsidRPr="0019385E">
            <w:rPr>
              <w:rFonts w:ascii="Tahoma" w:hAnsi="Tahoma" w:cs="Tahoma"/>
              <w:noProof w:val="0"/>
              <w:color w:val="000080"/>
              <w:sz w:val="18"/>
              <w:szCs w:val="18"/>
              <w:rtl/>
            </w:rPr>
            <w:t>בית המשפט המחוזי בחיפה</w:t>
          </w:r>
        </w:p>
      </w:tc>
    </w:tr>
    <w:tr w:rsidRPr="0019385E" w:rsidR="0019385E" w:rsidTr="003160FC">
      <w:trPr>
        <w:trHeight w:val="663"/>
        <w:jc w:val="center"/>
      </w:trPr>
      <w:tc>
        <w:tcPr>
          <w:tcW w:w="3889" w:type="dxa"/>
          <w:tcBorders>
            <w:bottom w:val="single" w:color="auto" w:sz="4" w:space="0"/>
          </w:tcBorders>
        </w:tcPr>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hanging="567"/>
            <w:jc w:val="both"/>
            <w:rPr>
              <w:b/>
              <w:bCs/>
              <w:noProof w:val="0"/>
              <w:sz w:val="22"/>
              <w:szCs w:val="22"/>
              <w:rtl/>
            </w:rPr>
          </w:pPr>
          <w:r w:rsidRPr="0019385E">
            <w:rPr>
              <w:b/>
              <w:bCs/>
              <w:noProof w:val="0"/>
              <w:sz w:val="22"/>
              <w:szCs w:val="22"/>
              <w:rtl/>
            </w:rPr>
            <w:t>א 46553-02-18</w:t>
          </w:r>
        </w:p>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hanging="567"/>
            <w:jc w:val="both"/>
            <w:rPr>
              <w:b/>
              <w:bCs/>
              <w:noProof w:val="0"/>
              <w:sz w:val="22"/>
              <w:szCs w:val="22"/>
              <w:rtl/>
            </w:rPr>
          </w:pPr>
          <w:r w:rsidRPr="0019385E">
            <w:rPr>
              <w:b/>
              <w:bCs/>
              <w:noProof w:val="0"/>
              <w:sz w:val="22"/>
              <w:szCs w:val="22"/>
              <w:rtl/>
            </w:rPr>
            <w:t>חמ"כ נ' סלימאן ראגב ואח'</w:t>
          </w:r>
        </w:p>
      </w:tc>
      <w:tc>
        <w:tcPr>
          <w:tcW w:w="1045" w:type="dxa"/>
        </w:tcPr>
        <w:p w:rsidRPr="0019385E" w:rsidR="0019385E" w:rsidP="0019385E" w:rsidRDefault="0019385E">
          <w:pPr>
            <w:tabs>
              <w:tab w:val="center" w:pos="4153"/>
              <w:tab w:val="right" w:pos="8306"/>
            </w:tabs>
            <w:ind w:left="567" w:hanging="567"/>
            <w:jc w:val="center"/>
            <w:rPr>
              <w:b/>
              <w:bCs/>
              <w:noProof w:val="0"/>
              <w:sz w:val="22"/>
              <w:szCs w:val="22"/>
              <w:rtl/>
            </w:rPr>
          </w:pPr>
        </w:p>
      </w:tc>
      <w:tc>
        <w:tcPr>
          <w:tcW w:w="3588" w:type="dxa"/>
          <w:tcBorders>
            <w:bottom w:val="single" w:color="auto" w:sz="4" w:space="0"/>
          </w:tcBorders>
          <w:vAlign w:val="center"/>
        </w:tcPr>
        <w:p w:rsidRPr="0019385E" w:rsidR="0019385E" w:rsidP="0019385E" w:rsidRDefault="00FD71BD">
          <w:pPr>
            <w:tabs>
              <w:tab w:val="center" w:pos="4153"/>
              <w:tab w:val="right" w:pos="8306"/>
            </w:tabs>
            <w:ind w:left="567" w:hanging="567"/>
            <w:jc w:val="center"/>
            <w:rPr>
              <w:b/>
              <w:bCs/>
              <w:noProof w:val="0"/>
              <w:sz w:val="22"/>
              <w:szCs w:val="22"/>
              <w:rtl/>
            </w:rPr>
          </w:pPr>
          <w:r w:rsidRPr="00FD71BD">
            <w:rPr>
              <w:rFonts w:hint="cs"/>
              <w:b/>
              <w:bCs/>
              <w:noProof w:val="0"/>
              <w:sz w:val="22"/>
              <w:szCs w:val="22"/>
              <w:rtl/>
            </w:rPr>
            <w:t>11.4.2018</w:t>
          </w:r>
        </w:p>
      </w:tc>
    </w:tr>
  </w:tbl>
  <w:p w:rsidRPr="0019385E" w:rsidR="0019385E" w:rsidP="0019385E" w:rsidRDefault="001938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noProof w:val="0"/>
        <w:sz w:val="22"/>
        <w:rtl/>
      </w:rPr>
    </w:pPr>
  </w:p>
  <w:p w:rsidRPr="0019385E" w:rsidR="00694556" w:rsidP="0019385E" w:rsidRDefault="00694556">
    <w:pPr>
      <w:pStyle w:val="a3"/>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87763"/>
    <w:rsid w:val="00191C82"/>
    <w:rsid w:val="0019385E"/>
    <w:rsid w:val="001C4003"/>
    <w:rsid w:val="001D4DBF"/>
    <w:rsid w:val="001E75CA"/>
    <w:rsid w:val="002265FF"/>
    <w:rsid w:val="002379A1"/>
    <w:rsid w:val="00271B56"/>
    <w:rsid w:val="002A02BD"/>
    <w:rsid w:val="002C344E"/>
    <w:rsid w:val="002E75E9"/>
    <w:rsid w:val="00307A6A"/>
    <w:rsid w:val="00307C40"/>
    <w:rsid w:val="00320433"/>
    <w:rsid w:val="003230C7"/>
    <w:rsid w:val="00327E50"/>
    <w:rsid w:val="0033597A"/>
    <w:rsid w:val="00353C94"/>
    <w:rsid w:val="00362612"/>
    <w:rsid w:val="0036743F"/>
    <w:rsid w:val="003715DD"/>
    <w:rsid w:val="00376057"/>
    <w:rsid w:val="003823E0"/>
    <w:rsid w:val="003A4521"/>
    <w:rsid w:val="003D1C8C"/>
    <w:rsid w:val="0040096C"/>
    <w:rsid w:val="004029C9"/>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A16C2B"/>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A5A11"/>
    <w:rsid w:val="00EB6C79"/>
    <w:rsid w:val="00EC37E9"/>
    <w:rsid w:val="00EE5F74"/>
    <w:rsid w:val="00F06995"/>
    <w:rsid w:val="00F13623"/>
    <w:rsid w:val="00F25323"/>
    <w:rsid w:val="00F44D1D"/>
    <w:rsid w:val="00F84B6D"/>
    <w:rsid w:val="00F852D0"/>
    <w:rsid w:val="00FA5FDA"/>
    <w:rsid w:val="00FD1419"/>
    <w:rsid w:val="00FD71BD"/>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0AA808CC"/>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64423"/>
    <w:pPr>
      <w:tabs>
        <w:tab w:val="center" w:pos="4153"/>
        <w:tab w:val="right" w:pos="8306"/>
      </w:tabs>
    </w:pPr>
  </w:style>
  <w:style w:type="paragraph" w:styleId="a5">
    <w:name w:val="footer"/>
    <w:basedOn w:val="a"/>
    <w:rsid w:val="00C64423"/>
    <w:pPr>
      <w:tabs>
        <w:tab w:val="center" w:pos="4153"/>
        <w:tab w:val="right" w:pos="8306"/>
      </w:tabs>
    </w:pPr>
  </w:style>
  <w:style w:type="paragraph" w:customStyle="1" w:styleId="a6">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semiHidden/>
    <w:rsid w:val="00C64423"/>
    <w:rPr>
      <w:rFonts w:cs="Times New Roman"/>
      <w:noProof w:val="0"/>
    </w:rPr>
  </w:style>
  <w:style w:type="character" w:styleId="a8">
    <w:name w:val="annotation reference"/>
    <w:basedOn w:val="a0"/>
    <w:semiHidden/>
    <w:rsid w:val="00C64423"/>
    <w:rPr>
      <w:sz w:val="16"/>
      <w:szCs w:val="16"/>
    </w:rPr>
  </w:style>
  <w:style w:type="paragraph" w:styleId="a9">
    <w:name w:val="Balloon Text"/>
    <w:basedOn w:val="a"/>
    <w:semiHidden/>
    <w:rsid w:val="00C64423"/>
    <w:rPr>
      <w:rFonts w:ascii="Tahoma" w:hAnsi="Tahoma" w:cs="Tahoma"/>
      <w:sz w:val="16"/>
      <w:szCs w:val="16"/>
    </w:rPr>
  </w:style>
  <w:style w:type="table" w:styleId="aa">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C64423"/>
  </w:style>
  <w:style w:type="character" w:styleId="ac">
    <w:name w:val="page number"/>
    <w:basedOn w:val="a0"/>
    <w:rsid w:val="00C64423"/>
  </w:style>
  <w:style w:type="table" w:customStyle="1" w:styleId="1">
    <w:name w:val="טבלת רשת1"/>
    <w:basedOn w:val="a1"/>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3230C7"/>
    <w:rPr>
      <w:color w:val="808080"/>
    </w:rPr>
  </w:style>
  <w:style w:type="character" w:customStyle="1" w:styleId="a4">
    <w:name w:val="כותרת עליונה תו"/>
    <w:basedOn w:val="a0"/>
    <w:link w:val="a3"/>
    <w:uiPriority w:val="99"/>
    <w:locked/>
    <w:rsid w:val="0019385E"/>
    <w:rPr>
      <w:rFonts w:cs="David"/>
      <w:noProof/>
      <w:sz w:val="24"/>
      <w:szCs w:val="24"/>
    </w:rPr>
  </w:style>
  <w:style w:type="paragraph" w:customStyle="1" w:styleId="ae">
    <w:name w:val="שמות"/>
    <w:basedOn w:val="a"/>
    <w:rsid w:val="0019385E"/>
    <w:pPr>
      <w:suppressLineNumbers/>
      <w:overflowPunct w:val="0"/>
      <w:autoSpaceDE w:val="0"/>
      <w:autoSpaceDN w:val="0"/>
      <w:adjustRightInd w:val="0"/>
      <w:textAlignment w:val="baseline"/>
    </w:pPr>
    <w:rPr>
      <w:b/>
      <w:bCs/>
      <w:noProof w:val="0"/>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59e88ca083de479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793995"/>
    <w:rsid w:val="007C6F98"/>
    <w:rsid w:val="007D6678"/>
    <w:rsid w:val="008B4366"/>
    <w:rsid w:val="009133C7"/>
    <w:rsid w:val="00961B27"/>
    <w:rsid w:val="0098543F"/>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8543F"/>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98543F"/>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98543F"/>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836</Words>
  <Characters>4182</Characters>
  <Application>Microsoft Office Word</Application>
  <DocSecurity>0</DocSecurity>
  <Lines>34</Lines>
  <Paragraphs>10</Paragraphs>
  <ScaleCrop>false</ScaleCrop>
  <Company>Microsoft Corporation</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יצחק כהן</cp:lastModifiedBy>
  <cp:revision>110</cp:revision>
  <dcterms:created xsi:type="dcterms:W3CDTF">2012-08-06T05:16:00Z</dcterms:created>
  <dcterms:modified xsi:type="dcterms:W3CDTF">2018-04-11T09:28:00Z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