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12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יפית זלמנוביץ גיסין</w:t>
          </w:r>
        </w:sdtContent>
      </w:sdt>
      <w:r w:rsidRPr="003C4168" w:rsidR="00E8170A">
        <w:rPr>
          <w:b/>
          <w:bCs/>
          <w:sz w:val="28"/>
          <w:szCs w:val="28"/>
          <w:rtl/>
        </w:rPr>
        <w:t xml:space="preserve"> </w:t>
      </w: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69607A" w:rsidR="002C1C43" w:rsidTr="0069607A">
        <w:trPr>
          <w:trHeight w:val="291"/>
        </w:trPr>
        <w:tc>
          <w:tcPr>
            <w:tcW w:w="3396" w:type="dxa"/>
            <w:tcMar>
              <w:top w:w="113" w:type="dxa"/>
              <w:left w:w="108" w:type="dxa"/>
              <w:bottom w:w="113" w:type="dxa"/>
              <w:right w:w="108" w:type="dxa"/>
            </w:tcMar>
          </w:tcPr>
          <w:p w:rsidRPr="0069607A" w:rsidR="002C1C43" w:rsidP="00C71F5D" w:rsidRDefault="002C1C43">
            <w:pPr>
              <w:spacing w:line="360" w:lineRule="auto"/>
              <w:jc w:val="both"/>
              <w:rPr>
                <w:rFonts w:ascii="David" w:hAnsi="David" w:eastAsia="David"/>
                <w:b/>
                <w:bCs/>
              </w:rPr>
            </w:pPr>
            <w:r w:rsidRPr="0069607A">
              <w:rPr>
                <w:rFonts w:hint="cs"/>
                <w:b/>
                <w:bCs/>
                <w:u w:val="single"/>
                <w:rtl/>
              </w:rPr>
              <w:t>ה</w:t>
            </w:r>
            <w:sdt>
              <w:sdtPr>
                <w:rPr>
                  <w:rFonts w:hint="cs" w:ascii="David" w:hAnsi="David" w:eastAsia="David"/>
                  <w:b/>
                  <w:bCs/>
                  <w:u w:val="single"/>
                  <w:rtl/>
                </w:rPr>
                <w:alias w:val="1182"/>
                <w:tag w:val="1182"/>
                <w:id w:val="966700331"/>
                <w:placeholder>
                  <w:docPart w:val="2CFF24023F394676A6A1350FD0C92320"/>
                </w:placeholder>
                <w:text w:multiLine="1"/>
              </w:sdtPr>
              <w:sdtEndPr/>
              <w:sdtContent>
                <w:r w:rsidRPr="0069607A">
                  <w:rPr>
                    <w:rStyle w:val="ac"/>
                    <w:b/>
                    <w:bCs/>
                    <w:color w:val="auto"/>
                    <w:u w:val="single"/>
                    <w:rtl/>
                  </w:rPr>
                  <w:t>תובע</w:t>
                </w:r>
                <w:r w:rsidRPr="0069607A" w:rsidR="0069607A">
                  <w:rPr>
                    <w:rStyle w:val="ac"/>
                    <w:rFonts w:hint="cs"/>
                    <w:b/>
                    <w:bCs/>
                    <w:color w:val="auto"/>
                    <w:u w:val="single"/>
                    <w:rtl/>
                  </w:rPr>
                  <w:t>ת</w:t>
                </w:r>
              </w:sdtContent>
            </w:sdt>
            <w:r w:rsidRPr="0069607A">
              <w:rPr>
                <w:rFonts w:hint="cs" w:ascii="David" w:hAnsi="David" w:eastAsia="David"/>
                <w:b/>
                <w:bCs/>
                <w:rtl/>
              </w:rPr>
              <w:t xml:space="preserve">: </w:t>
            </w:r>
            <w:r w:rsidRPr="0069607A" w:rsidR="00C71F5D">
              <w:rPr>
                <w:rFonts w:ascii="David" w:hAnsi="David" w:eastAsia="David"/>
                <w:b/>
                <w:bCs/>
                <w:rtl/>
              </w:rPr>
              <w:t xml:space="preserve"> </w:t>
            </w:r>
          </w:p>
        </w:tc>
        <w:tc>
          <w:tcPr>
            <w:tcW w:w="5406" w:type="dxa"/>
            <w:tcMar>
              <w:top w:w="113" w:type="dxa"/>
              <w:left w:w="108" w:type="dxa"/>
              <w:bottom w:w="113" w:type="dxa"/>
              <w:right w:w="108" w:type="dxa"/>
            </w:tcMar>
          </w:tcPr>
          <w:p w:rsidRPr="0069607A" w:rsidR="002C1C43" w:rsidP="00C71F5D" w:rsidRDefault="009B0C91">
            <w:pPr>
              <w:rPr>
                <w:rFonts w:ascii="David" w:hAnsi="David" w:eastAsia="David"/>
                <w:b/>
                <w:bCs/>
                <w:rtl/>
              </w:rPr>
            </w:pPr>
            <w:sdt>
              <w:sdtPr>
                <w:rPr>
                  <w:rFonts w:hint="cs" w:ascii="David" w:hAnsi="David" w:eastAsia="David"/>
                  <w:b/>
                  <w:bCs/>
                  <w:rtl/>
                </w:rPr>
                <w:alias w:val="1478"/>
                <w:tag w:val="1478"/>
                <w:id w:val="1915891952"/>
                <w:placeholder>
                  <w:docPart w:val="CD28D077A80B447C9485B3026659CE8D"/>
                </w:placeholder>
                <w:text w:multiLine="1"/>
              </w:sdtPr>
              <w:sdtEndPr/>
              <w:sdtContent>
                <w:r w:rsidRPr="0069607A" w:rsidR="00C71F5D">
                  <w:rPr>
                    <w:rStyle w:val="ac"/>
                    <w:b/>
                    <w:bCs/>
                    <w:color w:val="auto"/>
                    <w:rtl/>
                  </w:rPr>
                  <w:t>אלמו הנע מבוקר בע"מ</w:t>
                </w:r>
              </w:sdtContent>
            </w:sdt>
          </w:p>
          <w:p w:rsidRPr="0069607A" w:rsidR="00C71F5D" w:rsidP="00C71F5D" w:rsidRDefault="00C71F5D">
            <w:pPr>
              <w:rPr>
                <w:rFonts w:ascii="David" w:hAnsi="David" w:eastAsia="David"/>
                <w:b/>
                <w:bCs/>
                <w:u w:val="single"/>
              </w:rPr>
            </w:pPr>
            <w:r w:rsidRPr="0069607A">
              <w:rPr>
                <w:rFonts w:hint="cs" w:ascii="David" w:hAnsi="David" w:eastAsia="David"/>
                <w:b/>
                <w:bCs/>
                <w:rtl/>
              </w:rPr>
              <w:t>ע"י ב"כ: עו"ד</w:t>
            </w:r>
            <w:r w:rsidRPr="0069607A" w:rsidR="0069607A">
              <w:rPr>
                <w:rFonts w:hint="cs" w:ascii="David" w:hAnsi="David" w:eastAsia="David"/>
                <w:b/>
                <w:bCs/>
                <w:rtl/>
              </w:rPr>
              <w:t xml:space="preserve"> בוזגלו צ'רלי</w:t>
            </w:r>
          </w:p>
        </w:tc>
      </w:tr>
      <w:tr w:rsidRPr="0069607A" w:rsidR="002C1C43" w:rsidTr="002C1C43">
        <w:tc>
          <w:tcPr>
            <w:tcW w:w="8802" w:type="dxa"/>
            <w:gridSpan w:val="2"/>
            <w:tcMar>
              <w:top w:w="113" w:type="dxa"/>
              <w:left w:w="108" w:type="dxa"/>
              <w:bottom w:w="113" w:type="dxa"/>
              <w:right w:w="108" w:type="dxa"/>
            </w:tcMar>
            <w:vAlign w:val="center"/>
          </w:tcPr>
          <w:p w:rsidRPr="0069607A" w:rsidR="002C1C43" w:rsidRDefault="008F32AB">
            <w:pPr>
              <w:rPr>
                <w:rFonts w:ascii="David" w:hAnsi="David" w:eastAsia="David"/>
                <w:b/>
                <w:bCs/>
              </w:rPr>
            </w:pPr>
            <w:r w:rsidRPr="0069607A">
              <w:rPr>
                <w:rFonts w:hint="cs"/>
                <w:b/>
                <w:bCs/>
                <w:rtl/>
              </w:rPr>
              <w:t xml:space="preserve">                                                        </w:t>
            </w:r>
            <w:r w:rsidRPr="0069607A" w:rsidR="002C1C43">
              <w:rPr>
                <w:rFonts w:hint="cs"/>
                <w:b/>
                <w:bCs/>
                <w:rtl/>
              </w:rPr>
              <w:t>-</w:t>
            </w:r>
          </w:p>
        </w:tc>
      </w:tr>
      <w:tr w:rsidRPr="0069607A" w:rsidR="002C1C43" w:rsidTr="00C71F5D">
        <w:trPr>
          <w:trHeight w:val="692"/>
        </w:trPr>
        <w:tc>
          <w:tcPr>
            <w:tcW w:w="3396" w:type="dxa"/>
            <w:tcMar>
              <w:top w:w="113" w:type="dxa"/>
              <w:left w:w="108" w:type="dxa"/>
              <w:bottom w:w="113" w:type="dxa"/>
              <w:right w:w="108" w:type="dxa"/>
            </w:tcMar>
          </w:tcPr>
          <w:p w:rsidRPr="0069607A" w:rsidR="002C1C43" w:rsidP="00C71F5D" w:rsidRDefault="00C71F5D">
            <w:pPr>
              <w:rPr>
                <w:rFonts w:ascii="David" w:hAnsi="David" w:eastAsia="David"/>
              </w:rPr>
            </w:pPr>
            <w:r w:rsidRPr="0069607A">
              <w:rPr>
                <w:rFonts w:hint="cs"/>
                <w:b/>
                <w:bCs/>
                <w:u w:val="single"/>
                <w:rtl/>
              </w:rPr>
              <w:t>ה</w:t>
            </w:r>
            <w:sdt>
              <w:sdtPr>
                <w:rPr>
                  <w:rFonts w:hint="cs"/>
                  <w:b/>
                  <w:bCs/>
                  <w:u w:val="single"/>
                  <w:rtl/>
                </w:rPr>
                <w:alias w:val="1509"/>
                <w:tag w:val="1509"/>
                <w:id w:val="1917132716"/>
                <w:placeholder>
                  <w:docPart w:val="80F31EDA0C674178A5DB0046F5ADD3E1"/>
                </w:placeholder>
                <w:text w:multiLine="1"/>
              </w:sdtPr>
              <w:sdtEndPr/>
              <w:sdtContent>
                <w:r w:rsidRPr="0069607A">
                  <w:rPr>
                    <w:rStyle w:val="ac"/>
                    <w:b/>
                    <w:bCs/>
                    <w:color w:val="auto"/>
                    <w:u w:val="single"/>
                    <w:rtl/>
                  </w:rPr>
                  <w:t>נתבע</w:t>
                </w:r>
              </w:sdtContent>
            </w:sdt>
            <w:r w:rsidRPr="0069607A" w:rsidR="002C1C43">
              <w:rPr>
                <w:rFonts w:hint="cs"/>
                <w:b/>
                <w:bCs/>
                <w:rtl/>
              </w:rPr>
              <w:t xml:space="preserve">: </w:t>
            </w:r>
            <w:r w:rsidRPr="0069607A">
              <w:rPr>
                <w:b/>
                <w:bCs/>
                <w:rtl/>
              </w:rPr>
              <w:t xml:space="preserve"> </w:t>
            </w:r>
          </w:p>
        </w:tc>
        <w:tc>
          <w:tcPr>
            <w:tcW w:w="5406" w:type="dxa"/>
            <w:tcMar>
              <w:top w:w="113" w:type="dxa"/>
              <w:left w:w="108" w:type="dxa"/>
              <w:bottom w:w="113" w:type="dxa"/>
              <w:right w:w="108" w:type="dxa"/>
            </w:tcMar>
          </w:tcPr>
          <w:p w:rsidRPr="0069607A" w:rsidR="002C1C43" w:rsidP="0069607A" w:rsidRDefault="009B0C91">
            <w:pPr>
              <w:rPr>
                <w:rFonts w:ascii="David" w:hAnsi="David" w:eastAsia="David"/>
                <w:b/>
                <w:bCs/>
                <w:rtl/>
              </w:rPr>
            </w:pPr>
            <w:sdt>
              <w:sdtPr>
                <w:rPr>
                  <w:rFonts w:hint="cs" w:ascii="David" w:hAnsi="David" w:eastAsia="David"/>
                  <w:b/>
                  <w:bCs/>
                  <w:rtl/>
                </w:rPr>
                <w:alias w:val="1486"/>
                <w:tag w:val="1486"/>
                <w:id w:val="-1982540255"/>
                <w:text w:multiLine="1"/>
              </w:sdtPr>
              <w:sdtEndPr/>
              <w:sdtContent>
                <w:r w:rsidRPr="0069607A" w:rsidR="000E13CD">
                  <w:rPr>
                    <w:rStyle w:val="ac"/>
                    <w:b/>
                    <w:bCs/>
                    <w:color w:val="auto"/>
                    <w:rtl/>
                  </w:rPr>
                  <w:t>משה קאופמן</w:t>
                </w:r>
              </w:sdtContent>
            </w:sdt>
            <w:r w:rsidRPr="0069607A" w:rsidR="00C71F5D">
              <w:rPr>
                <w:rFonts w:ascii="David" w:hAnsi="David" w:eastAsia="David"/>
                <w:b/>
                <w:bCs/>
                <w:rtl/>
              </w:rPr>
              <w:t xml:space="preserve">  </w:t>
            </w:r>
          </w:p>
          <w:p w:rsidRPr="0069607A" w:rsidR="00C71F5D" w:rsidP="00C71F5D" w:rsidRDefault="00C71F5D">
            <w:pPr>
              <w:rPr>
                <w:rFonts w:ascii="David" w:hAnsi="David" w:eastAsia="David"/>
                <w:b/>
                <w:bCs/>
              </w:rPr>
            </w:pPr>
            <w:r w:rsidRPr="0069607A">
              <w:rPr>
                <w:rFonts w:hint="cs" w:ascii="David" w:hAnsi="David" w:eastAsia="David"/>
                <w:b/>
                <w:bCs/>
                <w:rtl/>
              </w:rPr>
              <w:t>ע"י ב"כ: עו"ד</w:t>
            </w:r>
            <w:r w:rsidR="0069607A">
              <w:rPr>
                <w:rFonts w:hint="cs" w:ascii="David" w:hAnsi="David" w:eastAsia="David"/>
                <w:b/>
                <w:bCs/>
                <w:rtl/>
              </w:rPr>
              <w:t xml:space="preserve"> בונן סמדר</w:t>
            </w:r>
          </w:p>
        </w:tc>
      </w:tr>
    </w:tbl>
    <w:p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Pr="003C4168" w:rsidR="0069607A" w:rsidP="0069607A" w:rsidRDefault="0069607A">
      <w:pPr>
        <w:jc w:val="center"/>
        <w:rPr>
          <w:b/>
          <w:bCs/>
          <w:sz w:val="28"/>
          <w:szCs w:val="28"/>
          <w:u w:val="single"/>
          <w:rtl/>
        </w:rPr>
      </w:pPr>
    </w:p>
    <w:p w:rsidR="0069607A" w:rsidP="0069607A" w:rsidRDefault="0069607A">
      <w:pPr>
        <w:spacing w:line="360" w:lineRule="auto"/>
        <w:ind w:left="720" w:hanging="720"/>
        <w:jc w:val="both"/>
      </w:pPr>
      <w:r>
        <w:rPr>
          <w:rtl/>
        </w:rPr>
        <w:t>1.</w:t>
      </w:r>
      <w:r>
        <w:rPr>
          <w:rtl/>
        </w:rPr>
        <w:tab/>
      </w:r>
      <w:r>
        <w:rPr>
          <w:rFonts w:hint="cs"/>
          <w:b/>
          <w:bCs/>
          <w:rtl/>
        </w:rPr>
        <w:t xml:space="preserve">ההליכים המקדמיים הסתיימו. </w:t>
      </w:r>
      <w:bookmarkStart w:name="_GoBack" w:id="0"/>
      <w:bookmarkEnd w:id="0"/>
      <w:r w:rsidRPr="0069607A">
        <w:rPr>
          <w:b/>
          <w:bCs/>
          <w:rtl/>
        </w:rPr>
        <w:t xml:space="preserve">התיק </w:t>
      </w:r>
      <w:r w:rsidRPr="0069607A">
        <w:rPr>
          <w:rFonts w:hint="cs"/>
          <w:b/>
          <w:bCs/>
          <w:rtl/>
        </w:rPr>
        <w:t>נ</w:t>
      </w:r>
      <w:r w:rsidRPr="0069607A">
        <w:rPr>
          <w:b/>
          <w:bCs/>
          <w:rtl/>
        </w:rPr>
        <w:t xml:space="preserve">קבע לשמיעת הוכחות בפני </w:t>
      </w:r>
      <w:r w:rsidRPr="0069607A">
        <w:rPr>
          <w:rFonts w:hint="cs"/>
          <w:b/>
          <w:bCs/>
          <w:rtl/>
        </w:rPr>
        <w:t>כב' השופטת עידית איצקוביץ ביום 27.12.2018 בין השעות 9:00-12:30.</w:t>
      </w:r>
      <w:r>
        <w:rPr>
          <w:rFonts w:hint="cs"/>
          <w:rtl/>
        </w:rPr>
        <w:t xml:space="preserve"> </w:t>
      </w:r>
      <w:r>
        <w:rPr>
          <w:rtl/>
        </w:rPr>
        <w:t xml:space="preserve">ככל שיותיר הזמן, לפי שיקול דעת המותב, יישמעו סיכומים בעל פה במועד זה. </w:t>
      </w:r>
    </w:p>
    <w:p w:rsidR="0069607A" w:rsidP="007145D2" w:rsidRDefault="0069607A">
      <w:pPr>
        <w:spacing w:line="360" w:lineRule="auto"/>
        <w:ind w:left="720" w:hanging="720"/>
        <w:jc w:val="both"/>
      </w:pPr>
      <w:r>
        <w:rPr>
          <w:rtl/>
        </w:rPr>
        <w:t>2.</w:t>
      </w:r>
      <w:r>
        <w:rPr>
          <w:rtl/>
        </w:rPr>
        <w:tab/>
        <w:t xml:space="preserve">הצדדים יגישו את העדויות הראשיות שלהם ושל עדיהם בתצהירים, בצירוף כל המסמכים שברצונם להסתמך עליהם. </w:t>
      </w:r>
    </w:p>
    <w:p w:rsidR="0069607A" w:rsidP="007145D2" w:rsidRDefault="0069607A">
      <w:pPr>
        <w:spacing w:line="360" w:lineRule="auto"/>
        <w:ind w:left="720" w:hanging="720"/>
        <w:jc w:val="both"/>
      </w:pPr>
      <w:r>
        <w:rPr>
          <w:rtl/>
        </w:rPr>
        <w:t>3.</w:t>
      </w:r>
      <w:r>
        <w:rPr>
          <w:rtl/>
        </w:rPr>
        <w:tab/>
        <w:t xml:space="preserve">העתקי התצהירים והמסמכים יועברו ישירות לצד השני. </w:t>
      </w:r>
    </w:p>
    <w:p w:rsidRPr="00201310" w:rsidR="0069607A" w:rsidP="0069607A" w:rsidRDefault="0069607A">
      <w:pPr>
        <w:spacing w:line="360" w:lineRule="auto"/>
        <w:ind w:left="720" w:hanging="720"/>
        <w:jc w:val="both"/>
        <w:rPr>
          <w:b/>
          <w:bCs/>
        </w:rPr>
      </w:pPr>
      <w:r>
        <w:rPr>
          <w:rtl/>
        </w:rPr>
        <w:t>4.</w:t>
      </w:r>
      <w:r>
        <w:rPr>
          <w:rtl/>
        </w:rPr>
        <w:tab/>
      </w:r>
      <w:r w:rsidRPr="00201310">
        <w:rPr>
          <w:b/>
          <w:bCs/>
          <w:rtl/>
        </w:rPr>
        <w:t>על התובע</w:t>
      </w:r>
      <w:r>
        <w:rPr>
          <w:rFonts w:hint="cs"/>
          <w:b/>
          <w:bCs/>
          <w:rtl/>
        </w:rPr>
        <w:t>ת</w:t>
      </w:r>
      <w:r w:rsidRPr="00201310">
        <w:rPr>
          <w:b/>
          <w:bCs/>
          <w:rtl/>
        </w:rPr>
        <w:t xml:space="preserve"> להגיש תצהירים </w:t>
      </w:r>
      <w:r w:rsidRPr="00201310">
        <w:rPr>
          <w:rFonts w:hint="cs"/>
          <w:b/>
          <w:bCs/>
          <w:rtl/>
        </w:rPr>
        <w:t>מטעמו</w:t>
      </w:r>
      <w:r w:rsidRPr="00201310">
        <w:rPr>
          <w:b/>
          <w:bCs/>
          <w:rtl/>
        </w:rPr>
        <w:t xml:space="preserve"> עד ליום  </w:t>
      </w:r>
      <w:r>
        <w:rPr>
          <w:rFonts w:hint="cs"/>
          <w:b/>
          <w:bCs/>
          <w:rtl/>
        </w:rPr>
        <w:t xml:space="preserve">20.7.2018 </w:t>
      </w:r>
      <w:r w:rsidRPr="00201310">
        <w:rPr>
          <w:b/>
          <w:bCs/>
          <w:rtl/>
        </w:rPr>
        <w:t xml:space="preserve">והנתבע עד ליום </w:t>
      </w:r>
      <w:r>
        <w:rPr>
          <w:rFonts w:hint="cs"/>
          <w:b/>
          <w:bCs/>
          <w:rtl/>
        </w:rPr>
        <w:t>20.11.2018</w:t>
      </w:r>
    </w:p>
    <w:p w:rsidR="0069607A" w:rsidP="0069607A" w:rsidRDefault="0069607A">
      <w:pPr>
        <w:spacing w:line="360" w:lineRule="auto"/>
        <w:ind w:left="720" w:hanging="720"/>
        <w:jc w:val="both"/>
      </w:pPr>
      <w:r>
        <w:rPr>
          <w:rtl/>
        </w:rPr>
        <w:t>5.</w:t>
      </w:r>
      <w:r>
        <w:rPr>
          <w:rtl/>
        </w:rPr>
        <w:tab/>
        <w:t>לא יוגשו תצהירי התובע</w:t>
      </w:r>
      <w:r>
        <w:rPr>
          <w:rFonts w:hint="cs"/>
          <w:rtl/>
        </w:rPr>
        <w:t>ת</w:t>
      </w:r>
      <w:r>
        <w:rPr>
          <w:rtl/>
        </w:rPr>
        <w:t xml:space="preserve"> במועד, תימחק התובענה על הסף. עפ"י תקנה 44 (3) לתקנות בית הדין לעבודה (סדרי דין) תשנ"ב – 1991</w:t>
      </w:r>
      <w:r>
        <w:rPr>
          <w:rFonts w:hint="cs"/>
          <w:rtl/>
        </w:rPr>
        <w:t xml:space="preserve">. </w:t>
      </w:r>
      <w:r>
        <w:rPr>
          <w:rtl/>
        </w:rPr>
        <w:t>לא יוגשו תצהירי הנתבע במועד, יחשב הנתבע כמי שאין בדעת</w:t>
      </w:r>
      <w:r>
        <w:rPr>
          <w:rFonts w:hint="cs"/>
          <w:rtl/>
        </w:rPr>
        <w:t>ו</w:t>
      </w:r>
      <w:r>
        <w:rPr>
          <w:rtl/>
        </w:rPr>
        <w:t xml:space="preserve"> להגיש ראיות.</w:t>
      </w:r>
    </w:p>
    <w:p w:rsidR="0069607A" w:rsidP="007145D2" w:rsidRDefault="0069607A">
      <w:pPr>
        <w:spacing w:line="360" w:lineRule="auto"/>
        <w:ind w:left="720" w:hanging="720"/>
        <w:jc w:val="both"/>
      </w:pPr>
      <w:r>
        <w:rPr>
          <w:rtl/>
        </w:rPr>
        <w:t>6.</w:t>
      </w:r>
      <w:r>
        <w:rPr>
          <w:rtl/>
        </w:rPr>
        <w:tab/>
        <w:t>מטעמי יעילות ההליך, יגיש כל צד למזכירות בית הדין עותק של תצהיריו, לרבות הנספחים (ממוספרים ומדוגלנים), 14 יום לפני מועד ההוכחות.</w:t>
      </w:r>
    </w:p>
    <w:p w:rsidR="0069607A" w:rsidP="007145D2" w:rsidRDefault="0069607A">
      <w:pPr>
        <w:spacing w:line="360" w:lineRule="auto"/>
        <w:ind w:left="720" w:hanging="720"/>
        <w:jc w:val="both"/>
        <w:rPr>
          <w:rtl/>
        </w:rPr>
      </w:pPr>
      <w:r>
        <w:rPr>
          <w:rtl/>
        </w:rPr>
        <w:t>7.</w:t>
      </w:r>
      <w:r>
        <w:rPr>
          <w:rtl/>
        </w:rPr>
        <w:tab/>
        <w:t xml:space="preserve">סירב עד לאמת דבריו בתצהיר, או שלא עלה בידי צד לבוא עימו בדברים, יגיש אותו צד למזכירות בית הדין בקשה להזמנת אותו עד שיעיד בפני בית הדין במועד ישיבת ההוכחות. בבקשה האמורה יפורטו הסיבות בגינן מבוקש להעיד עדים שלא בתצהיר. הבקשה תוגש לא יאוחר ממועד הגשת תצהירי הצד המבקש. </w:t>
      </w:r>
    </w:p>
    <w:p w:rsidR="0069607A" w:rsidP="007145D2" w:rsidRDefault="0069607A">
      <w:pPr>
        <w:spacing w:line="360" w:lineRule="auto"/>
        <w:ind w:left="720" w:hanging="720"/>
        <w:jc w:val="both"/>
      </w:pPr>
    </w:p>
    <w:p w:rsidRPr="0069607A" w:rsidR="002C1C43" w:rsidP="0069607A" w:rsidRDefault="002C1C43">
      <w:pPr>
        <w:spacing w:line="360" w:lineRule="auto"/>
        <w:jc w:val="both"/>
        <w:rPr>
          <w:rFonts w:ascii="Arial" w:hAnsi="Arial"/>
          <w:b/>
          <w:bCs/>
          <w:noProof w:val="0"/>
          <w:rtl/>
        </w:rPr>
      </w:pPr>
      <w:r w:rsidRPr="0069607A">
        <w:rPr>
          <w:rFonts w:hint="cs" w:ascii="Arial" w:hAnsi="Arial"/>
          <w:b/>
          <w:bCs/>
          <w:noProof w:val="0"/>
          <w:rtl/>
        </w:rPr>
        <w:t>נית</w:t>
      </w:r>
      <w:r w:rsidRPr="0069607A" w:rsidR="00221FF9">
        <w:rPr>
          <w:rFonts w:hint="cs" w:ascii="Arial" w:hAnsi="Arial"/>
          <w:b/>
          <w:bCs/>
          <w:noProof w:val="0"/>
          <w:rtl/>
        </w:rPr>
        <w:t>נה</w:t>
      </w:r>
      <w:r w:rsidRPr="0069607A">
        <w:rPr>
          <w:rFonts w:hint="cs" w:ascii="Arial" w:hAnsi="Arial"/>
          <w:b/>
          <w:bCs/>
          <w:noProof w:val="0"/>
          <w:rtl/>
        </w:rPr>
        <w:t xml:space="preserve"> היום, </w:t>
      </w:r>
      <w:sdt>
        <w:sdtPr>
          <w:rPr>
            <w:rtl/>
          </w:rPr>
          <w:alias w:val="1455"/>
          <w:tag w:val="1455"/>
          <w:id w:val="-604802009"/>
          <w:text w:multiLine="1"/>
        </w:sdtPr>
        <w:sdtEndPr/>
        <w:sdtContent>
          <w:r>
            <w:rPr>
              <w:rFonts w:hint="cs" w:ascii="Arial" w:hAnsi="Arial"/>
              <w:b/>
              <w:bCs/>
              <w:noProof w:val="0"/>
              <w:rtl/>
            </w:rPr>
            <w:t>כ"ז ניסן תשע"ח</w:t>
          </w:r>
        </w:sdtContent>
      </w:sdt>
      <w:r w:rsidRPr="0069607A">
        <w:rPr>
          <w:rFonts w:hint="cs" w:ascii="Arial" w:hAnsi="Arial"/>
          <w:b/>
          <w:bCs/>
          <w:noProof w:val="0"/>
          <w:rtl/>
        </w:rPr>
        <w:t xml:space="preserve">, </w:t>
      </w:r>
      <w:r w:rsidRPr="0069607A" w:rsidR="008F32AB">
        <w:rPr>
          <w:rFonts w:hint="cs"/>
          <w:b/>
          <w:bCs/>
          <w:rtl/>
        </w:rPr>
        <w:t>(</w:t>
      </w:r>
      <w:sdt>
        <w:sdtPr>
          <w:rPr>
            <w:rtl/>
          </w:rPr>
          <w:alias w:val="1456"/>
          <w:tag w:val="1456"/>
          <w:id w:val="1629204143"/>
          <w:text w:multiLine="1"/>
        </w:sdtPr>
        <w:sdtEndPr/>
        <w:sdtContent>
          <w:r>
            <w:rPr>
              <w:rFonts w:hint="cs" w:ascii="Arial" w:hAnsi="Arial"/>
              <w:b/>
              <w:bCs/>
              <w:noProof w:val="0"/>
              <w:rtl/>
            </w:rPr>
            <w:t>12 אפריל 2018</w:t>
          </w:r>
        </w:sdtContent>
      </w:sdt>
      <w:r w:rsidRPr="0069607A" w:rsidR="008F32AB">
        <w:rPr>
          <w:rFonts w:hint="cs" w:ascii="Arial" w:hAnsi="Arial"/>
          <w:b/>
          <w:bCs/>
          <w:noProof w:val="0"/>
          <w:rtl/>
        </w:rPr>
        <w:t>)</w:t>
      </w:r>
      <w:r w:rsidRPr="0069607A">
        <w:rPr>
          <w:rFonts w:hint="cs" w:ascii="Arial" w:hAnsi="Arial"/>
          <w:b/>
          <w:bCs/>
          <w:noProof w:val="0"/>
          <w:rtl/>
        </w:rPr>
        <w:t>,</w:t>
      </w:r>
      <w:r w:rsidR="0069607A">
        <w:rPr>
          <w:rFonts w:hint="cs" w:ascii="Arial" w:hAnsi="Arial"/>
          <w:b/>
          <w:bCs/>
          <w:noProof w:val="0"/>
          <w:rtl/>
        </w:rPr>
        <w:t xml:space="preserve"> </w:t>
      </w:r>
      <w:r w:rsidRPr="0069607A">
        <w:rPr>
          <w:rFonts w:hint="cs" w:ascii="Arial" w:hAnsi="Arial"/>
          <w:b/>
          <w:bCs/>
          <w:noProof w:val="0"/>
          <w:rtl/>
        </w:rPr>
        <w:t>בהעדר הצדדים ותישלח אליהם.</w:t>
      </w:r>
    </w:p>
    <w:p w:rsidRPr="007748D4" w:rsidR="002605D5" w:rsidP="0069607A" w:rsidRDefault="000B2DA4">
      <w:pPr>
        <w:spacing w:line="360" w:lineRule="auto"/>
        <w:jc w:val="both"/>
        <w:rPr>
          <w:rFonts w:ascii="Arial" w:hAnsi="Arial"/>
          <w:noProof w:val="0"/>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sdt>
        <w:sdtPr>
          <w:alias w:val="MergeField"/>
          <w:tag w:val="1237"/>
        </w:sdtPr>
        <w:sdtContent>
          <w:p>
            <w:r>
              <w:drawing>
                <wp:inline distT="0" distB="0" distL="0" distR="0" wp14:editId="50D07946">
                  <wp:extent cx="1638300" cy="63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5fefcc8603540b2" cstate="print">
                            <a:extLst>
                              <a:ext uri="{28A0092B-C50C-407E-A947-70E740481C1C}"/>
                            </a:extLst>
                          </a:blip>
                          <a:stretch>
                            <a:fillRect/>
                          </a:stretch>
                        </pic:blipFill>
                        <pic:spPr>
                          <a:xfrm>
                            <a:off x="0" y="0"/>
                            <a:ext cx="1638300" cy="638175"/>
                          </a:xfrm>
                          <a:prstGeom prst="rect">
                            <a:avLst/>
                          </a:prstGeom>
                        </pic:spPr>
                      </pic:pic>
                    </a:graphicData>
                  </a:graphic>
                </wp:inline>
              </w:drawing>
            </w:r>
          </w:p>
        </w:sdtContent>
      </w:sdt>
    </w:p>
    <w:p w:rsidRPr="00913F69" w:rsidR="002C1C43" w:rsidP="002C1C43" w:rsidRDefault="002C1C43">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00913F69" w:rsidP="00913F69" w:rsidRDefault="00913F69">
      <w:pPr>
        <w:jc w:val="center"/>
        <w:rPr>
          <w:sz w:val="28"/>
          <w:szCs w:val="28"/>
          <w:rtl/>
        </w:rPr>
      </w:pPr>
    </w:p>
    <w:p w:rsidRPr="00913F69" w:rsidR="00694556" w:rsidP="00913F69" w:rsidRDefault="00694556">
      <w:pPr>
        <w:jc w:val="center"/>
        <w:rPr>
          <w:sz w:val="28"/>
          <w:szCs w:val="28"/>
          <w:rtl/>
        </w:rPr>
      </w:pPr>
    </w:p>
    <w:sectPr w:rsidRPr="00913F69"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07A" w:rsidRDefault="0069607A">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B0C91">
      <w:rPr>
        <w:rStyle w:val="ab"/>
        <w:rFonts w:cs="Times New Roman"/>
        <w:rtl/>
      </w:rPr>
      <w:t>1</w:t>
    </w:r>
    <w:r w:rsidRPr="004E6E3C">
      <w:rPr>
        <w:rStyle w:val="ab"/>
        <w:rFonts w:cs="Times New Roman"/>
      </w:rPr>
      <w:fldChar w:fldCharType="end"/>
    </w:r>
    <w:r w:rsidRPr="004E6E3C" w:rsidR="00005C8B">
      <w:rPr>
        <w:rStyle w:val="ab"/>
        <w:rFonts w:hint="cs"/>
        <w:rtl/>
      </w:rPr>
      <w:t xml:space="preserve"> </w:t>
    </w:r>
    <w:r w:rsidRPr="00913F69" w:rsidR="00005C8B">
      <w:rPr>
        <w:rStyle w:val="ab"/>
        <w:rFonts w:hint="cs"/>
        <w:sz w:val="28"/>
        <w:szCs w:val="28"/>
        <w:rtl/>
      </w:rPr>
      <w:t>מתוך</w:t>
    </w:r>
    <w:r w:rsidRPr="004E6E3C" w:rsidR="00005C8B">
      <w:rPr>
        <w:rStyle w:val="ab"/>
        <w:rFonts w:hint="cs"/>
        <w:rtl/>
      </w:rPr>
      <w:t xml:space="preserve">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B0C91">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07A" w:rsidRDefault="0069607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07A" w:rsidRDefault="0069607A">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9607A">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C26D4E" w:rsidR="008F32AB" w:rsidP="00C26D4E" w:rsidRDefault="009B0C91">
          <w:pPr>
            <w:jc w:val="right"/>
            <w:rPr>
              <w:rtl/>
            </w:rPr>
          </w:pPr>
          <w:sdt>
            <w:sdtPr>
              <w:rPr>
                <w:sz w:val="28"/>
                <w:szCs w:val="28"/>
                <w:rtl/>
              </w:rPr>
              <w:alias w:val="1170"/>
              <w:tag w:val="1170"/>
              <w:id w:val="270825555"/>
              <w:text w:multiLine="1"/>
            </w:sdtPr>
            <w:sdtEndPr/>
            <w:sdtContent>
              <w:r w:rsidR="000E13CD">
                <w:rPr>
                  <w:b/>
                  <w:bCs/>
                  <w:noProof w:val="0"/>
                  <w:sz w:val="28"/>
                  <w:szCs w:val="28"/>
                  <w:rtl/>
                </w:rPr>
                <w:t>סע"ש</w:t>
              </w:r>
            </w:sdtContent>
          </w:sdt>
          <w:r w:rsidRPr="00060915" w:rsidR="00913E52">
            <w:rPr>
              <w:b/>
              <w:bCs/>
              <w:noProof w:val="0"/>
              <w:rtl/>
            </w:rPr>
            <w:t xml:space="preserve"> </w:t>
          </w:r>
          <w:sdt>
            <w:sdtPr>
              <w:rPr>
                <w:sz w:val="28"/>
                <w:szCs w:val="28"/>
                <w:rtl/>
              </w:rPr>
              <w:alias w:val="1171"/>
              <w:tag w:val="1171"/>
              <w:id w:val="1611697751"/>
              <w:text w:multiLine="1"/>
            </w:sdtPr>
            <w:sdtEndPr/>
            <w:sdtContent>
              <w:r w:rsidR="000E13CD">
                <w:rPr>
                  <w:b/>
                  <w:bCs/>
                  <w:noProof w:val="0"/>
                  <w:sz w:val="28"/>
                  <w:szCs w:val="28"/>
                  <w:rtl/>
                </w:rPr>
                <w:t>33429-01-17</w:t>
              </w:r>
            </w:sdtContent>
          </w:sdt>
          <w:r w:rsidRPr="00060915" w:rsidR="00913E52">
            <w:rPr>
              <w:b/>
              <w:bCs/>
              <w:noProof w:val="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07A" w:rsidRDefault="0069607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234B"/>
    <w:rsid w:val="000564AB"/>
    <w:rsid w:val="00060915"/>
    <w:rsid w:val="000A574D"/>
    <w:rsid w:val="000A7553"/>
    <w:rsid w:val="000B2DA4"/>
    <w:rsid w:val="000E13CD"/>
    <w:rsid w:val="0014234E"/>
    <w:rsid w:val="00191B85"/>
    <w:rsid w:val="001C4003"/>
    <w:rsid w:val="00221FF9"/>
    <w:rsid w:val="002605D5"/>
    <w:rsid w:val="002B1499"/>
    <w:rsid w:val="002B6C85"/>
    <w:rsid w:val="002C1C43"/>
    <w:rsid w:val="002D0DA3"/>
    <w:rsid w:val="00350CAC"/>
    <w:rsid w:val="00352325"/>
    <w:rsid w:val="003C4168"/>
    <w:rsid w:val="003E742D"/>
    <w:rsid w:val="004642C0"/>
    <w:rsid w:val="004B6079"/>
    <w:rsid w:val="004E6E3C"/>
    <w:rsid w:val="00511543"/>
    <w:rsid w:val="00515C3A"/>
    <w:rsid w:val="00547DB7"/>
    <w:rsid w:val="00563391"/>
    <w:rsid w:val="00592DD1"/>
    <w:rsid w:val="005C0FDD"/>
    <w:rsid w:val="005E0B17"/>
    <w:rsid w:val="00604392"/>
    <w:rsid w:val="00622BAA"/>
    <w:rsid w:val="00625C89"/>
    <w:rsid w:val="00671BD5"/>
    <w:rsid w:val="006805C1"/>
    <w:rsid w:val="00694556"/>
    <w:rsid w:val="0069607A"/>
    <w:rsid w:val="006E1A53"/>
    <w:rsid w:val="007054D3"/>
    <w:rsid w:val="007056AA"/>
    <w:rsid w:val="00715102"/>
    <w:rsid w:val="00774526"/>
    <w:rsid w:val="007748D4"/>
    <w:rsid w:val="007A24FE"/>
    <w:rsid w:val="00820005"/>
    <w:rsid w:val="00826670"/>
    <w:rsid w:val="00846D27"/>
    <w:rsid w:val="008541AE"/>
    <w:rsid w:val="008A7F5D"/>
    <w:rsid w:val="008C0B96"/>
    <w:rsid w:val="008F2B32"/>
    <w:rsid w:val="008F32AB"/>
    <w:rsid w:val="00903896"/>
    <w:rsid w:val="00913E52"/>
    <w:rsid w:val="00913F69"/>
    <w:rsid w:val="009A7666"/>
    <w:rsid w:val="009B0C91"/>
    <w:rsid w:val="009D357D"/>
    <w:rsid w:val="009E0263"/>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D53924"/>
    <w:rsid w:val="00D901AC"/>
    <w:rsid w:val="00D96D8C"/>
    <w:rsid w:val="00DA783C"/>
    <w:rsid w:val="00DB68AC"/>
    <w:rsid w:val="00DE3B9C"/>
    <w:rsid w:val="00E54642"/>
    <w:rsid w:val="00E8170A"/>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4A735BDF"/>
  <w15:docId w15:val="{53399663-8731-4030-9D89-ADE5A813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85fefcc8603540b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224</Words>
  <Characters>1125</Characters>
  <Application>Microsoft Office Word</Application>
  <DocSecurity>0</DocSecurity>
  <Lines>9</Lines>
  <Paragraphs>2</Paragraphs>
  <ScaleCrop>false</ScaleCrop>
  <Company>Microsoft Corporation</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יפית זלמנוביץ גיסין</cp:lastModifiedBy>
  <cp:revision>44</cp:revision>
  <dcterms:created xsi:type="dcterms:W3CDTF">2012-08-05T16:56:00Z</dcterms:created>
  <dcterms:modified xsi:type="dcterms:W3CDTF">2018-04-12T14:07:00Z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