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85"/>
        <w:gridCol w:w="3686"/>
      </w:tblGrid>
      <w:tr w:rsidR="0094424E">
        <w:trPr>
          <w:trHeight w:val="295"/>
          <w:jc w:val="center"/>
        </w:trPr>
        <w:tc>
          <w:tcPr>
            <w:tcW w:w="5049" w:type="dxa"/>
            <w:gridSpan w:val="2"/>
          </w:tcPr>
          <w:p w:rsidR="0094424E" w:rsidP="00D44968" w:rsidRDefault="0094424E">
            <w:pPr>
              <w:suppressLineNumbers/>
              <w:rPr>
                <w:rFonts w:ascii="Arial" w:hAnsi="Arial"/>
                <w:b/>
                <w:bCs/>
                <w:noProof w:val="0"/>
                <w:sz w:val="26"/>
                <w:szCs w:val="26"/>
                <w:rtl/>
              </w:rPr>
            </w:pPr>
          </w:p>
        </w:tc>
        <w:tc>
          <w:tcPr>
            <w:tcW w:w="3771" w:type="dxa"/>
            <w:gridSpan w:val="2"/>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8</w:t>
                </w:r>
              </w:sdtContent>
            </w:sdt>
          </w:p>
        </w:tc>
      </w:tr>
      <w:tr w:rsidR="0094424E" w:rsidTr="00FE1CF0">
        <w:trPr>
          <w:jc w:val="center"/>
        </w:trPr>
        <w:tc>
          <w:tcPr>
            <w:tcW w:w="5134" w:type="dxa"/>
            <w:gridSpan w:val="3"/>
          </w:tcPr>
          <w:p w:rsidR="0094424E" w:rsidP="00D44968" w:rsidRDefault="00FE1CF0">
            <w:pPr>
              <w:suppressLineNumbers/>
              <w:jc w:val="both"/>
              <w:rPr>
                <w:rFonts w:ascii="Arial" w:hAnsi="Arial"/>
                <w:b/>
                <w:bCs/>
                <w:rtl/>
              </w:rPr>
            </w:pPr>
            <w:r>
              <w:rPr>
                <w:rFonts w:hint="cs" w:ascii="Arial" w:hAnsi="Arial"/>
                <w:b/>
                <w:bCs/>
                <w:rtl/>
              </w:rPr>
              <w:t>ל</w:t>
            </w:r>
            <w:r w:rsidR="0094424E">
              <w:rPr>
                <w:rFonts w:ascii="Arial" w:hAnsi="Arial"/>
                <w:b/>
                <w:bCs/>
                <w:rtl/>
              </w:rPr>
              <w:t xml:space="preserve">פני </w:t>
            </w:r>
            <w:r>
              <w:rPr>
                <w:rFonts w:hint="cs" w:ascii="Arial" w:hAnsi="Arial"/>
                <w:b/>
                <w:bCs/>
                <w:rtl/>
              </w:rPr>
              <w:t>כב' השופטת הבכירה סבין כהן</w:t>
            </w:r>
          </w:p>
        </w:tc>
        <w:tc>
          <w:tcPr>
            <w:tcW w:w="3686" w:type="dxa"/>
          </w:tcPr>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796F86" w:rsidRDefault="005F3F80">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3"/>
          </w:tcPr>
          <w:p w:rsidR="0094424E" w:rsidP="00D44968" w:rsidRDefault="0094424E">
            <w:pPr>
              <w:suppressLineNumbers/>
              <w:rPr>
                <w:rFonts w:ascii="Arial" w:hAnsi="Arial"/>
                <w:b/>
                <w:bCs/>
                <w:noProof w:val="0"/>
                <w:sz w:val="26"/>
                <w:szCs w:val="26"/>
                <w:rtl/>
              </w:rPr>
            </w:pPr>
          </w:p>
          <w:p w:rsidR="0094424E" w:rsidP="00D44968" w:rsidRDefault="005F3F80">
            <w:pPr>
              <w:suppressLineNumbers/>
              <w:rPr>
                <w:b/>
                <w:bCs/>
                <w:noProof w:val="0"/>
                <w:sz w:val="26"/>
                <w:szCs w:val="26"/>
              </w:rPr>
            </w:pPr>
            <w:sdt>
              <w:sdtPr>
                <w:rPr>
                  <w:rtl/>
                </w:rPr>
                <w:alias w:val="1462"/>
                <w:tag w:val="1462"/>
                <w:id w:val="-2139489462"/>
                <w:text w:multiLine="1"/>
              </w:sdtPr>
              <w:sdtEndPr/>
              <w:sdtContent>
                <w:r w:rsidR="00FE1CF0">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FE1CF0">
                  <w:rPr>
                    <w:rFonts w:ascii="Arial" w:hAnsi="Arial"/>
                    <w:b/>
                    <w:bCs/>
                    <w:noProof w:val="0"/>
                    <w:sz w:val="26"/>
                    <w:szCs w:val="26"/>
                    <w:rtl/>
                  </w:rPr>
                  <w:t>ששון סגרון</w:t>
                </w:r>
              </w:sdtContent>
            </w:sdt>
          </w:p>
          <w:p w:rsidR="0094424E" w:rsidP="00D44968" w:rsidRDefault="005F3F80">
            <w:pPr>
              <w:suppressLineNumbers/>
              <w:rPr>
                <w:b/>
                <w:bCs/>
                <w:noProof w:val="0"/>
                <w:sz w:val="26"/>
                <w:szCs w:val="26"/>
              </w:rPr>
            </w:pPr>
            <w:sdt>
              <w:sdtPr>
                <w:rPr>
                  <w:rtl/>
                </w:rPr>
                <w:alias w:val="1462"/>
                <w:tag w:val="1462"/>
                <w:id w:val="-1636717525"/>
                <w:text w:multiLine="1"/>
              </w:sdtPr>
              <w:sdtEndPr/>
              <w:sdtContent>
                <w:r w:rsidR="00FE1CF0">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09637169"/>
                <w:text w:multiLine="1"/>
              </w:sdtPr>
              <w:sdtEndPr/>
              <w:sdtContent>
                <w:r w:rsidR="00FE1CF0">
                  <w:rPr>
                    <w:rFonts w:ascii="Arial" w:hAnsi="Arial"/>
                    <w:b/>
                    <w:bCs/>
                    <w:noProof w:val="0"/>
                    <w:sz w:val="26"/>
                    <w:szCs w:val="26"/>
                    <w:rtl/>
                  </w:rPr>
                  <w:t>תלמים- מושב עובדים להתיישבות שיתופית</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tcPr>
          <w:p w:rsidR="0094424E" w:rsidP="00D44968" w:rsidRDefault="0094424E">
            <w:pPr>
              <w:suppressLineNumbers/>
              <w:rPr>
                <w:rFonts w:ascii="Arial" w:hAnsi="Arial"/>
                <w:b/>
                <w:bCs/>
                <w:noProof w:val="0"/>
                <w:sz w:val="26"/>
                <w:szCs w:val="26"/>
                <w:rtl/>
              </w:rPr>
            </w:pPr>
          </w:p>
          <w:p w:rsidR="0094424E" w:rsidP="00D44968" w:rsidRDefault="005F3F80">
            <w:pPr>
              <w:suppressLineNumbers/>
              <w:rPr>
                <w:rFonts w:ascii="Arial" w:hAnsi="Arial"/>
                <w:b/>
                <w:bCs/>
                <w:noProof w:val="0"/>
                <w:sz w:val="26"/>
                <w:szCs w:val="26"/>
              </w:rPr>
            </w:pPr>
            <w:sdt>
              <w:sdtPr>
                <w:rPr>
                  <w:rtl/>
                </w:rPr>
                <w:alias w:val="1184"/>
                <w:tag w:val="1184"/>
                <w:id w:val="-340621022"/>
                <w:text w:multiLine="1"/>
              </w:sdtPr>
              <w:sdtEndPr/>
              <w:sdtContent>
                <w:r w:rsidR="00FE1CF0">
                  <w:rPr>
                    <w:rFonts w:ascii="Arial" w:hAnsi="Arial"/>
                    <w:b/>
                    <w:bCs/>
                    <w:noProof w:val="0"/>
                    <w:sz w:val="26"/>
                    <w:szCs w:val="26"/>
                    <w:rtl/>
                  </w:rPr>
                  <w:t>משיבים</w:t>
                </w:r>
              </w:sdtContent>
            </w:sdt>
          </w:p>
        </w:tc>
        <w:tc>
          <w:tcPr>
            <w:tcW w:w="5571" w:type="dxa"/>
            <w:gridSpan w:val="3"/>
          </w:tcPr>
          <w:p w:rsidR="0094424E" w:rsidP="00D44968" w:rsidRDefault="0094424E">
            <w:pPr>
              <w:suppressLineNumbers/>
              <w:rPr>
                <w:rFonts w:ascii="Arial" w:hAnsi="Arial"/>
                <w:b/>
                <w:bCs/>
                <w:noProof w:val="0"/>
                <w:sz w:val="26"/>
                <w:szCs w:val="26"/>
                <w:rtl/>
              </w:rPr>
            </w:pPr>
          </w:p>
          <w:p w:rsidR="0094424E" w:rsidP="00D44968" w:rsidRDefault="005F3F80">
            <w:pPr>
              <w:suppressLineNumbers/>
              <w:rPr>
                <w:b/>
                <w:bCs/>
                <w:noProof w:val="0"/>
                <w:sz w:val="26"/>
                <w:szCs w:val="26"/>
                <w:rtl/>
              </w:rPr>
            </w:pPr>
            <w:sdt>
              <w:sdtPr>
                <w:rPr>
                  <w:rtl/>
                </w:rPr>
                <w:alias w:val="1486"/>
                <w:tag w:val="1486"/>
                <w:id w:val="-309872140"/>
                <w:text w:multiLine="1"/>
              </w:sdtPr>
              <w:sdtEndPr/>
              <w:sdtContent>
                <w:r w:rsidR="00FE1CF0">
                  <w:rPr>
                    <w:rFonts w:ascii="Arial" w:hAnsi="Arial"/>
                    <w:b/>
                    <w:bCs/>
                    <w:noProof w:val="0"/>
                    <w:sz w:val="26"/>
                    <w:szCs w:val="26"/>
                    <w:rtl/>
                  </w:rPr>
                  <w:t>ישראל סגרון</w:t>
                </w:r>
              </w:sdtContent>
            </w:sdt>
          </w:p>
        </w:tc>
      </w:tr>
      <w:tr w:rsidR="004C17EE" w:rsidTr="00D620FD">
        <w:trPr>
          <w:jc w:val="center"/>
        </w:trPr>
        <w:tc>
          <w:tcPr>
            <w:tcW w:w="8820" w:type="dxa"/>
            <w:gridSpan w:val="4"/>
          </w:tcPr>
          <w:p w:rsidR="00796F86" w:rsidRDefault="00796F86">
            <w:pPr>
              <w:suppressLineNumbers/>
              <w:rPr>
                <w:rFonts w:ascii="Arial" w:hAnsi="Arial"/>
                <w:b/>
                <w:bCs/>
                <w:noProof w:val="0"/>
                <w:sz w:val="26"/>
                <w:szCs w:val="26"/>
                <w:rtl/>
              </w:rPr>
            </w:pPr>
          </w:p>
        </w:tc>
      </w:tr>
      <w:tr w:rsidRPr="00DE1E7D" w:rsidR="00694556">
        <w:trPr>
          <w:jc w:val="center"/>
        </w:trPr>
        <w:tc>
          <w:tcPr>
            <w:tcW w:w="8820" w:type="dxa"/>
            <w:gridSpan w:val="4"/>
          </w:tcPr>
          <w:p w:rsidR="00694556" w:rsidRDefault="00180519">
            <w:pPr>
              <w:bidi w:val="0"/>
              <w:jc w:val="center"/>
              <w:rPr>
                <w:rFonts w:ascii="Arial" w:hAnsi="Arial"/>
                <w:b/>
                <w:bCs/>
                <w:noProof w:val="0"/>
                <w:sz w:val="28"/>
                <w:szCs w:val="28"/>
                <w:u w:val="single"/>
                <w:rtl/>
              </w:rPr>
            </w:pPr>
            <w:bookmarkStart w:name="_GoBack" w:id="0"/>
            <w:bookmarkEnd w:id="0"/>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RDefault="002C3D00">
      <w:pPr>
        <w:spacing w:line="360" w:lineRule="auto"/>
        <w:jc w:val="both"/>
        <w:rPr>
          <w:rFonts w:hint="cs" w:ascii="Arial" w:hAnsi="Arial"/>
          <w:noProof w:val="0"/>
          <w:rtl/>
        </w:rPr>
      </w:pPr>
      <w:bookmarkStart w:name="NGCSBookmark" w:id="1"/>
      <w:bookmarkEnd w:id="1"/>
      <w:r>
        <w:rPr>
          <w:rFonts w:hint="cs" w:ascii="Arial" w:hAnsi="Arial"/>
          <w:noProof w:val="0"/>
          <w:rtl/>
        </w:rPr>
        <w:t>התובע הגיש כנגד הנתבעים תביעה כספית.</w:t>
      </w:r>
    </w:p>
    <w:p w:rsidR="002C3D00" w:rsidRDefault="002C3D00">
      <w:pPr>
        <w:spacing w:line="360" w:lineRule="auto"/>
        <w:jc w:val="both"/>
        <w:rPr>
          <w:rFonts w:hint="cs" w:ascii="Arial" w:hAnsi="Arial"/>
          <w:noProof w:val="0"/>
          <w:rtl/>
        </w:rPr>
      </w:pPr>
      <w:r>
        <w:rPr>
          <w:rFonts w:hint="cs" w:ascii="Arial" w:hAnsi="Arial"/>
          <w:noProof w:val="0"/>
          <w:rtl/>
        </w:rPr>
        <w:t>תביעה זו הוגשה לאחר שהוגשה תביעה קודמת על ידי התובע, חלקה הועבר לבוררות וחלקה האחר המשיך להתברר, עד אשר הודיע התובע על מחיקת התביעה.</w:t>
      </w:r>
    </w:p>
    <w:p w:rsidR="002C3D00" w:rsidRDefault="002C3D00">
      <w:pPr>
        <w:spacing w:line="360" w:lineRule="auto"/>
        <w:jc w:val="both"/>
        <w:rPr>
          <w:rFonts w:ascii="Arial" w:hAnsi="Arial"/>
          <w:noProof w:val="0"/>
          <w:rtl/>
        </w:rPr>
      </w:pPr>
    </w:p>
    <w:p w:rsidR="002C3D00" w:rsidRDefault="002C3D00">
      <w:pPr>
        <w:spacing w:line="360" w:lineRule="auto"/>
        <w:jc w:val="both"/>
        <w:rPr>
          <w:rFonts w:hint="cs" w:ascii="Arial" w:hAnsi="Arial"/>
          <w:noProof w:val="0"/>
          <w:rtl/>
        </w:rPr>
      </w:pPr>
      <w:r>
        <w:rPr>
          <w:rFonts w:hint="cs" w:ascii="Arial" w:hAnsi="Arial"/>
          <w:noProof w:val="0"/>
          <w:rtl/>
        </w:rPr>
        <w:t>לאחר שניתן פסק הבורר, הגיש התובע תביעתו שלפניי, בה עתר לפיצוי בגין התקופה שקדמה להגשת התביעה הקודמת ובגין התקופה המאוחרת לפסק הבורר.</w:t>
      </w:r>
    </w:p>
    <w:p w:rsidR="002C3D00" w:rsidRDefault="002C3D00">
      <w:pPr>
        <w:spacing w:line="360" w:lineRule="auto"/>
        <w:jc w:val="both"/>
        <w:rPr>
          <w:rFonts w:ascii="Arial" w:hAnsi="Arial"/>
          <w:noProof w:val="0"/>
          <w:rtl/>
        </w:rPr>
      </w:pPr>
    </w:p>
    <w:p w:rsidR="002C3D00" w:rsidRDefault="002C3D00">
      <w:pPr>
        <w:spacing w:line="360" w:lineRule="auto"/>
        <w:jc w:val="both"/>
        <w:rPr>
          <w:rFonts w:hint="cs" w:ascii="Arial" w:hAnsi="Arial"/>
          <w:noProof w:val="0"/>
          <w:rtl/>
        </w:rPr>
      </w:pPr>
      <w:r>
        <w:rPr>
          <w:rFonts w:hint="cs" w:ascii="Arial" w:hAnsi="Arial"/>
          <w:noProof w:val="0"/>
          <w:rtl/>
        </w:rPr>
        <w:t>הנתבעים התגוננו מפני התביעה ובין היתר טענו להתיישנות עילת התביעה המיוחסת לתקופה הקודמת לתביעה הקודמת (אשר הוגשה בשנת 2012 (ת.א. 35829-10-12) והיא מיוחסת לחיובים שעד לשנת 2009 ואילו כאן הוגשה התביעה ביחס לחובות הישנים, לחובות שעד לשנת 2009).</w:t>
      </w:r>
    </w:p>
    <w:p w:rsidR="002C3D00" w:rsidRDefault="002C3D00">
      <w:pPr>
        <w:spacing w:line="360" w:lineRule="auto"/>
        <w:jc w:val="both"/>
        <w:rPr>
          <w:rFonts w:ascii="Arial" w:hAnsi="Arial"/>
          <w:noProof w:val="0"/>
          <w:rtl/>
        </w:rPr>
      </w:pPr>
    </w:p>
    <w:p w:rsidR="002C3D00" w:rsidRDefault="002C3D00">
      <w:pPr>
        <w:spacing w:line="360" w:lineRule="auto"/>
        <w:jc w:val="both"/>
        <w:rPr>
          <w:rFonts w:ascii="Arial" w:hAnsi="Arial"/>
          <w:noProof w:val="0"/>
          <w:rtl/>
        </w:rPr>
      </w:pPr>
      <w:r>
        <w:rPr>
          <w:rFonts w:hint="cs" w:ascii="Arial" w:hAnsi="Arial"/>
          <w:noProof w:val="0"/>
          <w:rtl/>
        </w:rPr>
        <w:t>בד בבד הוגשה על ידי הנתבעת 1 תביעה שכנגד המיוחסת לחיובי התובע בגין צריכת מים לתקופה שעד היום, כאשר החיובים כוללים את כל חיוביו, גם אלה שנתבעו בתביעה הקודמת (שגם שם הוגשה תביעה שכנגד) ולאחר שעודכנו סכומי החוב, על פי הנטען, בהתאם לפסק הבורר.</w:t>
      </w:r>
    </w:p>
    <w:p w:rsidR="00B76FF7" w:rsidRDefault="00B76FF7">
      <w:pPr>
        <w:spacing w:line="360" w:lineRule="auto"/>
        <w:jc w:val="both"/>
        <w:rPr>
          <w:rFonts w:ascii="Arial" w:hAnsi="Arial"/>
          <w:noProof w:val="0"/>
          <w:rtl/>
        </w:rPr>
      </w:pPr>
    </w:p>
    <w:p w:rsidR="00B76FF7" w:rsidRDefault="00B76FF7">
      <w:pPr>
        <w:spacing w:line="360" w:lineRule="auto"/>
        <w:jc w:val="both"/>
        <w:rPr>
          <w:rFonts w:hint="cs" w:ascii="Arial" w:hAnsi="Arial"/>
          <w:noProof w:val="0"/>
          <w:rtl/>
        </w:rPr>
      </w:pPr>
      <w:r>
        <w:rPr>
          <w:rFonts w:hint="cs" w:ascii="Arial" w:hAnsi="Arial"/>
          <w:noProof w:val="0"/>
          <w:rtl/>
        </w:rPr>
        <w:t>בהמשך להחלטה שניתנה בתיק האחר והיות והתובע ביקש לאחד את הדיון בכלל תביעותיו, לרבות בעניינים שבגינם טרם הוגשה תביעה, ביקש התובע למחוק את תביעתו כאן. בקשה דומה הוגשה בתיק הנוסף.</w:t>
      </w:r>
    </w:p>
    <w:p w:rsidR="00B76FF7" w:rsidRDefault="00B76FF7">
      <w:pPr>
        <w:spacing w:line="360" w:lineRule="auto"/>
        <w:jc w:val="both"/>
        <w:rPr>
          <w:rFonts w:ascii="Arial" w:hAnsi="Arial"/>
          <w:noProof w:val="0"/>
          <w:rtl/>
        </w:rPr>
      </w:pPr>
    </w:p>
    <w:p w:rsidR="00B76FF7" w:rsidRDefault="00B76FF7">
      <w:pPr>
        <w:spacing w:line="360" w:lineRule="auto"/>
        <w:jc w:val="both"/>
        <w:rPr>
          <w:rFonts w:hint="cs" w:ascii="Arial" w:hAnsi="Arial"/>
          <w:noProof w:val="0"/>
          <w:rtl/>
        </w:rPr>
      </w:pPr>
      <w:r>
        <w:rPr>
          <w:rFonts w:hint="cs" w:ascii="Arial" w:hAnsi="Arial"/>
          <w:noProof w:val="0"/>
          <w:rtl/>
        </w:rPr>
        <w:t>עתה עותרים הנתבעים לחיוב התובע בתשלום הוצאותיהם. בין היתר טוענים הנתבעים לעניין סיכויי התביעה, לאור טענת ההתיישנות ולהליכים שננקטו.</w:t>
      </w:r>
    </w:p>
    <w:p w:rsidR="00B76FF7" w:rsidRDefault="00B76FF7">
      <w:pPr>
        <w:spacing w:line="360" w:lineRule="auto"/>
        <w:jc w:val="both"/>
        <w:rPr>
          <w:rFonts w:hint="cs" w:ascii="Arial" w:hAnsi="Arial"/>
          <w:noProof w:val="0"/>
          <w:rtl/>
        </w:rPr>
      </w:pPr>
      <w:r>
        <w:rPr>
          <w:rFonts w:hint="cs" w:ascii="Arial" w:hAnsi="Arial"/>
          <w:noProof w:val="0"/>
          <w:rtl/>
        </w:rPr>
        <w:lastRenderedPageBreak/>
        <w:t>התובע ביקש לדחות את  טענות הנתבעים ולא רק שכך, ביקש התובע להגיש תביעה שכנגד לתביעה שכנגד בהליך זה.</w:t>
      </w:r>
    </w:p>
    <w:p w:rsidR="00B76FF7" w:rsidRDefault="00B76FF7">
      <w:pPr>
        <w:spacing w:line="360" w:lineRule="auto"/>
        <w:jc w:val="both"/>
        <w:rPr>
          <w:rFonts w:ascii="Arial" w:hAnsi="Arial"/>
          <w:noProof w:val="0"/>
          <w:rtl/>
        </w:rPr>
      </w:pPr>
    </w:p>
    <w:p w:rsidR="00B76FF7" w:rsidRDefault="00B76FF7">
      <w:pPr>
        <w:spacing w:line="360" w:lineRule="auto"/>
        <w:jc w:val="both"/>
        <w:rPr>
          <w:rFonts w:hint="cs" w:ascii="Arial" w:hAnsi="Arial"/>
          <w:noProof w:val="0"/>
          <w:rtl/>
        </w:rPr>
      </w:pPr>
      <w:r>
        <w:rPr>
          <w:rFonts w:hint="cs" w:ascii="Arial" w:hAnsi="Arial"/>
          <w:noProof w:val="0"/>
          <w:rtl/>
        </w:rPr>
        <w:t>לאחר ששקלתי את טענות הצדדים, מצאתי מקום לחייב את התובע בהוצאות הנתבעים.</w:t>
      </w:r>
    </w:p>
    <w:p w:rsidR="00B76FF7" w:rsidRDefault="00B76FF7">
      <w:pPr>
        <w:spacing w:line="360" w:lineRule="auto"/>
        <w:jc w:val="both"/>
        <w:rPr>
          <w:rFonts w:hint="cs" w:ascii="Arial" w:hAnsi="Arial"/>
          <w:noProof w:val="0"/>
          <w:rtl/>
        </w:rPr>
      </w:pPr>
      <w:r>
        <w:rPr>
          <w:rFonts w:hint="cs" w:ascii="Arial" w:hAnsi="Arial"/>
          <w:noProof w:val="0"/>
          <w:rtl/>
        </w:rPr>
        <w:t>תהא הסיבה אשר תהא לחזרתו בו מההליך, הרי שעה שננקט הליך והנתבעים נדרשו להתגונן זכאים הנתבעים לתשלום הוצאותיהם בגין ניהול ההליך.</w:t>
      </w:r>
    </w:p>
    <w:p w:rsidR="00B76FF7" w:rsidRDefault="00B76FF7">
      <w:pPr>
        <w:spacing w:line="360" w:lineRule="auto"/>
        <w:jc w:val="both"/>
        <w:rPr>
          <w:rFonts w:ascii="Arial" w:hAnsi="Arial"/>
          <w:noProof w:val="0"/>
          <w:rtl/>
        </w:rPr>
      </w:pPr>
    </w:p>
    <w:p w:rsidR="00B76FF7" w:rsidRDefault="00B76FF7">
      <w:pPr>
        <w:spacing w:line="360" w:lineRule="auto"/>
        <w:jc w:val="both"/>
        <w:rPr>
          <w:rFonts w:hint="cs" w:ascii="Arial" w:hAnsi="Arial"/>
          <w:noProof w:val="0"/>
          <w:rtl/>
        </w:rPr>
      </w:pPr>
      <w:r>
        <w:rPr>
          <w:rFonts w:hint="cs" w:ascii="Arial" w:hAnsi="Arial"/>
          <w:noProof w:val="0"/>
          <w:rtl/>
        </w:rPr>
        <w:t xml:space="preserve">בשים לב לשלב שבו הוגשה הבקשה, מצאתי מקום שלא להחמיר עם התובע. יצויין, ביחס לנתבעת 1, כי חלק מהוצאותיה בהליך ממילא </w:t>
      </w:r>
      <w:r w:rsidR="001147B4">
        <w:rPr>
          <w:rFonts w:hint="cs" w:ascii="Arial" w:hAnsi="Arial"/>
          <w:noProof w:val="0"/>
          <w:rtl/>
        </w:rPr>
        <w:t>היו מוצאות, בשים לב לכך שמתנהלת גם תביעה שכנגד.</w:t>
      </w:r>
    </w:p>
    <w:p w:rsidR="001147B4" w:rsidRDefault="001147B4">
      <w:pPr>
        <w:spacing w:line="360" w:lineRule="auto"/>
        <w:jc w:val="both"/>
        <w:rPr>
          <w:rFonts w:ascii="Arial" w:hAnsi="Arial"/>
          <w:noProof w:val="0"/>
          <w:rtl/>
        </w:rPr>
      </w:pPr>
    </w:p>
    <w:p w:rsidR="001147B4" w:rsidRDefault="001147B4">
      <w:pPr>
        <w:spacing w:line="360" w:lineRule="auto"/>
        <w:jc w:val="both"/>
        <w:rPr>
          <w:rFonts w:hint="cs" w:ascii="Arial" w:hAnsi="Arial"/>
          <w:noProof w:val="0"/>
          <w:rtl/>
        </w:rPr>
      </w:pPr>
      <w:r>
        <w:rPr>
          <w:rFonts w:hint="cs" w:ascii="Arial" w:hAnsi="Arial"/>
          <w:noProof w:val="0"/>
          <w:rtl/>
        </w:rPr>
        <w:t>לאור האמור, אני מחייבת את התובע בהוצאות הנתבעת 1 בסכום של 2,000 ₪ ובהוצאות הנתבעים 2, 3 (יחד) בסכום של 4,000 ₪.</w:t>
      </w:r>
    </w:p>
    <w:p w:rsidR="001147B4" w:rsidRDefault="001147B4">
      <w:pPr>
        <w:spacing w:line="360" w:lineRule="auto"/>
        <w:jc w:val="both"/>
        <w:rPr>
          <w:rFonts w:hint="cs" w:ascii="Arial" w:hAnsi="Arial"/>
          <w:noProof w:val="0"/>
          <w:rtl/>
        </w:rPr>
      </w:pPr>
      <w:r>
        <w:rPr>
          <w:rFonts w:hint="cs" w:ascii="Arial" w:hAnsi="Arial"/>
          <w:noProof w:val="0"/>
          <w:rtl/>
        </w:rPr>
        <w:t>ככל שתוגש תביעה חדשה על ידי התובע, הכוללת גם את העילות כאן</w:t>
      </w:r>
      <w:r w:rsidR="009A2266">
        <w:rPr>
          <w:rFonts w:hint="cs" w:ascii="Arial" w:hAnsi="Arial"/>
          <w:noProof w:val="0"/>
          <w:rtl/>
        </w:rPr>
        <w:t>,</w:t>
      </w:r>
      <w:r>
        <w:rPr>
          <w:rFonts w:hint="cs" w:ascii="Arial" w:hAnsi="Arial"/>
          <w:noProof w:val="0"/>
          <w:rtl/>
        </w:rPr>
        <w:t xml:space="preserve"> ממילא תמוצה שאלת ההוצאות.</w:t>
      </w:r>
    </w:p>
    <w:p w:rsidR="001147B4" w:rsidRDefault="001147B4">
      <w:pPr>
        <w:spacing w:line="360" w:lineRule="auto"/>
        <w:jc w:val="both"/>
        <w:rPr>
          <w:rFonts w:ascii="Arial" w:hAnsi="Arial"/>
          <w:noProof w:val="0"/>
          <w:rtl/>
        </w:rPr>
      </w:pPr>
    </w:p>
    <w:p w:rsidR="001147B4" w:rsidRDefault="001147B4">
      <w:pPr>
        <w:spacing w:line="360" w:lineRule="auto"/>
        <w:jc w:val="both"/>
        <w:rPr>
          <w:rFonts w:hint="cs" w:ascii="Arial" w:hAnsi="Arial"/>
          <w:noProof w:val="0"/>
          <w:rtl/>
        </w:rPr>
      </w:pPr>
      <w:r>
        <w:rPr>
          <w:rFonts w:hint="cs" w:ascii="Arial" w:hAnsi="Arial"/>
          <w:noProof w:val="0"/>
          <w:rtl/>
        </w:rPr>
        <w:t>בשולי הדברים מצאתי מקום להתייחס לצירוף כתב תביעה שכנגד על ידי התובע.</w:t>
      </w:r>
    </w:p>
    <w:p w:rsidR="001147B4" w:rsidRDefault="001147B4">
      <w:pPr>
        <w:spacing w:line="360" w:lineRule="auto"/>
        <w:jc w:val="both"/>
        <w:rPr>
          <w:rFonts w:hint="cs" w:ascii="Arial" w:hAnsi="Arial"/>
          <w:noProof w:val="0"/>
          <w:rtl/>
        </w:rPr>
      </w:pPr>
      <w:r>
        <w:rPr>
          <w:rFonts w:hint="cs" w:ascii="Arial" w:hAnsi="Arial"/>
          <w:noProof w:val="0"/>
          <w:rtl/>
        </w:rPr>
        <w:t>בית המשפט אפשר לתובע, לפנים משורת הדין, לתקן את כתב ההגנה מטעמו, הגם שאין מדובר בתיקון הנובע מתיקון כתבי טענות, אלא מתיקון הנובע ממחדלי התובע עצמו.</w:t>
      </w:r>
    </w:p>
    <w:p w:rsidR="001147B4" w:rsidRDefault="001147B4">
      <w:pPr>
        <w:spacing w:line="360" w:lineRule="auto"/>
        <w:jc w:val="both"/>
        <w:rPr>
          <w:rFonts w:hint="cs" w:ascii="Arial" w:hAnsi="Arial"/>
          <w:noProof w:val="0"/>
          <w:rtl/>
        </w:rPr>
      </w:pPr>
      <w:r>
        <w:rPr>
          <w:rFonts w:hint="cs" w:ascii="Arial" w:hAnsi="Arial"/>
          <w:noProof w:val="0"/>
          <w:rtl/>
        </w:rPr>
        <w:t>התובע, במצורף לכתב ההגנה המתוקן, צירף גם תביעה שכנגד.</w:t>
      </w:r>
    </w:p>
    <w:p w:rsidR="001147B4" w:rsidRDefault="001147B4">
      <w:pPr>
        <w:spacing w:line="360" w:lineRule="auto"/>
        <w:jc w:val="both"/>
        <w:rPr>
          <w:rFonts w:ascii="Arial" w:hAnsi="Arial"/>
          <w:noProof w:val="0"/>
          <w:rtl/>
        </w:rPr>
      </w:pPr>
    </w:p>
    <w:p w:rsidR="001147B4" w:rsidRDefault="001147B4">
      <w:pPr>
        <w:spacing w:line="360" w:lineRule="auto"/>
        <w:jc w:val="both"/>
        <w:rPr>
          <w:rFonts w:hint="cs" w:ascii="Arial" w:hAnsi="Arial"/>
          <w:noProof w:val="0"/>
          <w:rtl/>
        </w:rPr>
      </w:pPr>
      <w:r>
        <w:rPr>
          <w:rFonts w:hint="cs" w:ascii="Arial" w:hAnsi="Arial"/>
          <w:noProof w:val="0"/>
          <w:rtl/>
        </w:rPr>
        <w:t>לא רק שסדרי הדין אינם מאפשרים הגשת תביעה שכנגד לתביעה שכנגד. אמנם, כיום מדובר בתביעה יחידה שנותרה, אך הדבר אינו מצדיק הכנסת התביעה העיקרית שנמחקה, פעם נוספת בדלת האחורית, אלא במקרה דנן, כתב ההגנה הוגש כבר לפני כשנתיים.</w:t>
      </w:r>
    </w:p>
    <w:p w:rsidR="001147B4" w:rsidRDefault="001147B4">
      <w:pPr>
        <w:spacing w:line="360" w:lineRule="auto"/>
        <w:jc w:val="both"/>
        <w:rPr>
          <w:rFonts w:hint="cs" w:ascii="Arial" w:hAnsi="Arial"/>
          <w:noProof w:val="0"/>
          <w:rtl/>
        </w:rPr>
      </w:pPr>
      <w:r>
        <w:rPr>
          <w:rFonts w:hint="cs" w:ascii="Arial" w:hAnsi="Arial"/>
          <w:noProof w:val="0"/>
          <w:rtl/>
        </w:rPr>
        <w:t>העובדה שבית המשפט אפשר לתובע מקצה שיפורים בוודאי אינה מצדיקה הארכת מועד להגשת תביעה שכנגד לאחר שכתב ההגנה הוגש לפני כשנתיים.</w:t>
      </w:r>
    </w:p>
    <w:p w:rsidR="001147B4" w:rsidRDefault="001147B4">
      <w:pPr>
        <w:spacing w:line="360" w:lineRule="auto"/>
        <w:jc w:val="both"/>
        <w:rPr>
          <w:rFonts w:hint="cs" w:ascii="Arial" w:hAnsi="Arial"/>
          <w:noProof w:val="0"/>
          <w:rtl/>
        </w:rPr>
      </w:pPr>
      <w:r>
        <w:rPr>
          <w:rFonts w:hint="cs" w:ascii="Arial" w:hAnsi="Arial"/>
          <w:noProof w:val="0"/>
          <w:rtl/>
        </w:rPr>
        <w:t>לאור האמור, כתב התביעה שכנגד אשר הוגש על ידי התובע, יוחזר לתובע.</w:t>
      </w:r>
    </w:p>
    <w:p w:rsidR="001147B4" w:rsidRDefault="001147B4">
      <w:pPr>
        <w:spacing w:line="360" w:lineRule="auto"/>
        <w:jc w:val="both"/>
        <w:rPr>
          <w:rFonts w:hint="cs" w:ascii="Arial" w:hAnsi="Arial"/>
          <w:noProof w:val="0"/>
          <w:rtl/>
        </w:rPr>
      </w:pPr>
      <w:r>
        <w:rPr>
          <w:rFonts w:hint="cs" w:ascii="Arial" w:hAnsi="Arial"/>
          <w:noProof w:val="0"/>
          <w:rtl/>
        </w:rPr>
        <w:t>ככל שנגבתה אגרה בגין כתב טענות זה, היא תוחזר לתובע, היות ומלכ</w:t>
      </w:r>
      <w:r w:rsidR="009A2266">
        <w:rPr>
          <w:rFonts w:hint="cs" w:ascii="Arial" w:hAnsi="Arial"/>
          <w:noProof w:val="0"/>
          <w:rtl/>
        </w:rPr>
        <w:t>תחילה לא היתה הצדקה לפתיחת ההליך.</w:t>
      </w:r>
    </w:p>
    <w:p w:rsidRPr="00DE1E7D" w:rsidR="009A2266" w:rsidRDefault="009A226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F3F8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12748" cy="745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c4a2c9ebc134160" cstate="print">
                            <a:extLst>
                              <a:ext uri="{28A0092B-C50C-407E-A947-70E740481C1C}"/>
                            </a:extLst>
                          </a:blip>
                          <a:stretch>
                            <a:fillRect/>
                          </a:stretch>
                        </pic:blipFill>
                        <pic:spPr>
                          <a:xfrm>
                            <a:off x="0" y="0"/>
                            <a:ext cx="1412748" cy="745236"/>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00" w:rsidRDefault="002C3D0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F3F8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F3F80">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00" w:rsidRDefault="002C3D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00" w:rsidRDefault="002C3D0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C3D0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F3F80">
          <w:pPr>
            <w:rPr>
              <w:b/>
              <w:bCs/>
              <w:noProof w:val="0"/>
              <w:sz w:val="26"/>
              <w:szCs w:val="26"/>
              <w:rtl/>
            </w:rPr>
          </w:pPr>
          <w:sdt>
            <w:sdtPr>
              <w:rPr>
                <w:rtl/>
              </w:rPr>
              <w:alias w:val="1170"/>
              <w:tag w:val="1170"/>
              <w:id w:val="1066377040"/>
              <w:text w:multiLine="1"/>
            </w:sdtPr>
            <w:sdtEndPr/>
            <w:sdtContent>
              <w:r w:rsidR="00FE1CF0">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FE1CF0">
                <w:rPr>
                  <w:b/>
                  <w:bCs/>
                  <w:noProof w:val="0"/>
                  <w:sz w:val="26"/>
                  <w:szCs w:val="26"/>
                  <w:rtl/>
                </w:rPr>
                <w:t>18206-06-16</w:t>
              </w:r>
            </w:sdtContent>
          </w:sdt>
          <w:r w:rsidR="00005C8B">
            <w:rPr>
              <w:b/>
              <w:bCs/>
              <w:noProof w:val="0"/>
              <w:sz w:val="26"/>
              <w:szCs w:val="26"/>
              <w:rtl/>
            </w:rPr>
            <w:t xml:space="preserve"> </w:t>
          </w:r>
          <w:sdt>
            <w:sdtPr>
              <w:rPr>
                <w:rtl/>
              </w:rPr>
              <w:alias w:val="1172"/>
              <w:tag w:val="1172"/>
              <w:id w:val="-595170033"/>
              <w:text w:multiLine="1"/>
            </w:sdtPr>
            <w:sdtEndPr/>
            <w:sdtContent>
              <w:r w:rsidR="00FE1CF0">
                <w:rPr>
                  <w:b/>
                  <w:bCs/>
                  <w:noProof w:val="0"/>
                  <w:sz w:val="26"/>
                  <w:szCs w:val="26"/>
                  <w:rtl/>
                </w:rPr>
                <w:t>סגרון ואח' נ' אגודה חקלאית שיתופית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D00" w:rsidRDefault="002C3D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47B4"/>
    <w:rsid w:val="001173C6"/>
    <w:rsid w:val="001367BC"/>
    <w:rsid w:val="00144D2A"/>
    <w:rsid w:val="0014653E"/>
    <w:rsid w:val="00180519"/>
    <w:rsid w:val="00191C82"/>
    <w:rsid w:val="001C4003"/>
    <w:rsid w:val="001D4DBF"/>
    <w:rsid w:val="001E75CA"/>
    <w:rsid w:val="002265FF"/>
    <w:rsid w:val="00271B56"/>
    <w:rsid w:val="002C344E"/>
    <w:rsid w:val="002C3D00"/>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3F80"/>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96F86"/>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A2266"/>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76FF7"/>
    <w:rsid w:val="00B809AD"/>
    <w:rsid w:val="00B80CBD"/>
    <w:rsid w:val="00B86096"/>
    <w:rsid w:val="00B964D9"/>
    <w:rsid w:val="00BA0A7C"/>
    <w:rsid w:val="00BA517C"/>
    <w:rsid w:val="00BB3D05"/>
    <w:rsid w:val="00BB73BE"/>
    <w:rsid w:val="00BC2D89"/>
    <w:rsid w:val="00BC3C52"/>
    <w:rsid w:val="00BD6531"/>
    <w:rsid w:val="00BE05B2"/>
    <w:rsid w:val="00BF1908"/>
    <w:rsid w:val="00C22D93"/>
    <w:rsid w:val="00C23458"/>
    <w:rsid w:val="00C31120"/>
    <w:rsid w:val="00C34482"/>
    <w:rsid w:val="00C43648"/>
    <w:rsid w:val="00C50A9F"/>
    <w:rsid w:val="00C642FA"/>
    <w:rsid w:val="00CC7622"/>
    <w:rsid w:val="00CD608F"/>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A311A"/>
    <w:rsid w:val="00FA5FDA"/>
    <w:rsid w:val="00FB6AB3"/>
    <w:rsid w:val="00FD1419"/>
    <w:rsid w:val="00FD79E4"/>
    <w:rsid w:val="00FE1CF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75593A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c4a2c9ebc13416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13208" w:rsidP="00A1320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A13208" w:rsidP="00A13208">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13208"/>
    <w:rsid w:val="00AA7CE3"/>
    <w:rsid w:val="00B91FA3"/>
    <w:rsid w:val="00C96C06"/>
    <w:rsid w:val="00E31BF6"/>
    <w:rsid w:val="00E81DB1"/>
    <w:rsid w:val="00F04DC1"/>
    <w:rsid w:val="00F678CA"/>
    <w:rsid w:val="00FD05E2"/>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320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FD05E2"/>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FD05E2"/>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FD05E2"/>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FD05E2"/>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FD05E2"/>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FD05E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A13208"/>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A1320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465</Words>
  <Characters>2327</Characters>
  <Application>Microsoft Office Word</Application>
  <DocSecurity>0</DocSecurity>
  <Lines>19</Lines>
  <Paragraphs>5</Paragraphs>
  <ScaleCrop>false</ScaleCrop>
  <Company>Microsoft Corporation</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סבין כהן</cp:lastModifiedBy>
  <cp:revision>119</cp:revision>
  <dcterms:created xsi:type="dcterms:W3CDTF">2012-08-06T05:16:00Z</dcterms:created>
  <dcterms:modified xsi:type="dcterms:W3CDTF">2018-04-12T12:50:00Z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