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609"/>
        <w:gridCol w:w="4962"/>
      </w:tblGrid>
      <w:tr w:rsidRPr="00CD0055" w:rsidR="006816EC" w:rsidTr="00E13360">
        <w:trPr>
          <w:trHeight w:val="295"/>
          <w:jc w:val="center"/>
        </w:trPr>
        <w:tc>
          <w:tcPr>
            <w:tcW w:w="3858" w:type="dxa"/>
            <w:gridSpan w:val="2"/>
          </w:tcPr>
          <w:p w:rsidRPr="00CD0055" w:rsidR="006816EC" w:rsidRDefault="006816EC">
            <w:pPr>
              <w:rPr>
                <w:rFonts w:ascii="Arial (W1)" w:hAnsi="Arial (W1)"/>
                <w:b/>
                <w:bCs/>
                <w:noProof w:val="0"/>
                <w:sz w:val="26"/>
                <w:szCs w:val="26"/>
              </w:rPr>
            </w:pPr>
          </w:p>
        </w:tc>
        <w:tc>
          <w:tcPr>
            <w:tcW w:w="4962" w:type="dxa"/>
            <w:hideMark/>
          </w:tcPr>
          <w:p w:rsidRPr="00CD0055" w:rsidR="006816EC" w:rsidRDefault="006816EC">
            <w:pPr>
              <w:rPr>
                <w:rFonts w:ascii="Arial (W1)" w:hAnsi="Arial (W1)"/>
                <w:sz w:val="26"/>
                <w:szCs w:val="26"/>
              </w:rPr>
            </w:pPr>
            <w:r w:rsidRPr="00CD0055">
              <w:rPr>
                <w:rFonts w:hint="cs"/>
                <w:b/>
                <w:bCs/>
                <w:noProof w:val="0"/>
                <w:sz w:val="26"/>
                <w:szCs w:val="26"/>
                <w:rtl/>
              </w:rPr>
              <w:t>מספר בקשה:</w:t>
            </w:r>
            <w:r w:rsidR="00A62BD0">
              <w:rPr>
                <w:rFonts w:hint="cs"/>
                <w:sz w:val="26"/>
                <w:szCs w:val="26"/>
                <w:rtl/>
              </w:rPr>
              <w:t xml:space="preserve"> </w:t>
            </w:r>
            <w:sdt>
              <w:sdtPr>
                <w:rPr>
                  <w:rFonts w:hint="cs"/>
                  <w:sz w:val="26"/>
                  <w:szCs w:val="26"/>
                  <w:rtl/>
                </w:rPr>
                <w:alias w:val="1193"/>
                <w:tag w:val="1193"/>
                <w:id w:val="-1269692480"/>
                <w:text w:multiLine="1"/>
              </w:sdtPr>
              <w:sdtEndPr/>
              <w:sdtContent>
                <w:r>
                  <w:rPr>
                    <w:rFonts w:hint="cs"/>
                    <w:b/>
                    <w:bCs/>
                    <w:noProof w:val="0"/>
                    <w:sz w:val="26"/>
                    <w:szCs w:val="26"/>
                    <w:rtl/>
                  </w:rPr>
                  <w:t>15</w:t>
                </w:r>
              </w:sdtContent>
            </w:sdt>
          </w:p>
        </w:tc>
      </w:tr>
      <w:tr w:rsidRPr="00CD0055" w:rsidR="004C5CA7" w:rsidTr="00E13236">
        <w:trPr>
          <w:jc w:val="center"/>
        </w:trPr>
        <w:tc>
          <w:tcPr>
            <w:tcW w:w="8820" w:type="dxa"/>
            <w:gridSpan w:val="3"/>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עמית יריב</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bookmarkStart w:name="_GoBack" w:id="0"/>
          </w:p>
          <w:p w:rsidR="00D0714F" w:rsidP="008E1332" w:rsidRDefault="00A62BD0">
            <w:pPr>
              <w:rPr>
                <w:sz w:val="26"/>
                <w:szCs w:val="26"/>
                <w:rtl/>
              </w:rPr>
            </w:pPr>
            <w:r w:rsidRPr="00A62BD0">
              <w:rPr>
                <w:rFonts w:hint="cs"/>
                <w:b/>
                <w:bCs/>
                <w:sz w:val="26"/>
                <w:szCs w:val="26"/>
                <w:rtl/>
              </w:rPr>
              <w:t>ה</w:t>
            </w:r>
            <w:sdt>
              <w:sdtPr>
                <w:rPr>
                  <w:rFonts w:hint="cs"/>
                  <w:sz w:val="26"/>
                  <w:szCs w:val="26"/>
                  <w:rtl/>
                </w:rPr>
                <w:alias w:val="1180"/>
                <w:tag w:val="1180"/>
                <w:id w:val="-803768281"/>
                <w:text w:multiLine="1"/>
              </w:sdtPr>
              <w:sdtEndPr/>
              <w:sdtContent>
                <w:r w:rsidR="00D0714F">
                  <w:rPr>
                    <w:rFonts w:hint="cs"/>
                    <w:b/>
                    <w:bCs/>
                    <w:noProof w:val="0"/>
                    <w:sz w:val="26"/>
                    <w:szCs w:val="26"/>
                    <w:rtl/>
                  </w:rPr>
                  <w:t>מבקשות</w:t>
                </w:r>
              </w:sdtContent>
            </w:sdt>
          </w:p>
          <w:p w:rsidRPr="00CD0055" w:rsidR="006816EC" w:rsidP="008E1332" w:rsidRDefault="00D0714F">
            <w:pPr>
              <w:rPr>
                <w:rFonts w:ascii="Arial (W1)" w:hAnsi="Arial (W1)"/>
                <w:b/>
                <w:bCs/>
                <w:noProof w:val="0"/>
                <w:sz w:val="26"/>
                <w:szCs w:val="26"/>
              </w:rPr>
            </w:pPr>
            <w:r>
              <w:rPr>
                <w:rFonts w:hint="cs"/>
                <w:b/>
                <w:bCs/>
                <w:sz w:val="26"/>
                <w:szCs w:val="26"/>
                <w:rtl/>
              </w:rPr>
              <w:t>(התובעות)</w:t>
            </w:r>
            <w:r w:rsidRPr="00A62BD0" w:rsidR="00A62BD0">
              <w:rPr>
                <w:rFonts w:hint="cs"/>
                <w:b/>
                <w:bCs/>
                <w:sz w:val="26"/>
                <w:szCs w:val="26"/>
                <w:rtl/>
              </w:rPr>
              <w:t>:</w:t>
            </w:r>
          </w:p>
        </w:tc>
        <w:tc>
          <w:tcPr>
            <w:tcW w:w="5571" w:type="dxa"/>
            <w:gridSpan w:val="2"/>
          </w:tcPr>
          <w:p w:rsidRPr="00CD0055" w:rsidR="006816EC" w:rsidRDefault="006816EC">
            <w:pPr>
              <w:rPr>
                <w:rFonts w:ascii="Arial (W1)" w:hAnsi="Arial (W1)"/>
                <w:b/>
                <w:bCs/>
                <w:noProof w:val="0"/>
                <w:sz w:val="26"/>
                <w:szCs w:val="26"/>
                <w:rtl/>
              </w:rPr>
            </w:pPr>
          </w:p>
          <w:p w:rsidRPr="00934F1C" w:rsidR="006816EC" w:rsidP="00934F1C" w:rsidRDefault="0057025A">
            <w:pPr>
              <w:rPr>
                <w:sz w:val="26"/>
                <w:szCs w:val="26"/>
              </w:rPr>
            </w:pPr>
            <w:sdt>
              <w:sdtPr>
                <w:rPr>
                  <w:rFonts w:hint="cs"/>
                  <w:sz w:val="26"/>
                  <w:szCs w:val="26"/>
                  <w:rtl/>
                </w:rPr>
                <w:alias w:val="1462"/>
                <w:tag w:val="1462"/>
                <w:id w:val="-1143353124"/>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78"/>
                <w:tag w:val="1478"/>
                <w:id w:val="160126198"/>
                <w:text w:multiLine="1"/>
              </w:sdtPr>
              <w:sdtEndPr/>
              <w:sdtContent>
                <w:r w:rsidR="00E13360">
                  <w:rPr>
                    <w:rFonts w:hint="cs"/>
                    <w:b/>
                    <w:bCs/>
                    <w:noProof w:val="0"/>
                    <w:sz w:val="26"/>
                    <w:szCs w:val="26"/>
                    <w:rtl/>
                  </w:rPr>
                  <w:t>אלעד ישראל מגורים בע"מ</w:t>
                </w:r>
              </w:sdtContent>
            </w:sdt>
          </w:p>
          <w:p w:rsidRPr="00934F1C" w:rsidR="006816EC" w:rsidP="00934F1C" w:rsidRDefault="0057025A">
            <w:pPr>
              <w:rPr>
                <w:sz w:val="26"/>
                <w:szCs w:val="26"/>
              </w:rPr>
            </w:pPr>
            <w:sdt>
              <w:sdtPr>
                <w:rPr>
                  <w:rFonts w:hint="cs"/>
                  <w:sz w:val="26"/>
                  <w:szCs w:val="26"/>
                  <w:rtl/>
                </w:rPr>
                <w:alias w:val="1462"/>
                <w:tag w:val="1462"/>
                <w:id w:val="1762412192"/>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78"/>
                <w:tag w:val="1478"/>
                <w:id w:val="-1272396563"/>
                <w:text w:multiLine="1"/>
              </w:sdtPr>
              <w:sdtEndPr/>
              <w:sdtContent>
                <w:r w:rsidR="00E13360">
                  <w:rPr>
                    <w:rFonts w:hint="cs"/>
                    <w:b/>
                    <w:bCs/>
                    <w:noProof w:val="0"/>
                    <w:sz w:val="26"/>
                    <w:szCs w:val="26"/>
                    <w:rtl/>
                  </w:rPr>
                  <w:t>רשות מקרקעי ישראל מחוז מרכז</w:t>
                </w:r>
              </w:sdtContent>
            </w:sdt>
          </w:p>
          <w:p w:rsidRPr="00934F1C" w:rsidR="006816EC" w:rsidP="00934F1C" w:rsidRDefault="0057025A">
            <w:pPr>
              <w:rPr>
                <w:sz w:val="26"/>
                <w:szCs w:val="26"/>
              </w:rPr>
            </w:pPr>
            <w:sdt>
              <w:sdtPr>
                <w:rPr>
                  <w:rFonts w:hint="cs"/>
                  <w:sz w:val="26"/>
                  <w:szCs w:val="26"/>
                  <w:rtl/>
                </w:rPr>
                <w:alias w:val="1462"/>
                <w:tag w:val="1462"/>
                <w:id w:val="-605655853"/>
                <w:text w:multiLine="1"/>
              </w:sdtPr>
              <w:sdtEndPr/>
              <w:sdtContent>
                <w:r w:rsidR="00E13360">
                  <w:rPr>
                    <w:rFonts w:hint="cs"/>
                    <w:b/>
                    <w:bCs/>
                    <w:noProof w:val="0"/>
                    <w:sz w:val="26"/>
                    <w:szCs w:val="26"/>
                    <w:rtl/>
                  </w:rPr>
                  <w:t>3</w:t>
                </w:r>
              </w:sdtContent>
            </w:sdt>
            <w:r w:rsidRPr="00CD0055" w:rsidR="006816EC">
              <w:rPr>
                <w:rFonts w:hint="cs"/>
                <w:b/>
                <w:bCs/>
                <w:noProof w:val="0"/>
                <w:sz w:val="26"/>
                <w:szCs w:val="26"/>
                <w:rtl/>
              </w:rPr>
              <w:t>.</w:t>
            </w:r>
            <w:sdt>
              <w:sdtPr>
                <w:rPr>
                  <w:rFonts w:hint="cs"/>
                  <w:sz w:val="26"/>
                  <w:szCs w:val="26"/>
                  <w:rtl/>
                </w:rPr>
                <w:alias w:val="1478"/>
                <w:tag w:val="1478"/>
                <w:id w:val="678393659"/>
                <w:text w:multiLine="1"/>
              </w:sdtPr>
              <w:sdtEndPr/>
              <w:sdtContent>
                <w:r w:rsidR="00E13360">
                  <w:rPr>
                    <w:rFonts w:hint="cs"/>
                    <w:b/>
                    <w:bCs/>
                    <w:noProof w:val="0"/>
                    <w:sz w:val="26"/>
                    <w:szCs w:val="26"/>
                    <w:rtl/>
                  </w:rPr>
                  <w:t>פרידמן חכשורי חברה להנדסה ולבניה בע"מ</w:t>
                </w:r>
              </w:sdtContent>
            </w:sdt>
          </w:p>
          <w:p w:rsidR="006816EC" w:rsidP="00934F1C" w:rsidRDefault="0057025A">
            <w:pPr>
              <w:rPr>
                <w:sz w:val="26"/>
                <w:szCs w:val="26"/>
                <w:rtl/>
              </w:rPr>
            </w:pPr>
            <w:sdt>
              <w:sdtPr>
                <w:rPr>
                  <w:rFonts w:hint="cs"/>
                  <w:sz w:val="26"/>
                  <w:szCs w:val="26"/>
                  <w:rtl/>
                </w:rPr>
                <w:alias w:val="1462"/>
                <w:tag w:val="1462"/>
                <w:id w:val="587114267"/>
                <w:text w:multiLine="1"/>
              </w:sdtPr>
              <w:sdtEndPr/>
              <w:sdtContent>
                <w:r w:rsidR="00E13360">
                  <w:rPr>
                    <w:rFonts w:hint="cs"/>
                    <w:b/>
                    <w:bCs/>
                    <w:noProof w:val="0"/>
                    <w:sz w:val="26"/>
                    <w:szCs w:val="26"/>
                    <w:rtl/>
                  </w:rPr>
                  <w:t>4</w:t>
                </w:r>
              </w:sdtContent>
            </w:sdt>
            <w:r w:rsidRPr="00CD0055" w:rsidR="006816EC">
              <w:rPr>
                <w:rFonts w:hint="cs"/>
                <w:b/>
                <w:bCs/>
                <w:noProof w:val="0"/>
                <w:sz w:val="26"/>
                <w:szCs w:val="26"/>
                <w:rtl/>
              </w:rPr>
              <w:t>.</w:t>
            </w:r>
            <w:sdt>
              <w:sdtPr>
                <w:rPr>
                  <w:rFonts w:hint="cs"/>
                  <w:sz w:val="26"/>
                  <w:szCs w:val="26"/>
                  <w:rtl/>
                </w:rPr>
                <w:alias w:val="1478"/>
                <w:tag w:val="1478"/>
                <w:id w:val="1991517634"/>
                <w:text w:multiLine="1"/>
              </w:sdtPr>
              <w:sdtEndPr/>
              <w:sdtContent>
                <w:r w:rsidR="00E13360">
                  <w:rPr>
                    <w:rFonts w:hint="cs"/>
                    <w:b/>
                    <w:bCs/>
                    <w:noProof w:val="0"/>
                    <w:sz w:val="26"/>
                    <w:szCs w:val="26"/>
                    <w:rtl/>
                  </w:rPr>
                  <w:t>אביוד נכסים  בע"מ</w:t>
                </w:r>
              </w:sdtContent>
            </w:sdt>
          </w:p>
          <w:p w:rsidRPr="00934F1C" w:rsidR="00D0714F" w:rsidP="00934F1C" w:rsidRDefault="00D0714F">
            <w:pPr>
              <w:rPr>
                <w:sz w:val="26"/>
                <w:szCs w:val="26"/>
              </w:rPr>
            </w:pPr>
            <w:r>
              <w:rPr>
                <w:rFonts w:hint="cs"/>
                <w:sz w:val="26"/>
                <w:szCs w:val="26"/>
                <w:rtl/>
              </w:rPr>
              <w:t>ע"י ב"כ עוה"ד יוסי אשכנזי ויונתן בר יהודה</w:t>
            </w:r>
          </w:p>
        </w:tc>
      </w:tr>
      <w:bookmarkEnd w:id="0"/>
      <w:tr w:rsidRPr="00CD0055" w:rsidR="006816EC" w:rsidTr="006816EC">
        <w:trPr>
          <w:jc w:val="center"/>
        </w:trPr>
        <w:tc>
          <w:tcPr>
            <w:tcW w:w="8820" w:type="dxa"/>
            <w:gridSpan w:val="3"/>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P="00D0714F" w:rsidRDefault="00A62BD0">
            <w:pPr>
              <w:rPr>
                <w:rFonts w:ascii="Arial (W1)" w:hAnsi="Arial (W1)"/>
                <w:b/>
                <w:bCs/>
                <w:noProof w:val="0"/>
                <w:sz w:val="26"/>
                <w:szCs w:val="26"/>
              </w:rPr>
            </w:pPr>
            <w:r w:rsidRPr="00A62BD0">
              <w:rPr>
                <w:rFonts w:hint="cs"/>
                <w:b/>
                <w:bCs/>
                <w:sz w:val="26"/>
                <w:szCs w:val="26"/>
                <w:rtl/>
              </w:rPr>
              <w:t>ה</w:t>
            </w:r>
            <w:sdt>
              <w:sdtPr>
                <w:rPr>
                  <w:rFonts w:hint="cs"/>
                  <w:b/>
                  <w:bCs/>
                  <w:sz w:val="26"/>
                  <w:szCs w:val="26"/>
                  <w:rtl/>
                </w:rPr>
                <w:alias w:val="1184"/>
                <w:tag w:val="1184"/>
                <w:id w:val="-910234160"/>
                <w:text w:multiLine="1"/>
              </w:sdtPr>
              <w:sdtEndPr/>
              <w:sdtContent>
                <w:r w:rsidRPr="00D0714F">
                  <w:rPr>
                    <w:rFonts w:hint="cs"/>
                    <w:b/>
                    <w:bCs/>
                    <w:noProof w:val="0"/>
                    <w:sz w:val="26"/>
                    <w:szCs w:val="26"/>
                    <w:rtl/>
                  </w:rPr>
                  <w:t>משיב</w:t>
                </w:r>
                <w:r w:rsidRPr="00D0714F" w:rsidR="00D0714F">
                  <w:rPr>
                    <w:rFonts w:hint="cs"/>
                    <w:b/>
                    <w:bCs/>
                    <w:noProof w:val="0"/>
                    <w:sz w:val="26"/>
                    <w:szCs w:val="26"/>
                    <w:rtl/>
                  </w:rPr>
                  <w:t>ה</w:t>
                </w:r>
                <w:r w:rsidRPr="00D0714F" w:rsidR="00D0714F">
                  <w:rPr>
                    <w:b/>
                    <w:bCs/>
                    <w:sz w:val="26"/>
                    <w:szCs w:val="26"/>
                    <w:rtl/>
                  </w:rPr>
                  <w:br/>
                </w:r>
                <w:r w:rsidRPr="00D0714F" w:rsidR="00D0714F">
                  <w:rPr>
                    <w:rFonts w:hint="cs"/>
                    <w:b/>
                    <w:bCs/>
                    <w:sz w:val="26"/>
                    <w:szCs w:val="26"/>
                    <w:rtl/>
                  </w:rPr>
                  <w:t>(הנתבעת)</w:t>
                </w:r>
              </w:sdtContent>
            </w:sdt>
            <w:r>
              <w:rPr>
                <w:rFonts w:hint="cs" w:ascii="Arial (W1)" w:hAnsi="Arial (W1)"/>
                <w:b/>
                <w:bCs/>
                <w:noProof w:val="0"/>
                <w:sz w:val="26"/>
                <w:szCs w:val="26"/>
                <w:rtl/>
              </w:rPr>
              <w:t>:</w:t>
            </w:r>
          </w:p>
        </w:tc>
        <w:tc>
          <w:tcPr>
            <w:tcW w:w="5571" w:type="dxa"/>
            <w:gridSpan w:val="2"/>
          </w:tcPr>
          <w:p w:rsidR="006816EC" w:rsidP="00934F1C" w:rsidRDefault="0057025A">
            <w:pPr>
              <w:rPr>
                <w:sz w:val="26"/>
                <w:szCs w:val="26"/>
                <w:rtl/>
              </w:rPr>
            </w:pPr>
            <w:sdt>
              <w:sdtPr>
                <w:rPr>
                  <w:rFonts w:hint="cs"/>
                  <w:sz w:val="26"/>
                  <w:szCs w:val="26"/>
                  <w:rtl/>
                </w:rPr>
                <w:alias w:val="1486"/>
                <w:tag w:val="1486"/>
                <w:id w:val="1487590763"/>
                <w:text w:multiLine="1"/>
              </w:sdtPr>
              <w:sdtEndPr/>
              <w:sdtContent>
                <w:r w:rsidR="00E13360">
                  <w:rPr>
                    <w:rFonts w:hint="cs"/>
                    <w:b/>
                    <w:bCs/>
                    <w:noProof w:val="0"/>
                    <w:sz w:val="26"/>
                    <w:szCs w:val="26"/>
                    <w:rtl/>
                  </w:rPr>
                  <w:t>שרית גדעון</w:t>
                </w:r>
              </w:sdtContent>
            </w:sdt>
          </w:p>
          <w:p w:rsidRPr="00934F1C" w:rsidR="00D0714F" w:rsidP="00934F1C" w:rsidRDefault="00D0714F">
            <w:pPr>
              <w:rPr>
                <w:sz w:val="26"/>
                <w:szCs w:val="26"/>
              </w:rPr>
            </w:pPr>
            <w:r>
              <w:rPr>
                <w:rFonts w:hint="cs"/>
                <w:sz w:val="26"/>
                <w:szCs w:val="26"/>
                <w:rtl/>
              </w:rPr>
              <w:t>ע"י ב"כ עו"ד משה אריאל</w:t>
            </w:r>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P="00E03727" w:rsidRDefault="00D0714F">
      <w:pPr>
        <w:pStyle w:val="ad"/>
        <w:numPr>
          <w:ilvl w:val="0"/>
          <w:numId w:val="1"/>
        </w:numPr>
        <w:spacing w:before="120" w:after="240" w:line="360" w:lineRule="auto"/>
        <w:ind w:hanging="578"/>
        <w:contextualSpacing w:val="0"/>
        <w:jc w:val="both"/>
        <w:rPr>
          <w:rFonts w:ascii="Arial" w:hAnsi="Arial"/>
          <w:noProof w:val="0"/>
        </w:rPr>
      </w:pPr>
      <w:r>
        <w:rPr>
          <w:rFonts w:hint="cs" w:ascii="Arial" w:hAnsi="Arial"/>
          <w:noProof w:val="0"/>
          <w:rtl/>
        </w:rPr>
        <w:t xml:space="preserve">לפניי בקשה למתן פסק דין בהעדר בהגנה, מכוח סמכותו של בית משפט בקדם משפט, כפי שהיא קבועה בתקנה 143 (9) לתקנות סדר הדין האזרחי, תשמ"ד </w:t>
      </w:r>
      <w:r>
        <w:rPr>
          <w:rFonts w:ascii="Arial" w:hAnsi="Arial"/>
          <w:noProof w:val="0"/>
          <w:rtl/>
        </w:rPr>
        <w:t>–</w:t>
      </w:r>
      <w:r>
        <w:rPr>
          <w:rFonts w:hint="cs" w:ascii="Arial" w:hAnsi="Arial"/>
          <w:noProof w:val="0"/>
          <w:rtl/>
        </w:rPr>
        <w:t xml:space="preserve"> 1984.</w:t>
      </w:r>
    </w:p>
    <w:p w:rsidR="00CF734A" w:rsidP="00E03727" w:rsidRDefault="00D0714F">
      <w:pPr>
        <w:pStyle w:val="ad"/>
        <w:numPr>
          <w:ilvl w:val="0"/>
          <w:numId w:val="1"/>
        </w:numPr>
        <w:spacing w:before="120" w:after="240" w:line="360" w:lineRule="auto"/>
        <w:ind w:hanging="578"/>
        <w:contextualSpacing w:val="0"/>
        <w:jc w:val="both"/>
        <w:rPr>
          <w:rFonts w:ascii="Arial" w:hAnsi="Arial"/>
          <w:noProof w:val="0"/>
        </w:rPr>
      </w:pPr>
      <w:r>
        <w:rPr>
          <w:rFonts w:hint="cs" w:ascii="Arial" w:hAnsi="Arial"/>
          <w:noProof w:val="0"/>
          <w:rtl/>
        </w:rPr>
        <w:t xml:space="preserve">מדובר בתביעה לסילוק יד ממקרקעין שבבעלות המבקשות במתחם הידוע כשכונת הארגזים בדרום תל-אביב. </w:t>
      </w:r>
      <w:r w:rsidR="00E03727">
        <w:rPr>
          <w:rFonts w:hint="cs" w:ascii="Arial" w:hAnsi="Arial"/>
          <w:noProof w:val="0"/>
          <w:rtl/>
        </w:rPr>
        <w:t xml:space="preserve">מלכתחילה הוגשה התובענה כתביעה בסדר דין מקוצר, </w:t>
      </w:r>
      <w:r w:rsidR="00CF734A">
        <w:rPr>
          <w:rFonts w:hint="cs" w:ascii="Arial" w:hAnsi="Arial"/>
          <w:noProof w:val="0"/>
          <w:rtl/>
        </w:rPr>
        <w:t>והמשיבה הגישה בקשת רשות להתגונן ובה העלתה שתי טענות: ראשית, כי היא בת-רשות בלתי הדירה לשימוש במקרקעין, ושנית, כי סבה רכש את זכות הבעלות במקרקעין מידי אחר, כך שהיא מחזיקה במקרקעין מכוח זכותו של סבה.</w:t>
      </w:r>
    </w:p>
    <w:p w:rsidR="00D0714F" w:rsidP="00CF734A" w:rsidRDefault="00CF734A">
      <w:pPr>
        <w:pStyle w:val="ad"/>
        <w:spacing w:before="120" w:after="240" w:line="360" w:lineRule="auto"/>
        <w:contextualSpacing w:val="0"/>
        <w:jc w:val="both"/>
        <w:rPr>
          <w:rFonts w:ascii="Arial" w:hAnsi="Arial"/>
          <w:noProof w:val="0"/>
          <w:rtl/>
        </w:rPr>
      </w:pPr>
      <w:r>
        <w:rPr>
          <w:rFonts w:hint="cs" w:ascii="Arial" w:hAnsi="Arial"/>
          <w:noProof w:val="0"/>
          <w:rtl/>
        </w:rPr>
        <w:t>במסגרת הדיון בבקשת הרשות להתגונן שהתקיים לפני כב' השופטת ביבי ביום 9.1.2017, דחה בית המשפט את טענתה של הנתבעת כי היא בת-רשות בלתי-הדירה. לעניין טענת רכישת הזכויות, קבע בית המשפט כך:</w:t>
      </w:r>
    </w:p>
    <w:p w:rsidRPr="00CF734A" w:rsidR="00CF734A" w:rsidP="00740E3B" w:rsidRDefault="00CF734A">
      <w:pPr>
        <w:ind w:left="1440" w:right="1134" w:hanging="1440"/>
        <w:jc w:val="both"/>
        <w:rPr>
          <w:rFonts w:cs="Miriam"/>
          <w:noProof w:val="0"/>
          <w:sz w:val="22"/>
          <w:szCs w:val="22"/>
        </w:rPr>
      </w:pPr>
      <w:r>
        <w:rPr>
          <w:rFonts w:ascii="Arial" w:hAnsi="Arial"/>
          <w:noProof w:val="0"/>
          <w:rtl/>
        </w:rPr>
        <w:tab/>
      </w:r>
      <w:r>
        <w:rPr>
          <w:rFonts w:hint="cs" w:ascii="Arial" w:hAnsi="Arial"/>
          <w:noProof w:val="0"/>
          <w:rtl/>
        </w:rPr>
        <w:t>"</w:t>
      </w:r>
      <w:r w:rsidRPr="00CF734A">
        <w:rPr>
          <w:rFonts w:hint="cs" w:cs="Miriam"/>
          <w:sz w:val="22"/>
          <w:szCs w:val="22"/>
          <w:rtl/>
        </w:rPr>
        <w:t>מכאן אפנה לטענתה האחרונה של המבקשת ובמסגרתה הינה טוענת כי סבה רכש זכויות במקרקעין. באשר לטענה זו, ספק בעיניי באם טענה זו יכולה לדור בכפיפה אחת עם טענה בדבר רשות בלתי הדירה באשר לכאורה מדובר בטענות עובדתיות סותרות.</w:t>
      </w:r>
    </w:p>
    <w:p w:rsidRPr="00CF734A" w:rsidR="00CF734A" w:rsidP="00740E3B" w:rsidRDefault="00CF734A">
      <w:pPr>
        <w:ind w:left="1440" w:right="1134"/>
        <w:jc w:val="both"/>
        <w:rPr>
          <w:rFonts w:hint="cs" w:cs="Miriam"/>
          <w:sz w:val="22"/>
          <w:szCs w:val="22"/>
          <w:rtl/>
        </w:rPr>
      </w:pPr>
      <w:r w:rsidRPr="00CF734A">
        <w:rPr>
          <w:rFonts w:hint="cs" w:cs="Miriam"/>
          <w:sz w:val="22"/>
          <w:szCs w:val="22"/>
          <w:rtl/>
        </w:rPr>
        <w:t xml:space="preserve">זאת ועוד, המבקשת עצמה מודה כי אין בידיה כל מסמכים התומכים בטענתה בדבר רכישת המקרקעין. יתרה מכך, המבקשת אינה מצרפת כל ראיה בדבר ירושת סבה המנוח ככל שזה אמנם רכש את המקרקעין וכלל טענתה זו הינה טענה מפי השמועה. יחד עם זאת, נתתי דעתי מחד, להלכות ובהתאם להן בשלב רשות להתגונן לא נדרש בית המשפט לדרך בו יוכיח בעל דין את טענותיו אלא רק לעצם הטענות ומאידך, לאלו הקובעות שבמקרה בו הרשות להתגונן הינה קלושה וקרובה להגנת בדים, תותנה הרשות בהפקדת ערובה והנני סבורה כי המקרה בפניי, שהינו קרוב להגנת בדים, הינו מקרה בו ראוי להתנות את הרשות להתגונן בהפקדת ערובה. </w:t>
      </w:r>
    </w:p>
    <w:p w:rsidRPr="00CF734A" w:rsidR="00CF734A" w:rsidP="00740E3B" w:rsidRDefault="00CF734A">
      <w:pPr>
        <w:ind w:left="1440" w:right="1134"/>
        <w:jc w:val="both"/>
        <w:rPr>
          <w:rtl/>
        </w:rPr>
      </w:pPr>
      <w:r w:rsidRPr="00CF734A">
        <w:rPr>
          <w:rFonts w:hint="cs" w:cs="Miriam"/>
          <w:sz w:val="22"/>
          <w:szCs w:val="22"/>
          <w:rtl/>
        </w:rPr>
        <w:t xml:space="preserve">אשר על כן ולאחר ששקלתי, הנני נותנת למבקשת רשות להתגונן אך ורק בטענת רכישת זכויות בעלות ע"י סבה. לאור קלישותה של הטענה, הנני </w:t>
      </w:r>
      <w:r w:rsidRPr="00CF734A">
        <w:rPr>
          <w:rFonts w:hint="cs" w:cs="Miriam"/>
          <w:sz w:val="22"/>
          <w:szCs w:val="22"/>
          <w:rtl/>
        </w:rPr>
        <w:lastRenderedPageBreak/>
        <w:t>מתנה רשות כאמור בהפקדת ערובה בסך של 25,000 ₪ וזאת בתוך 30 יום מהיום.</w:t>
      </w:r>
      <w:r w:rsidRPr="00CF734A">
        <w:rPr>
          <w:rFonts w:hint="cs" w:ascii="Arial" w:hAnsi="Arial"/>
          <w:noProof w:val="0"/>
          <w:rtl/>
        </w:rPr>
        <w:t>"</w:t>
      </w:r>
    </w:p>
    <w:p w:rsidR="00694556" w:rsidP="00082191" w:rsidRDefault="00CF734A">
      <w:pPr>
        <w:pStyle w:val="ad"/>
        <w:spacing w:before="120" w:after="240" w:line="360" w:lineRule="auto"/>
        <w:contextualSpacing w:val="0"/>
        <w:jc w:val="both"/>
        <w:rPr>
          <w:rFonts w:ascii="Arial" w:hAnsi="Arial"/>
          <w:noProof w:val="0"/>
          <w:rtl/>
        </w:rPr>
      </w:pPr>
      <w:r>
        <w:rPr>
          <w:rFonts w:hint="cs" w:ascii="Arial" w:hAnsi="Arial"/>
          <w:noProof w:val="0"/>
          <w:rtl/>
        </w:rPr>
        <w:t xml:space="preserve">הרשות להתגונן ניתנה, אפוא, </w:t>
      </w:r>
      <w:r w:rsidR="00DB2102">
        <w:rPr>
          <w:rFonts w:hint="cs" w:ascii="Arial" w:hAnsi="Arial"/>
          <w:noProof w:val="0"/>
          <w:rtl/>
        </w:rPr>
        <w:t>באופן חלקי בלבד, ו</w:t>
      </w:r>
      <w:r w:rsidR="00082191">
        <w:rPr>
          <w:rFonts w:hint="cs" w:ascii="Arial" w:hAnsi="Arial"/>
          <w:noProof w:val="0"/>
          <w:rtl/>
        </w:rPr>
        <w:t>תוך שבית המשפט הביע ספק ניכר בעצם תוקפה של טענת ההגנה.</w:t>
      </w:r>
    </w:p>
    <w:p w:rsidR="00DB2102" w:rsidP="00082191" w:rsidRDefault="00DB2102">
      <w:pPr>
        <w:pStyle w:val="ad"/>
        <w:spacing w:before="120" w:after="240" w:line="360" w:lineRule="auto"/>
        <w:contextualSpacing w:val="0"/>
        <w:jc w:val="both"/>
        <w:rPr>
          <w:rFonts w:hint="cs" w:ascii="Arial" w:hAnsi="Arial"/>
          <w:noProof w:val="0"/>
        </w:rPr>
      </w:pPr>
      <w:r>
        <w:rPr>
          <w:rFonts w:hint="cs" w:ascii="Arial" w:hAnsi="Arial"/>
          <w:noProof w:val="0"/>
          <w:rtl/>
        </w:rPr>
        <w:t xml:space="preserve">הנתבעת לא הגישה ערעור (או בקשת רשות ערעור) על דחיית חלק הארי של בקשת הרשות להתגונן, שעניינה </w:t>
      </w:r>
      <w:r>
        <w:rPr>
          <w:rFonts w:ascii="Arial" w:hAnsi="Arial"/>
          <w:noProof w:val="0"/>
          <w:rtl/>
        </w:rPr>
        <w:t>–</w:t>
      </w:r>
      <w:r>
        <w:rPr>
          <w:rFonts w:hint="cs" w:ascii="Arial" w:hAnsi="Arial"/>
          <w:noProof w:val="0"/>
          <w:rtl/>
        </w:rPr>
        <w:t xml:space="preserve"> מעמדה כבת-רשות במקרקעין.</w:t>
      </w:r>
    </w:p>
    <w:p w:rsidR="00082191" w:rsidP="00CF734A" w:rsidRDefault="00DB2102">
      <w:pPr>
        <w:pStyle w:val="ad"/>
        <w:numPr>
          <w:ilvl w:val="0"/>
          <w:numId w:val="1"/>
        </w:numPr>
        <w:spacing w:before="120" w:after="240" w:line="360" w:lineRule="auto"/>
        <w:ind w:hanging="578"/>
        <w:contextualSpacing w:val="0"/>
        <w:jc w:val="both"/>
        <w:rPr>
          <w:rFonts w:ascii="Arial" w:hAnsi="Arial"/>
          <w:noProof w:val="0"/>
        </w:rPr>
      </w:pPr>
      <w:r>
        <w:rPr>
          <w:rFonts w:hint="cs" w:ascii="Arial" w:hAnsi="Arial"/>
          <w:noProof w:val="0"/>
          <w:rtl/>
        </w:rPr>
        <w:t>הנתבעת הגישה תצהירי עדות ראשית מטעמה ביום 25.9.2017, ובתצהירה היא מציינת, בין היתר, את הסוגיות כדלקמן:</w:t>
      </w:r>
    </w:p>
    <w:p w:rsidR="00DB2102" w:rsidP="00DB2102" w:rsidRDefault="00DB2102">
      <w:pPr>
        <w:pStyle w:val="ad"/>
        <w:numPr>
          <w:ilvl w:val="1"/>
          <w:numId w:val="1"/>
        </w:numPr>
        <w:spacing w:before="120" w:after="240" w:line="360" w:lineRule="auto"/>
        <w:contextualSpacing w:val="0"/>
        <w:jc w:val="both"/>
        <w:rPr>
          <w:rFonts w:hint="cs" w:ascii="Arial" w:hAnsi="Arial"/>
          <w:noProof w:val="0"/>
        </w:rPr>
      </w:pPr>
      <w:r>
        <w:rPr>
          <w:rFonts w:hint="cs" w:ascii="Arial" w:hAnsi="Arial"/>
          <w:noProof w:val="0"/>
          <w:rtl/>
        </w:rPr>
        <w:t>בשנת 1957 רכש סבה של הנתבעת את המקרקעין מידי פלוני, מר מחמוד דכה (סעיפים 6 ו-7 לתצהיר הנתבעת וכן נספחים ג' ו-ג'1 לתצהיר);</w:t>
      </w:r>
    </w:p>
    <w:p w:rsidR="00DB2102" w:rsidP="00DB2102" w:rsidRDefault="00DB2102">
      <w:pPr>
        <w:pStyle w:val="ad"/>
        <w:numPr>
          <w:ilvl w:val="1"/>
          <w:numId w:val="1"/>
        </w:numPr>
        <w:spacing w:before="120" w:after="240" w:line="360" w:lineRule="auto"/>
        <w:contextualSpacing w:val="0"/>
        <w:jc w:val="both"/>
        <w:rPr>
          <w:rFonts w:hint="cs" w:ascii="Arial" w:hAnsi="Arial"/>
          <w:noProof w:val="0"/>
        </w:rPr>
      </w:pPr>
      <w:r>
        <w:rPr>
          <w:rFonts w:hint="cs" w:ascii="Arial" w:hAnsi="Arial"/>
          <w:noProof w:val="0"/>
          <w:rtl/>
        </w:rPr>
        <w:t>לא ניתן היה לרשום את הבעלות בנכס "</w:t>
      </w:r>
      <w:r w:rsidRPr="00DB2102">
        <w:rPr>
          <w:rFonts w:hint="cs" w:ascii="Arial" w:hAnsi="Arial" w:cs="Miriam"/>
          <w:noProof w:val="0"/>
          <w:sz w:val="22"/>
          <w:szCs w:val="22"/>
          <w:rtl/>
        </w:rPr>
        <w:t>וזאת כפועל יוצא מהפקעתם של כ-20 מיליון דונם, אשר נחשבו כנכסי נפקדים ע"י מדינת ישראל</w:t>
      </w:r>
      <w:r>
        <w:rPr>
          <w:rFonts w:hint="cs" w:ascii="Arial" w:hAnsi="Arial"/>
          <w:noProof w:val="0"/>
          <w:rtl/>
        </w:rPr>
        <w:t>" (סעיף 7 לתצהיר);</w:t>
      </w:r>
    </w:p>
    <w:p w:rsidR="00DB2102" w:rsidP="00DB2102" w:rsidRDefault="000439B8">
      <w:pPr>
        <w:pStyle w:val="ad"/>
        <w:numPr>
          <w:ilvl w:val="1"/>
          <w:numId w:val="1"/>
        </w:numPr>
        <w:spacing w:before="120" w:after="240" w:line="360" w:lineRule="auto"/>
        <w:contextualSpacing w:val="0"/>
        <w:jc w:val="both"/>
        <w:rPr>
          <w:rFonts w:ascii="Arial" w:hAnsi="Arial"/>
          <w:noProof w:val="0"/>
        </w:rPr>
      </w:pPr>
      <w:r>
        <w:rPr>
          <w:rFonts w:hint="cs" w:ascii="Arial" w:hAnsi="Arial"/>
          <w:noProof w:val="0"/>
          <w:rtl/>
        </w:rPr>
        <w:t>הנתבעת הייתה הנכדה האהובה על סבה מבין כל הנכדים "</w:t>
      </w:r>
      <w:r w:rsidRPr="000439B8">
        <w:rPr>
          <w:rFonts w:hint="cs" w:ascii="Arial" w:hAnsi="Arial" w:cs="Miriam"/>
          <w:noProof w:val="0"/>
          <w:sz w:val="22"/>
          <w:szCs w:val="22"/>
          <w:rtl/>
        </w:rPr>
        <w:t>אשר על כן ביקש להשאיר בידי את הנכס הראשון אשר רכש בישראל, ושהיה מקור פרנסתו וקרוב לליבו</w:t>
      </w:r>
      <w:r>
        <w:rPr>
          <w:rFonts w:hint="cs" w:ascii="Arial" w:hAnsi="Arial"/>
          <w:noProof w:val="0"/>
          <w:rtl/>
        </w:rPr>
        <w:t>".</w:t>
      </w:r>
    </w:p>
    <w:p w:rsidR="000439B8" w:rsidP="00CF734A" w:rsidRDefault="000439B8">
      <w:pPr>
        <w:pStyle w:val="ad"/>
        <w:numPr>
          <w:ilvl w:val="0"/>
          <w:numId w:val="1"/>
        </w:numPr>
        <w:spacing w:before="120" w:after="240" w:line="360" w:lineRule="auto"/>
        <w:ind w:hanging="578"/>
        <w:contextualSpacing w:val="0"/>
        <w:jc w:val="both"/>
        <w:rPr>
          <w:rFonts w:ascii="Arial" w:hAnsi="Arial"/>
          <w:noProof w:val="0"/>
        </w:rPr>
      </w:pPr>
      <w:r>
        <w:rPr>
          <w:rFonts w:hint="cs" w:ascii="Arial" w:hAnsi="Arial"/>
          <w:noProof w:val="0"/>
          <w:rtl/>
        </w:rPr>
        <w:t xml:space="preserve">ביום 2.1.2018 הוגשה בקשת התובעות למתן פסק דין המקבל את התביעה במלואה, וזאת בהעדר הגנה למבקשת. יוער, כי בישיבת יום 29.11.2017 נדחתה בקשת הנתבעת לתקן את כתב הגנתה, באופן שיכלול בכתב ההגנה את הטענה כי הנתבעת שהתה במקרקעין בתקופה שבין 1986 </w:t>
      </w:r>
      <w:r>
        <w:rPr>
          <w:rFonts w:ascii="Arial" w:hAnsi="Arial"/>
          <w:noProof w:val="0"/>
          <w:rtl/>
        </w:rPr>
        <w:t>–</w:t>
      </w:r>
      <w:r>
        <w:rPr>
          <w:rFonts w:hint="cs" w:ascii="Arial" w:hAnsi="Arial"/>
          <w:noProof w:val="0"/>
          <w:rtl/>
        </w:rPr>
        <w:t xml:space="preserve"> 1996 היא התגוררה במתחם שכונת הארגזים (כעולה מתצהיר העדות הראשית שהגישה). בקשת רשות ערעור שהוגשה על החלטתי זו נדחתה בה</w:t>
      </w:r>
      <w:r w:rsidR="007D1021">
        <w:rPr>
          <w:rFonts w:hint="cs" w:ascii="Arial" w:hAnsi="Arial"/>
          <w:noProof w:val="0"/>
          <w:rtl/>
        </w:rPr>
        <w:t xml:space="preserve">חלטת בית המשפט המחוזי תל-אביב </w:t>
      </w:r>
      <w:r w:rsidR="007D1021">
        <w:rPr>
          <w:rFonts w:ascii="Arial" w:hAnsi="Arial"/>
          <w:noProof w:val="0"/>
          <w:rtl/>
        </w:rPr>
        <w:t>–</w:t>
      </w:r>
      <w:r w:rsidR="007D1021">
        <w:rPr>
          <w:rFonts w:hint="cs" w:ascii="Arial" w:hAnsi="Arial"/>
          <w:noProof w:val="0"/>
          <w:rtl/>
        </w:rPr>
        <w:t xml:space="preserve"> יפו (רע"א 22266-12-17, כב' השופטת אביגיל כהן).</w:t>
      </w:r>
    </w:p>
    <w:p w:rsidR="007D1021" w:rsidP="00CF734A" w:rsidRDefault="007D1021">
      <w:pPr>
        <w:pStyle w:val="ad"/>
        <w:numPr>
          <w:ilvl w:val="0"/>
          <w:numId w:val="1"/>
        </w:numPr>
        <w:spacing w:before="120" w:after="240" w:line="360" w:lineRule="auto"/>
        <w:ind w:hanging="578"/>
        <w:contextualSpacing w:val="0"/>
        <w:jc w:val="both"/>
        <w:rPr>
          <w:rFonts w:ascii="Arial" w:hAnsi="Arial"/>
          <w:noProof w:val="0"/>
        </w:rPr>
      </w:pPr>
      <w:r>
        <w:rPr>
          <w:rFonts w:hint="cs" w:ascii="Arial" w:hAnsi="Arial"/>
          <w:noProof w:val="0"/>
          <w:rtl/>
        </w:rPr>
        <w:t xml:space="preserve">לאחר שעיינתי בבקשה, בתשובה ובתגובה לתשובה, ולאחר שבחנתי בעיון את חומר הראיות שהגישה הנתבעת לתיק, נחה דעתי כי הגנתה של הנתבעת </w:t>
      </w:r>
      <w:r>
        <w:rPr>
          <w:rFonts w:ascii="Arial" w:hAnsi="Arial"/>
          <w:noProof w:val="0"/>
          <w:rtl/>
        </w:rPr>
        <w:t>–</w:t>
      </w:r>
      <w:r>
        <w:rPr>
          <w:rFonts w:hint="cs" w:ascii="Arial" w:hAnsi="Arial"/>
          <w:noProof w:val="0"/>
          <w:rtl/>
        </w:rPr>
        <w:t xml:space="preserve"> לאו הגנה היא, היא אינה נתמכת בראיות טובות, ולמעשה </w:t>
      </w:r>
      <w:r>
        <w:rPr>
          <w:rFonts w:ascii="Arial" w:hAnsi="Arial"/>
          <w:noProof w:val="0"/>
          <w:rtl/>
        </w:rPr>
        <w:t>–</w:t>
      </w:r>
      <w:r>
        <w:rPr>
          <w:rFonts w:hint="cs" w:ascii="Arial" w:hAnsi="Arial"/>
          <w:noProof w:val="0"/>
          <w:rtl/>
        </w:rPr>
        <w:t xml:space="preserve"> אין כל תוחלת בקיום דיון הוכחות. בנסיבות אלה, יש לקבל את בקשת התובעות למתן פסק דין של פינוי כבר בשלב זה. להלן נימוקיי להחלטה זו.</w:t>
      </w:r>
    </w:p>
    <w:p w:rsidR="007D1021" w:rsidP="00CF734A" w:rsidRDefault="007D1021">
      <w:pPr>
        <w:pStyle w:val="ad"/>
        <w:numPr>
          <w:ilvl w:val="0"/>
          <w:numId w:val="1"/>
        </w:numPr>
        <w:spacing w:before="120" w:after="240" w:line="360" w:lineRule="auto"/>
        <w:ind w:hanging="578"/>
        <w:contextualSpacing w:val="0"/>
        <w:jc w:val="both"/>
        <w:rPr>
          <w:rFonts w:hint="cs" w:ascii="Arial" w:hAnsi="Arial"/>
          <w:noProof w:val="0"/>
        </w:rPr>
      </w:pPr>
      <w:r>
        <w:rPr>
          <w:rFonts w:hint="cs" w:ascii="Arial" w:hAnsi="Arial"/>
          <w:noProof w:val="0"/>
          <w:rtl/>
        </w:rPr>
        <w:t xml:space="preserve">ראשית, יש לציין כי הנתבעת עצמה, בתצהיר העדות הראשית שלה, מודה, כי כאשר נערכה העסקה הנטענת שבין סבה של הנתבעת ובין מר דכה </w:t>
      </w:r>
      <w:r>
        <w:rPr>
          <w:rFonts w:ascii="Arial" w:hAnsi="Arial"/>
          <w:noProof w:val="0"/>
          <w:rtl/>
        </w:rPr>
        <w:t>–</w:t>
      </w:r>
      <w:r>
        <w:rPr>
          <w:rFonts w:hint="cs" w:ascii="Arial" w:hAnsi="Arial"/>
          <w:noProof w:val="0"/>
          <w:rtl/>
        </w:rPr>
        <w:t xml:space="preserve"> היה הדבר לאחר הפקעתם של 20 מיליון דונם כנכסי נפקדים (סעיף 7 לתצהיר הנתבעת). </w:t>
      </w:r>
      <w:r w:rsidR="001E1AB1">
        <w:rPr>
          <w:rFonts w:hint="cs" w:ascii="Arial" w:hAnsi="Arial"/>
          <w:noProof w:val="0"/>
          <w:rtl/>
        </w:rPr>
        <w:t xml:space="preserve">די בהודאה זו כדי לקבוע, כי כאשר מכר מר דכה את המקרקעין לסבה של הנתבעת </w:t>
      </w:r>
      <w:r w:rsidR="001E1AB1">
        <w:rPr>
          <w:rFonts w:ascii="Arial" w:hAnsi="Arial"/>
          <w:noProof w:val="0"/>
          <w:rtl/>
        </w:rPr>
        <w:t>–</w:t>
      </w:r>
      <w:r w:rsidR="001E1AB1">
        <w:rPr>
          <w:rFonts w:hint="cs" w:ascii="Arial" w:hAnsi="Arial"/>
          <w:noProof w:val="0"/>
          <w:rtl/>
        </w:rPr>
        <w:t xml:space="preserve"> הוא לא היה בעל זכויות בהם.</w:t>
      </w:r>
    </w:p>
    <w:p w:rsidR="00E36D37" w:rsidP="00CF734A" w:rsidRDefault="00E36D37">
      <w:pPr>
        <w:pStyle w:val="ad"/>
        <w:numPr>
          <w:ilvl w:val="0"/>
          <w:numId w:val="1"/>
        </w:numPr>
        <w:spacing w:before="120" w:after="240" w:line="360" w:lineRule="auto"/>
        <w:ind w:hanging="578"/>
        <w:contextualSpacing w:val="0"/>
        <w:jc w:val="both"/>
        <w:rPr>
          <w:rFonts w:ascii="Arial" w:hAnsi="Arial"/>
          <w:noProof w:val="0"/>
        </w:rPr>
      </w:pPr>
      <w:r>
        <w:rPr>
          <w:rFonts w:hint="cs" w:ascii="Arial" w:hAnsi="Arial"/>
          <w:noProof w:val="0"/>
          <w:rtl/>
        </w:rPr>
        <w:lastRenderedPageBreak/>
        <w:t>בשונה מטענת התובעות, בסעיף 15 לתגובה לתשובה, המקרקעין נושא ההליך הוקנו לממונה על נכסי נפקדים רק בדצמבר 1957, שכן לפי סעיף 4 (א) (1) לחוק נכסי נפקדים נקבע כי:</w:t>
      </w:r>
    </w:p>
    <w:p w:rsidRPr="00E36D37" w:rsidR="001E1AB1" w:rsidP="00740E3B" w:rsidRDefault="00E36D37">
      <w:pPr>
        <w:ind w:left="1440" w:right="1134"/>
        <w:jc w:val="both"/>
        <w:rPr>
          <w:rFonts w:ascii="Arial" w:hAnsi="Arial"/>
          <w:noProof w:val="0"/>
        </w:rPr>
      </w:pPr>
      <w:r>
        <w:rPr>
          <w:rFonts w:hint="cs" w:ascii="Arial" w:hAnsi="Arial"/>
          <w:noProof w:val="0"/>
          <w:rtl/>
        </w:rPr>
        <w:t>"</w:t>
      </w:r>
      <w:r w:rsidRPr="00BF0DC4">
        <w:rPr>
          <w:rFonts w:hint="cs" w:ascii="Arial" w:hAnsi="Arial" w:cs="Miriam"/>
          <w:noProof w:val="0"/>
          <w:sz w:val="22"/>
          <w:szCs w:val="22"/>
          <w:rtl/>
        </w:rPr>
        <w:t>כל נכס נפקד מוקנה בזה לאפוטרופוס מיום פ</w:t>
      </w:r>
      <w:r w:rsidRPr="00BF0DC4" w:rsidR="00BF0DC4">
        <w:rPr>
          <w:rFonts w:hint="cs" w:ascii="Arial" w:hAnsi="Arial" w:cs="Miriam"/>
          <w:noProof w:val="0"/>
          <w:sz w:val="22"/>
          <w:szCs w:val="22"/>
          <w:rtl/>
        </w:rPr>
        <w:t xml:space="preserve">רסום מינויו, או מיום שהיה לנכס נפקד, </w:t>
      </w:r>
      <w:r w:rsidRPr="00BF0DC4" w:rsidR="00BF0DC4">
        <w:rPr>
          <w:rFonts w:hint="cs" w:ascii="Arial" w:hAnsi="Arial" w:cs="Miriam"/>
          <w:b/>
          <w:bCs/>
          <w:noProof w:val="0"/>
          <w:sz w:val="22"/>
          <w:szCs w:val="22"/>
          <w:rtl/>
        </w:rPr>
        <w:t>הכל לפי התאריך המאוחר יותר</w:t>
      </w:r>
      <w:r>
        <w:rPr>
          <w:rFonts w:hint="cs" w:ascii="Arial" w:hAnsi="Arial"/>
          <w:noProof w:val="0"/>
          <w:rtl/>
        </w:rPr>
        <w:t>"</w:t>
      </w:r>
      <w:r w:rsidRPr="00E36D37">
        <w:rPr>
          <w:rFonts w:hint="cs" w:ascii="Arial" w:hAnsi="Arial"/>
          <w:noProof w:val="0"/>
          <w:rtl/>
        </w:rPr>
        <w:t xml:space="preserve"> </w:t>
      </w:r>
      <w:r w:rsidR="00BF0DC4">
        <w:rPr>
          <w:rFonts w:hint="cs" w:ascii="Arial" w:hAnsi="Arial"/>
          <w:noProof w:val="0"/>
          <w:rtl/>
        </w:rPr>
        <w:t xml:space="preserve">(ההדגשה הוספה </w:t>
      </w:r>
      <w:r w:rsidR="00BF0DC4">
        <w:rPr>
          <w:rFonts w:ascii="Arial" w:hAnsi="Arial"/>
          <w:noProof w:val="0"/>
          <w:rtl/>
        </w:rPr>
        <w:t>–</w:t>
      </w:r>
      <w:r w:rsidR="00BF0DC4">
        <w:rPr>
          <w:rFonts w:hint="cs" w:ascii="Arial" w:hAnsi="Arial"/>
          <w:noProof w:val="0"/>
          <w:rtl/>
        </w:rPr>
        <w:t xml:space="preserve"> ע"י)</w:t>
      </w:r>
    </w:p>
    <w:p w:rsidR="00BF0DC4" w:rsidP="00BF0DC4" w:rsidRDefault="00BF0DC4">
      <w:pPr>
        <w:pStyle w:val="ad"/>
        <w:spacing w:before="120" w:after="240" w:line="360" w:lineRule="auto"/>
        <w:contextualSpacing w:val="0"/>
        <w:jc w:val="both"/>
        <w:rPr>
          <w:rFonts w:ascii="Arial" w:hAnsi="Arial"/>
          <w:noProof w:val="0"/>
        </w:rPr>
      </w:pPr>
      <w:r>
        <w:rPr>
          <w:rFonts w:hint="cs" w:ascii="Arial" w:hAnsi="Arial"/>
          <w:noProof w:val="0"/>
          <w:rtl/>
        </w:rPr>
        <w:t xml:space="preserve">פשיטא, כי הנכס לא "היה לנכס נפקד" כל עוד לא הוכרז ככזה על ידי האפוטרופוס, ועל כן המועד שבו הוקנה הנכס לממונה </w:t>
      </w:r>
      <w:r>
        <w:rPr>
          <w:rFonts w:ascii="Arial" w:hAnsi="Arial"/>
          <w:noProof w:val="0"/>
          <w:rtl/>
        </w:rPr>
        <w:t>–</w:t>
      </w:r>
      <w:r>
        <w:rPr>
          <w:rFonts w:hint="cs" w:ascii="Arial" w:hAnsi="Arial"/>
          <w:noProof w:val="0"/>
          <w:rtl/>
        </w:rPr>
        <w:t xml:space="preserve"> היה </w:t>
      </w:r>
      <w:r w:rsidR="00740E3B">
        <w:rPr>
          <w:rFonts w:hint="cs" w:ascii="Arial" w:hAnsi="Arial"/>
          <w:noProof w:val="0"/>
          <w:rtl/>
        </w:rPr>
        <w:t>דצמבר 1957, חודש לאחר העסקה הנטענת בין הסב ובין מר דכה.</w:t>
      </w:r>
    </w:p>
    <w:p w:rsidR="00BF0DC4" w:rsidP="005D7572" w:rsidRDefault="00BF0DC4">
      <w:pPr>
        <w:pStyle w:val="ad"/>
        <w:numPr>
          <w:ilvl w:val="0"/>
          <w:numId w:val="1"/>
        </w:numPr>
        <w:spacing w:before="120" w:after="240" w:line="360" w:lineRule="auto"/>
        <w:ind w:hanging="578"/>
        <w:contextualSpacing w:val="0"/>
        <w:jc w:val="both"/>
        <w:rPr>
          <w:rFonts w:hint="cs" w:ascii="Arial" w:hAnsi="Arial"/>
          <w:noProof w:val="0"/>
        </w:rPr>
      </w:pPr>
      <w:r>
        <w:rPr>
          <w:rFonts w:hint="cs" w:ascii="Arial" w:hAnsi="Arial"/>
          <w:noProof w:val="0"/>
          <w:rtl/>
        </w:rPr>
        <w:t xml:space="preserve">אלא שבכך אין כדי לסייע לנתבעת. על מנת שניתן יהיה לקבוע כי סבה של הנתבעת רכש את זכות הבעלות במקרקעין, היה עליה להקדים ולהוכיח, כי לאותו מחמוד דכה </w:t>
      </w:r>
      <w:r>
        <w:rPr>
          <w:rFonts w:ascii="Arial" w:hAnsi="Arial"/>
          <w:noProof w:val="0"/>
          <w:rtl/>
        </w:rPr>
        <w:t>–</w:t>
      </w:r>
      <w:r>
        <w:rPr>
          <w:rFonts w:hint="cs" w:ascii="Arial" w:hAnsi="Arial"/>
          <w:noProof w:val="0"/>
          <w:rtl/>
        </w:rPr>
        <w:t xml:space="preserve"> היו זכויות הבעלות במקרקעין, שהרי כלל קנייני ידוע הוא, שאין אדם יכול להקנות זכות עודפת על הזכות שיש לו.</w:t>
      </w:r>
      <w:r w:rsidR="005D7572">
        <w:rPr>
          <w:rFonts w:hint="cs" w:ascii="Arial" w:hAnsi="Arial"/>
          <w:noProof w:val="0"/>
          <w:rtl/>
        </w:rPr>
        <w:t xml:space="preserve"> אלא שבחומר הראיות </w:t>
      </w:r>
      <w:r w:rsidR="005D7572">
        <w:rPr>
          <w:rFonts w:ascii="Arial" w:hAnsi="Arial"/>
          <w:noProof w:val="0"/>
          <w:rtl/>
        </w:rPr>
        <w:t>–</w:t>
      </w:r>
      <w:r w:rsidR="005D7572">
        <w:rPr>
          <w:rFonts w:hint="cs" w:ascii="Arial" w:hAnsi="Arial"/>
          <w:noProof w:val="0"/>
          <w:rtl/>
        </w:rPr>
        <w:t xml:space="preserve"> תצהירי הנתבעת על נספחיהם </w:t>
      </w:r>
      <w:r w:rsidR="005D7572">
        <w:rPr>
          <w:rFonts w:ascii="Arial" w:hAnsi="Arial"/>
          <w:noProof w:val="0"/>
          <w:rtl/>
        </w:rPr>
        <w:t>–</w:t>
      </w:r>
      <w:r w:rsidR="005D7572">
        <w:rPr>
          <w:rFonts w:hint="cs" w:ascii="Arial" w:hAnsi="Arial"/>
          <w:noProof w:val="0"/>
          <w:rtl/>
        </w:rPr>
        <w:t xml:space="preserve"> אין כל ראיה עצמאית אשר תוכל ללמד על אופי זכויותיו של מר דכה במקרקעין נושא ההליך. קרי </w:t>
      </w:r>
      <w:r w:rsidR="005D7572">
        <w:rPr>
          <w:rFonts w:ascii="Arial" w:hAnsi="Arial"/>
          <w:noProof w:val="0"/>
          <w:rtl/>
        </w:rPr>
        <w:t>–</w:t>
      </w:r>
      <w:r w:rsidR="005D7572">
        <w:rPr>
          <w:rFonts w:hint="cs" w:ascii="Arial" w:hAnsi="Arial"/>
          <w:noProof w:val="0"/>
          <w:rtl/>
        </w:rPr>
        <w:t xml:space="preserve"> לא הובאו כל מסמכים או עדויות שילמדו כי במועד מכירת הזכויות הנטענת, בחודש נובמבר 1957, היה מר מחמוד דכה בעל זכות הבעלות במקרקעין.</w:t>
      </w:r>
    </w:p>
    <w:p w:rsidR="005D7572" w:rsidP="005D7572" w:rsidRDefault="005D7572">
      <w:pPr>
        <w:pStyle w:val="ad"/>
        <w:spacing w:before="120" w:after="240" w:line="360" w:lineRule="auto"/>
        <w:contextualSpacing w:val="0"/>
        <w:jc w:val="both"/>
        <w:rPr>
          <w:rFonts w:ascii="Arial" w:hAnsi="Arial"/>
          <w:noProof w:val="0"/>
          <w:rtl/>
        </w:rPr>
      </w:pPr>
      <w:r>
        <w:rPr>
          <w:rFonts w:hint="cs" w:ascii="Arial" w:hAnsi="Arial"/>
          <w:noProof w:val="0"/>
          <w:rtl/>
        </w:rPr>
        <w:t xml:space="preserve">ודוק: הנתבעת הגישה את תצהירו של מר זוהיר דכה, שהוא בן-אחיינו של מר מחמוד דכה. אלא שתצהיר זה </w:t>
      </w:r>
      <w:r>
        <w:rPr>
          <w:rFonts w:ascii="Arial" w:hAnsi="Arial"/>
          <w:noProof w:val="0"/>
          <w:rtl/>
        </w:rPr>
        <w:t>–</w:t>
      </w:r>
      <w:r>
        <w:rPr>
          <w:rFonts w:hint="cs" w:ascii="Arial" w:hAnsi="Arial"/>
          <w:noProof w:val="0"/>
          <w:rtl/>
        </w:rPr>
        <w:t xml:space="preserve"> גם בהנחה שעורכו יעמוד בחקירה נגדית, והתצהיר יעמוד כמות שהוא </w:t>
      </w:r>
      <w:r>
        <w:rPr>
          <w:rFonts w:ascii="Arial" w:hAnsi="Arial"/>
          <w:noProof w:val="0"/>
          <w:rtl/>
        </w:rPr>
        <w:t>–</w:t>
      </w:r>
      <w:r>
        <w:rPr>
          <w:rFonts w:hint="cs" w:ascii="Arial" w:hAnsi="Arial"/>
          <w:noProof w:val="0"/>
          <w:rtl/>
        </w:rPr>
        <w:t xml:space="preserve"> הוא לכל היותר עדות מפי השמועה, אשר אינו נתמך בכל מסמך שהוא. לא הובאה כל ראיה ממשית שתראה כי למר דכה הנ"ל היו </w:t>
      </w:r>
      <w:r>
        <w:rPr>
          <w:rFonts w:ascii="Arial" w:hAnsi="Arial"/>
          <w:noProof w:val="0"/>
          <w:rtl/>
        </w:rPr>
        <w:t>–</w:t>
      </w:r>
      <w:r>
        <w:rPr>
          <w:rFonts w:hint="cs" w:ascii="Arial" w:hAnsi="Arial"/>
          <w:noProof w:val="0"/>
          <w:rtl/>
        </w:rPr>
        <w:t xml:space="preserve"> אכן </w:t>
      </w:r>
      <w:r>
        <w:rPr>
          <w:rFonts w:ascii="Arial" w:hAnsi="Arial"/>
          <w:noProof w:val="0"/>
          <w:rtl/>
        </w:rPr>
        <w:t>–</w:t>
      </w:r>
      <w:r>
        <w:rPr>
          <w:rFonts w:hint="cs" w:ascii="Arial" w:hAnsi="Arial"/>
          <w:noProof w:val="0"/>
          <w:rtl/>
        </w:rPr>
        <w:t xml:space="preserve"> זכויות במקרקעין, אשר יש בהן כדי לסתור את חזקת הרישום ב</w:t>
      </w:r>
      <w:r w:rsidR="003007BC">
        <w:rPr>
          <w:rFonts w:hint="cs" w:ascii="Arial" w:hAnsi="Arial"/>
          <w:noProof w:val="0"/>
          <w:rtl/>
        </w:rPr>
        <w:t xml:space="preserve">מרשם המקרקעין, הקבועה בסעיף 125 (א) לחוק המקרקעין, תשכ"ט </w:t>
      </w:r>
      <w:r w:rsidR="003007BC">
        <w:rPr>
          <w:rFonts w:ascii="Arial" w:hAnsi="Arial"/>
          <w:noProof w:val="0"/>
          <w:rtl/>
        </w:rPr>
        <w:t>–</w:t>
      </w:r>
      <w:r w:rsidR="003007BC">
        <w:rPr>
          <w:rFonts w:hint="cs" w:ascii="Arial" w:hAnsi="Arial"/>
          <w:noProof w:val="0"/>
          <w:rtl/>
        </w:rPr>
        <w:t xml:space="preserve"> 1969.</w:t>
      </w:r>
    </w:p>
    <w:p w:rsidR="003007BC" w:rsidP="005D7572" w:rsidRDefault="003007BC">
      <w:pPr>
        <w:pStyle w:val="ad"/>
        <w:spacing w:before="120" w:after="240" w:line="360" w:lineRule="auto"/>
        <w:contextualSpacing w:val="0"/>
        <w:jc w:val="both"/>
        <w:rPr>
          <w:rFonts w:ascii="Arial" w:hAnsi="Arial"/>
          <w:noProof w:val="0"/>
          <w:rtl/>
        </w:rPr>
      </w:pPr>
      <w:r>
        <w:rPr>
          <w:rFonts w:hint="cs" w:ascii="Arial" w:hAnsi="Arial"/>
          <w:noProof w:val="0"/>
          <w:rtl/>
        </w:rPr>
        <w:t>מכאן שהנתבעת כשלה בניסיון להוכיח, כי לבעלים ה"מקורי" של המקרקעין (לפני סבה של הנתבעת, לשיטתה) היו זכויות בעלות, אשר אותן יכול היה להקנות לסבה של הנתבעת.</w:t>
      </w:r>
    </w:p>
    <w:p w:rsidR="003007BC" w:rsidP="005D7572" w:rsidRDefault="003007BC">
      <w:pPr>
        <w:pStyle w:val="ad"/>
        <w:spacing w:before="120" w:after="240" w:line="360" w:lineRule="auto"/>
        <w:contextualSpacing w:val="0"/>
        <w:jc w:val="both"/>
        <w:rPr>
          <w:rFonts w:ascii="Arial" w:hAnsi="Arial"/>
          <w:noProof w:val="0"/>
        </w:rPr>
      </w:pPr>
      <w:r>
        <w:rPr>
          <w:rFonts w:hint="cs" w:ascii="Arial" w:hAnsi="Arial"/>
          <w:noProof w:val="0"/>
          <w:rtl/>
        </w:rPr>
        <w:t xml:space="preserve">לעניין זה, ברי כי לא יהיה בדיון הוכחות כדי להועיל, שכן קביעה זו מבוססת על חומר הראיות מטעם הנתבעת (שעליה הנטל </w:t>
      </w:r>
      <w:r>
        <w:rPr>
          <w:rFonts w:ascii="Arial" w:hAnsi="Arial"/>
          <w:noProof w:val="0"/>
          <w:rtl/>
        </w:rPr>
        <w:t>–</w:t>
      </w:r>
      <w:r>
        <w:rPr>
          <w:rFonts w:hint="cs" w:ascii="Arial" w:hAnsi="Arial"/>
          <w:noProof w:val="0"/>
          <w:rtl/>
        </w:rPr>
        <w:t xml:space="preserve"> לאור הוראות סעיף 125 (א) הנ"ל), ומתוך הנחה שכל האמור בתצהירים </w:t>
      </w:r>
      <w:r>
        <w:rPr>
          <w:rFonts w:ascii="Arial" w:hAnsi="Arial"/>
          <w:noProof w:val="0"/>
          <w:rtl/>
        </w:rPr>
        <w:t>–</w:t>
      </w:r>
      <w:r>
        <w:rPr>
          <w:rFonts w:hint="cs" w:ascii="Arial" w:hAnsi="Arial"/>
          <w:noProof w:val="0"/>
          <w:rtl/>
        </w:rPr>
        <w:t xml:space="preserve"> יתברר כמשקף את אמונתם הכנה של המצהירים. </w:t>
      </w:r>
    </w:p>
    <w:p w:rsidR="003007BC" w:rsidP="007A2B6A" w:rsidRDefault="003007BC">
      <w:pPr>
        <w:pStyle w:val="ad"/>
        <w:numPr>
          <w:ilvl w:val="0"/>
          <w:numId w:val="1"/>
        </w:numPr>
        <w:spacing w:before="120" w:after="240" w:line="360" w:lineRule="auto"/>
        <w:ind w:hanging="578"/>
        <w:contextualSpacing w:val="0"/>
        <w:jc w:val="both"/>
        <w:rPr>
          <w:rFonts w:ascii="Arial" w:hAnsi="Arial"/>
          <w:noProof w:val="0"/>
        </w:rPr>
      </w:pPr>
      <w:r>
        <w:rPr>
          <w:rFonts w:hint="cs" w:ascii="Arial" w:hAnsi="Arial"/>
          <w:noProof w:val="0"/>
          <w:rtl/>
        </w:rPr>
        <w:t xml:space="preserve">להשלמת התמונה יצוין, כי גם אילו קיבלתי את הטענה שסבה של הנתבעת רכש כדין את זכות הבעלות במקרקעין </w:t>
      </w:r>
      <w:r>
        <w:rPr>
          <w:rFonts w:ascii="Arial" w:hAnsi="Arial"/>
          <w:noProof w:val="0"/>
          <w:rtl/>
        </w:rPr>
        <w:t>–</w:t>
      </w:r>
      <w:r>
        <w:rPr>
          <w:rFonts w:hint="cs" w:ascii="Arial" w:hAnsi="Arial"/>
          <w:noProof w:val="0"/>
          <w:rtl/>
        </w:rPr>
        <w:t xml:space="preserve"> בניגוד למרשם, וכקביעה מכוח סמכות שבגררא </w:t>
      </w:r>
      <w:r>
        <w:rPr>
          <w:rFonts w:ascii="Arial" w:hAnsi="Arial"/>
          <w:noProof w:val="0"/>
          <w:rtl/>
        </w:rPr>
        <w:t>–</w:t>
      </w:r>
      <w:r>
        <w:rPr>
          <w:rFonts w:hint="cs" w:ascii="Arial" w:hAnsi="Arial"/>
          <w:noProof w:val="0"/>
          <w:rtl/>
        </w:rPr>
        <w:t xml:space="preserve"> גם אז לא היה בכך כדי להקנות את אותן זכויות נטענות לנתבעת דווקא: ככל שלסבה של הנתבעת היו זכויות בעלות, הוקנו אלה, לאחר מותו </w:t>
      </w:r>
      <w:r>
        <w:rPr>
          <w:rFonts w:ascii="Arial" w:hAnsi="Arial"/>
          <w:noProof w:val="0"/>
          <w:rtl/>
        </w:rPr>
        <w:t>–</w:t>
      </w:r>
      <w:r>
        <w:rPr>
          <w:rFonts w:hint="cs" w:ascii="Arial" w:hAnsi="Arial"/>
          <w:noProof w:val="0"/>
          <w:rtl/>
        </w:rPr>
        <w:t xml:space="preserve"> לעזבונו, וזאת אלא אם הוריש אותן מפורשות לנתבעת עצמה. אלא שהנתבעת כלל לא טוענת כי הסב המנוח הותיר אחריו צוואה ובה הוריש לה את זכויותיו במקרקעין האמורים, ואף לא הציגה כל ראיה שהיא בדבר מעמדה כיורשת פוטנציאלית בעזבון </w:t>
      </w:r>
      <w:r>
        <w:rPr>
          <w:rFonts w:hint="cs" w:ascii="Arial" w:hAnsi="Arial"/>
          <w:noProof w:val="0"/>
          <w:rtl/>
        </w:rPr>
        <w:lastRenderedPageBreak/>
        <w:t xml:space="preserve">הסב. מכאן שגם אילו הוכיחה הנתבעת את זכויותיו של הסב (וכאמור </w:t>
      </w:r>
      <w:r>
        <w:rPr>
          <w:rFonts w:ascii="Arial" w:hAnsi="Arial"/>
          <w:noProof w:val="0"/>
          <w:rtl/>
        </w:rPr>
        <w:t>–</w:t>
      </w:r>
      <w:r>
        <w:rPr>
          <w:rFonts w:hint="cs" w:ascii="Arial" w:hAnsi="Arial"/>
          <w:noProof w:val="0"/>
          <w:rtl/>
        </w:rPr>
        <w:t xml:space="preserve"> בחומר הראיות שהוגש אין כל</w:t>
      </w:r>
      <w:r w:rsidR="007A2B6A">
        <w:rPr>
          <w:rFonts w:hint="cs" w:ascii="Arial" w:hAnsi="Arial"/>
          <w:noProof w:val="0"/>
          <w:rtl/>
        </w:rPr>
        <w:t xml:space="preserve"> ראיה לזכויות כאמור), גם אז </w:t>
      </w:r>
      <w:r w:rsidR="007A2B6A">
        <w:rPr>
          <w:rFonts w:ascii="Arial" w:hAnsi="Arial"/>
          <w:noProof w:val="0"/>
          <w:rtl/>
        </w:rPr>
        <w:t>–</w:t>
      </w:r>
      <w:r w:rsidR="007A2B6A">
        <w:rPr>
          <w:rFonts w:hint="cs" w:ascii="Arial" w:hAnsi="Arial"/>
          <w:noProof w:val="0"/>
          <w:rtl/>
        </w:rPr>
        <w:t xml:space="preserve"> אין בחומר הראיות שהוגש כל ראיה המצדיקה העברה של הזכות הנטענת (והבלתי מוכחת) לנתבעת דווקא, ולא ליורשי הסב. ודוק: לשיטתה של הנתבעת עצמה, כאשר נפטר סבה </w:t>
      </w:r>
      <w:r w:rsidR="007A2B6A">
        <w:rPr>
          <w:rFonts w:ascii="Arial" w:hAnsi="Arial"/>
          <w:noProof w:val="0"/>
          <w:rtl/>
        </w:rPr>
        <w:t>–</w:t>
      </w:r>
      <w:r w:rsidR="007A2B6A">
        <w:rPr>
          <w:rFonts w:hint="cs" w:ascii="Arial" w:hAnsi="Arial"/>
          <w:noProof w:val="0"/>
          <w:rtl/>
        </w:rPr>
        <w:t xml:space="preserve"> הייתה היא בת שבע שנים (וראו סעיף 13 לתצהירה), ובאותו מועד, כפי שניתן ללמוד מסעיף 17 לתצהירה היו הוריה בחיים, כך שבהיעדר צוואה, אין הנתבעת אחת מהיורשים על פי דין, ומשכך </w:t>
      </w:r>
      <w:r w:rsidR="007A2B6A">
        <w:rPr>
          <w:rFonts w:ascii="Arial" w:hAnsi="Arial"/>
          <w:noProof w:val="0"/>
          <w:rtl/>
        </w:rPr>
        <w:t>–</w:t>
      </w:r>
      <w:r w:rsidR="007A2B6A">
        <w:rPr>
          <w:rFonts w:hint="cs" w:ascii="Arial" w:hAnsi="Arial"/>
          <w:noProof w:val="0"/>
          <w:rtl/>
        </w:rPr>
        <w:t xml:space="preserve"> בכל מקרה אין לה כל זכות במקרקעין.</w:t>
      </w:r>
    </w:p>
    <w:p w:rsidR="00DB2102" w:rsidP="007A2B6A" w:rsidRDefault="007A2B6A">
      <w:pPr>
        <w:pStyle w:val="ad"/>
        <w:numPr>
          <w:ilvl w:val="0"/>
          <w:numId w:val="1"/>
        </w:numPr>
        <w:spacing w:before="120" w:after="240" w:line="360" w:lineRule="auto"/>
        <w:ind w:hanging="578"/>
        <w:contextualSpacing w:val="0"/>
        <w:jc w:val="both"/>
        <w:rPr>
          <w:rFonts w:hint="cs" w:ascii="Arial" w:hAnsi="Arial"/>
          <w:noProof w:val="0"/>
        </w:rPr>
      </w:pPr>
      <w:r>
        <w:rPr>
          <w:rFonts w:hint="cs" w:ascii="Arial" w:hAnsi="Arial"/>
          <w:noProof w:val="0"/>
          <w:rtl/>
        </w:rPr>
        <w:t xml:space="preserve">הפועל היוצא מכל האמור הוא על יסוד חומר הראיות שהגישה התובעת עצמה, ואשר מכוחו ניסתה לבסס את זכויותיה הנטענות במקרקעין </w:t>
      </w:r>
      <w:r>
        <w:rPr>
          <w:rFonts w:ascii="Arial" w:hAnsi="Arial"/>
          <w:noProof w:val="0"/>
          <w:rtl/>
        </w:rPr>
        <w:t>–</w:t>
      </w:r>
      <w:r>
        <w:rPr>
          <w:rFonts w:hint="cs" w:ascii="Arial" w:hAnsi="Arial"/>
          <w:noProof w:val="0"/>
          <w:rtl/>
        </w:rPr>
        <w:t xml:space="preserve"> ניתן לקבוע כי הנתבעת לא הוכיחה את הגנתה. כאמור, לתובעות אין, מטבע הדברים, כל מידע או ראיות בדבר זכותו של הסב המנוח במקרקעין, ומכל מקום </w:t>
      </w:r>
      <w:r>
        <w:rPr>
          <w:rFonts w:ascii="Arial" w:hAnsi="Arial"/>
          <w:noProof w:val="0"/>
          <w:rtl/>
        </w:rPr>
        <w:t>–</w:t>
      </w:r>
      <w:r>
        <w:rPr>
          <w:rFonts w:hint="cs" w:ascii="Arial" w:hAnsi="Arial"/>
          <w:noProof w:val="0"/>
          <w:rtl/>
        </w:rPr>
        <w:t xml:space="preserve"> ראיות כאלה לא הוגשו, כך שלא ניתן לטעון גם שדיון הוכחות יאפשר לנתבעת להוכיח את הגנתה באמצעות עדי התובעות. בנסיבות אלה, דיון הוכחות יהווה בזבוז זמן ומשאבים, ללא תוחלת של ממש.</w:t>
      </w:r>
    </w:p>
    <w:p w:rsidR="007A2B6A" w:rsidP="007A2B6A" w:rsidRDefault="007A2B6A">
      <w:pPr>
        <w:pStyle w:val="ad"/>
        <w:numPr>
          <w:ilvl w:val="0"/>
          <w:numId w:val="1"/>
        </w:numPr>
        <w:spacing w:before="120" w:after="240" w:line="360" w:lineRule="auto"/>
        <w:ind w:hanging="578"/>
        <w:contextualSpacing w:val="0"/>
        <w:jc w:val="both"/>
        <w:rPr>
          <w:rFonts w:ascii="Arial" w:hAnsi="Arial"/>
          <w:noProof w:val="0"/>
        </w:rPr>
      </w:pPr>
      <w:r>
        <w:rPr>
          <w:rFonts w:hint="cs" w:ascii="Arial" w:hAnsi="Arial"/>
          <w:noProof w:val="0"/>
          <w:rtl/>
        </w:rPr>
        <w:t xml:space="preserve">מכל הטעמים שלעיל, באתי למסקנה, כי </w:t>
      </w:r>
      <w:r w:rsidRPr="007A2B6A">
        <w:rPr>
          <w:rFonts w:hint="cs" w:ascii="Arial" w:hAnsi="Arial"/>
          <w:b/>
          <w:bCs/>
          <w:noProof w:val="0"/>
          <w:u w:val="single"/>
          <w:rtl/>
        </w:rPr>
        <w:t>יש לקבל את התביעה במלואה, ולהורות על סילוק ידה של הנתבעת מן המקרקעין כהגדרתם בכתב התביעה</w:t>
      </w:r>
      <w:r>
        <w:rPr>
          <w:rFonts w:hint="cs" w:ascii="Arial" w:hAnsi="Arial"/>
          <w:noProof w:val="0"/>
          <w:rtl/>
        </w:rPr>
        <w:t xml:space="preserve">. הנתבעת תפנה את המקרקעין ותשיב את החזקה בהם </w:t>
      </w:r>
      <w:r>
        <w:rPr>
          <w:rFonts w:ascii="Arial" w:hAnsi="Arial"/>
          <w:noProof w:val="0"/>
          <w:rtl/>
        </w:rPr>
        <w:t>–</w:t>
      </w:r>
      <w:r>
        <w:rPr>
          <w:rFonts w:hint="cs" w:ascii="Arial" w:hAnsi="Arial"/>
          <w:noProof w:val="0"/>
          <w:rtl/>
        </w:rPr>
        <w:t xml:space="preserve"> כשהם פנויים מכל אדם וחפץ השייך לה או למי מטעמה </w:t>
      </w:r>
      <w:r>
        <w:rPr>
          <w:rFonts w:ascii="Arial" w:hAnsi="Arial"/>
          <w:noProof w:val="0"/>
          <w:rtl/>
        </w:rPr>
        <w:t>–</w:t>
      </w:r>
      <w:r>
        <w:rPr>
          <w:rFonts w:hint="cs" w:ascii="Arial" w:hAnsi="Arial"/>
          <w:noProof w:val="0"/>
          <w:rtl/>
        </w:rPr>
        <w:t xml:space="preserve"> </w:t>
      </w:r>
      <w:r w:rsidRPr="00740E3B">
        <w:rPr>
          <w:rFonts w:hint="cs" w:ascii="Arial" w:hAnsi="Arial"/>
          <w:b/>
          <w:bCs/>
          <w:noProof w:val="0"/>
          <w:u w:val="single"/>
          <w:rtl/>
        </w:rPr>
        <w:t>לא יאוחר מיום</w:t>
      </w:r>
      <w:r w:rsidRPr="00740E3B" w:rsidR="00740E3B">
        <w:rPr>
          <w:rFonts w:hint="cs" w:ascii="Arial" w:hAnsi="Arial"/>
          <w:b/>
          <w:bCs/>
          <w:noProof w:val="0"/>
          <w:u w:val="single"/>
          <w:rtl/>
        </w:rPr>
        <w:t xml:space="preserve"> 31.5.2018</w:t>
      </w:r>
      <w:r w:rsidR="00740E3B">
        <w:rPr>
          <w:rFonts w:hint="cs" w:ascii="Arial" w:hAnsi="Arial"/>
          <w:noProof w:val="0"/>
          <w:rtl/>
        </w:rPr>
        <w:t>.</w:t>
      </w:r>
      <w:r>
        <w:rPr>
          <w:rFonts w:hint="cs" w:ascii="Arial" w:hAnsi="Arial"/>
          <w:noProof w:val="0"/>
          <w:rtl/>
        </w:rPr>
        <w:t xml:space="preserve"> </w:t>
      </w:r>
    </w:p>
    <w:p w:rsidR="007A2B6A" w:rsidP="00740E3B" w:rsidRDefault="007A2B6A">
      <w:pPr>
        <w:pStyle w:val="ad"/>
        <w:spacing w:before="120" w:after="240" w:line="360" w:lineRule="auto"/>
        <w:contextualSpacing w:val="0"/>
        <w:jc w:val="both"/>
        <w:rPr>
          <w:rFonts w:ascii="Arial" w:hAnsi="Arial"/>
          <w:noProof w:val="0"/>
          <w:rtl/>
        </w:rPr>
      </w:pPr>
      <w:r>
        <w:rPr>
          <w:rFonts w:hint="cs" w:ascii="Arial" w:hAnsi="Arial"/>
          <w:noProof w:val="0"/>
          <w:rtl/>
        </w:rPr>
        <w:t xml:space="preserve">הנתבעת תישא בהוצאות הנתבעות בסך 1,000 ₪ וכן </w:t>
      </w:r>
      <w:r w:rsidR="00740E3B">
        <w:rPr>
          <w:rFonts w:hint="cs" w:ascii="Arial" w:hAnsi="Arial"/>
          <w:noProof w:val="0"/>
          <w:rtl/>
        </w:rPr>
        <w:t xml:space="preserve">בשכר טרחת עו"ד בשיעור מתון של 7,500 ₪. </w:t>
      </w:r>
      <w:r w:rsidRPr="00740E3B" w:rsidR="00740E3B">
        <w:rPr>
          <w:rFonts w:hint="cs" w:ascii="Arial" w:hAnsi="Arial"/>
          <w:noProof w:val="0"/>
          <w:u w:val="single"/>
          <w:rtl/>
        </w:rPr>
        <w:t xml:space="preserve">סכומים אלה </w:t>
      </w:r>
      <w:r w:rsidR="00740E3B">
        <w:rPr>
          <w:rFonts w:hint="cs" w:ascii="Arial" w:hAnsi="Arial"/>
          <w:noProof w:val="0"/>
          <w:u w:val="single"/>
          <w:rtl/>
        </w:rPr>
        <w:t xml:space="preserve">ישולמו בתוך 30 ימים מהיום, שאם לא כן </w:t>
      </w:r>
      <w:r w:rsidR="00740E3B">
        <w:rPr>
          <w:rFonts w:ascii="Arial" w:hAnsi="Arial"/>
          <w:noProof w:val="0"/>
          <w:u w:val="single"/>
          <w:rtl/>
        </w:rPr>
        <w:t>–</w:t>
      </w:r>
      <w:r w:rsidR="00740E3B">
        <w:rPr>
          <w:rFonts w:hint="cs" w:ascii="Arial" w:hAnsi="Arial"/>
          <w:noProof w:val="0"/>
          <w:u w:val="single"/>
          <w:rtl/>
        </w:rPr>
        <w:t xml:space="preserve"> יהיו התובעות רשאיות לגבותם מידי הערבים שערבותם המירה את הפקדת הפיקדון. </w:t>
      </w:r>
    </w:p>
    <w:p w:rsidR="00740E3B" w:rsidP="007A2B6A" w:rsidRDefault="00740E3B">
      <w:pPr>
        <w:pStyle w:val="ad"/>
        <w:spacing w:before="120" w:after="240" w:line="360" w:lineRule="auto"/>
        <w:contextualSpacing w:val="0"/>
        <w:jc w:val="both"/>
        <w:rPr>
          <w:rFonts w:ascii="Arial" w:hAnsi="Arial"/>
          <w:noProof w:val="0"/>
          <w:rtl/>
        </w:rPr>
      </w:pPr>
      <w:r w:rsidRPr="00740E3B">
        <w:rPr>
          <w:rFonts w:hint="cs" w:ascii="Arial" w:hAnsi="Arial"/>
          <w:b/>
          <w:bCs/>
          <w:noProof w:val="0"/>
          <w:u w:val="single"/>
          <w:rtl/>
        </w:rPr>
        <w:t>המזכירות תמציא את פסק הדין לצדדים</w:t>
      </w:r>
      <w:r>
        <w:rPr>
          <w:rFonts w:hint="cs" w:ascii="Arial" w:hAnsi="Arial"/>
          <w:noProof w:val="0"/>
          <w:rtl/>
        </w:rPr>
        <w:t>.</w:t>
      </w: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57025A">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152525" cy="111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f63158333e34e4e" cstate="print">
                            <a:extLst>
                              <a:ext uri="{28A0092B-C50C-407E-A947-70E740481C1C}"/>
                            </a:extLst>
                          </a:blip>
                          <a:stretch>
                            <a:fillRect/>
                          </a:stretch>
                        </pic:blipFill>
                        <pic:spPr>
                          <a:xfrm>
                            <a:off x="0" y="0"/>
                            <a:ext cx="1152525" cy="11144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BF0DC4">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418"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14F" w:rsidRDefault="00D0714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57025A">
      <w:rPr>
        <w:rStyle w:val="ab"/>
        <w:rtl/>
      </w:rPr>
      <w:t>1</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57025A">
      <w:rPr>
        <w:rStyle w:val="ab"/>
        <w:rtl/>
      </w:rPr>
      <w:t>4</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14F" w:rsidRDefault="00D0714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14F" w:rsidRDefault="00D0714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0714F">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5"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5047"/>
      <w:gridCol w:w="3674"/>
    </w:tblGrid>
    <w:tr w:rsidR="00694556" w:rsidTr="00541598">
      <w:trPr>
        <w:trHeight w:val="670" w:hRule="exact"/>
        <w:jc w:val="center"/>
      </w:trPr>
      <w:sdt>
        <w:sdtPr>
          <w:rPr>
            <w:sz w:val="32"/>
            <w:szCs w:val="32"/>
            <w:rtl/>
          </w:rPr>
          <w:alias w:val="1174"/>
          <w:tag w:val="1174"/>
          <w:id w:val="-196394816"/>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57025A">
          <w:pPr>
            <w:rPr>
              <w:b/>
              <w:bCs/>
              <w:noProof w:val="0"/>
              <w:sz w:val="26"/>
              <w:szCs w:val="26"/>
              <w:rtl/>
            </w:rPr>
          </w:pPr>
          <w:sdt>
            <w:sdtPr>
              <w:rPr>
                <w:b/>
                <w:bCs/>
                <w:noProof w:val="0"/>
                <w:sz w:val="26"/>
                <w:szCs w:val="26"/>
                <w:rtl/>
              </w:rPr>
              <w:alias w:val="1170"/>
              <w:tag w:val="1170"/>
              <w:id w:val="1676304055"/>
              <w:text w:multiLine="1"/>
            </w:sdtPr>
            <w:sdtEndPr/>
            <w:sdtContent>
              <w:r w:rsidR="00E13360">
                <w:rPr>
                  <w:b/>
                  <w:bCs/>
                  <w:noProof w:val="0"/>
                  <w:sz w:val="26"/>
                  <w:szCs w:val="26"/>
                  <w:rtl/>
                </w:rPr>
                <w:t>תא"ק</w:t>
              </w:r>
            </w:sdtContent>
          </w:sdt>
          <w:r w:rsidRPr="00CD0055" w:rsidR="00005C8B">
            <w:rPr>
              <w:b/>
              <w:bCs/>
              <w:noProof w:val="0"/>
              <w:sz w:val="26"/>
              <w:szCs w:val="26"/>
              <w:rtl/>
            </w:rPr>
            <w:t xml:space="preserve"> </w:t>
          </w:r>
          <w:sdt>
            <w:sdtPr>
              <w:rPr>
                <w:b/>
                <w:bCs/>
                <w:noProof w:val="0"/>
                <w:sz w:val="26"/>
                <w:szCs w:val="26"/>
                <w:rtl/>
              </w:rPr>
              <w:alias w:val="1171"/>
              <w:tag w:val="1171"/>
              <w:id w:val="-317888937"/>
              <w:text w:multiLine="1"/>
            </w:sdtPr>
            <w:sdtEndPr/>
            <w:sdtContent>
              <w:r w:rsidR="00E13360">
                <w:rPr>
                  <w:b/>
                  <w:bCs/>
                  <w:noProof w:val="0"/>
                  <w:sz w:val="26"/>
                  <w:szCs w:val="26"/>
                  <w:rtl/>
                </w:rPr>
                <w:t>69994-09-16</w:t>
              </w:r>
            </w:sdtContent>
          </w:sdt>
          <w:r w:rsidRPr="00CD0055" w:rsidR="00005C8B">
            <w:rPr>
              <w:b/>
              <w:bCs/>
              <w:noProof w:val="0"/>
              <w:sz w:val="26"/>
              <w:szCs w:val="26"/>
              <w:rtl/>
            </w:rPr>
            <w:t xml:space="preserve"> </w:t>
          </w:r>
          <w:sdt>
            <w:sdtPr>
              <w:rPr>
                <w:b/>
                <w:bCs/>
                <w:noProof w:val="0"/>
                <w:sz w:val="26"/>
                <w:szCs w:val="26"/>
                <w:rtl/>
              </w:rPr>
              <w:alias w:val="1172"/>
              <w:tag w:val="1172"/>
              <w:id w:val="2069845025"/>
              <w:text w:multiLine="1"/>
            </w:sdtPr>
            <w:sdtEndPr/>
            <w:sdtContent>
              <w:r w:rsidR="00E13360">
                <w:rPr>
                  <w:b/>
                  <w:bCs/>
                  <w:noProof w:val="0"/>
                  <w:sz w:val="26"/>
                  <w:szCs w:val="26"/>
                  <w:rtl/>
                </w:rPr>
                <w:t>רשות מקרקעי ישראל מחוז מרכז ואח' נ' גדעון</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14F" w:rsidRDefault="00D0714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A2D1C"/>
    <w:multiLevelType w:val="hybridMultilevel"/>
    <w:tmpl w:val="E936462A"/>
    <w:lvl w:ilvl="0" w:tplc="0409000F">
      <w:start w:val="1"/>
      <w:numFmt w:val="decimal"/>
      <w:lvlText w:val="%1."/>
      <w:lvlJc w:val="left"/>
      <w:pPr>
        <w:ind w:left="720" w:hanging="360"/>
      </w:pPr>
    </w:lvl>
    <w:lvl w:ilvl="1" w:tplc="D8D8878A">
      <w:start w:val="1"/>
      <w:numFmt w:val="hebrew1"/>
      <w:lvlText w:val="(%2)"/>
      <w:lvlJc w:val="center"/>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36501"/>
    <w:rsid w:val="000439B8"/>
    <w:rsid w:val="000564AB"/>
    <w:rsid w:val="00082191"/>
    <w:rsid w:val="000B2E97"/>
    <w:rsid w:val="000D4A02"/>
    <w:rsid w:val="001072A9"/>
    <w:rsid w:val="00121F97"/>
    <w:rsid w:val="001277D7"/>
    <w:rsid w:val="00132017"/>
    <w:rsid w:val="00140E42"/>
    <w:rsid w:val="0014234E"/>
    <w:rsid w:val="00145A87"/>
    <w:rsid w:val="001C4003"/>
    <w:rsid w:val="001E1AB1"/>
    <w:rsid w:val="001F5474"/>
    <w:rsid w:val="00216FA2"/>
    <w:rsid w:val="002352F7"/>
    <w:rsid w:val="00295DD1"/>
    <w:rsid w:val="003007BC"/>
    <w:rsid w:val="00381D3A"/>
    <w:rsid w:val="003823DA"/>
    <w:rsid w:val="0043595F"/>
    <w:rsid w:val="0047645A"/>
    <w:rsid w:val="004C5CA7"/>
    <w:rsid w:val="004D49A3"/>
    <w:rsid w:val="004E6E3C"/>
    <w:rsid w:val="005124F1"/>
    <w:rsid w:val="00530BAD"/>
    <w:rsid w:val="00541598"/>
    <w:rsid w:val="00547DB7"/>
    <w:rsid w:val="00567324"/>
    <w:rsid w:val="0057025A"/>
    <w:rsid w:val="005B0F49"/>
    <w:rsid w:val="005C7EC6"/>
    <w:rsid w:val="005D4BDB"/>
    <w:rsid w:val="005D7572"/>
    <w:rsid w:val="0060626B"/>
    <w:rsid w:val="00622BAA"/>
    <w:rsid w:val="00625C89"/>
    <w:rsid w:val="00633C4F"/>
    <w:rsid w:val="00636745"/>
    <w:rsid w:val="00671BD5"/>
    <w:rsid w:val="006805C1"/>
    <w:rsid w:val="006816EC"/>
    <w:rsid w:val="00694556"/>
    <w:rsid w:val="006E1A53"/>
    <w:rsid w:val="007056AA"/>
    <w:rsid w:val="00740E3B"/>
    <w:rsid w:val="00744F41"/>
    <w:rsid w:val="007A24FE"/>
    <w:rsid w:val="007A2B6A"/>
    <w:rsid w:val="007A35AA"/>
    <w:rsid w:val="007D1021"/>
    <w:rsid w:val="007F1048"/>
    <w:rsid w:val="00820005"/>
    <w:rsid w:val="0083107C"/>
    <w:rsid w:val="00846D27"/>
    <w:rsid w:val="008610A7"/>
    <w:rsid w:val="00877CB1"/>
    <w:rsid w:val="008E1332"/>
    <w:rsid w:val="00903896"/>
    <w:rsid w:val="00927813"/>
    <w:rsid w:val="00934F1C"/>
    <w:rsid w:val="00944D13"/>
    <w:rsid w:val="00957C90"/>
    <w:rsid w:val="009E0263"/>
    <w:rsid w:val="00A0260A"/>
    <w:rsid w:val="00A267CF"/>
    <w:rsid w:val="00A43458"/>
    <w:rsid w:val="00A62BD0"/>
    <w:rsid w:val="00AC4E19"/>
    <w:rsid w:val="00AF1ED6"/>
    <w:rsid w:val="00B14234"/>
    <w:rsid w:val="00B32C61"/>
    <w:rsid w:val="00B368FE"/>
    <w:rsid w:val="00B80CBD"/>
    <w:rsid w:val="00BC3369"/>
    <w:rsid w:val="00BF0DC4"/>
    <w:rsid w:val="00BF77EE"/>
    <w:rsid w:val="00C32E0F"/>
    <w:rsid w:val="00C42BF9"/>
    <w:rsid w:val="00C83E56"/>
    <w:rsid w:val="00CD0055"/>
    <w:rsid w:val="00CF734A"/>
    <w:rsid w:val="00D0714F"/>
    <w:rsid w:val="00D319B3"/>
    <w:rsid w:val="00D53924"/>
    <w:rsid w:val="00D60849"/>
    <w:rsid w:val="00D71731"/>
    <w:rsid w:val="00D96D8C"/>
    <w:rsid w:val="00DB2102"/>
    <w:rsid w:val="00DD337E"/>
    <w:rsid w:val="00E00B6F"/>
    <w:rsid w:val="00E03727"/>
    <w:rsid w:val="00E13360"/>
    <w:rsid w:val="00E36D37"/>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7539349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D07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652732">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7f63158333e34e4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1228</Words>
  <Characters>6141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עמית יריב</cp:lastModifiedBy>
  <cp:revision>68</cp:revision>
  <dcterms:created xsi:type="dcterms:W3CDTF">2012-08-05T21:29:00Z</dcterms:created>
  <dcterms:modified xsi:type="dcterms:W3CDTF">2018-04-12T10:58:00Z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