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00870F64" w14:paraId="56034AB6" w14:textId="77777777">
        <w:trPr>
          <w:trHeight w:val="295"/>
          <w:jc w:val="center"/>
        </w:trPr>
        <w:tc>
          <w:tcPr>
            <w:tcW w:w="743" w:type="dxa"/>
            <w:tcBorders>
              <w:top w:val="nil"/>
              <w:left w:val="nil"/>
              <w:bottom w:val="nil"/>
              <w:right w:val="nil"/>
            </w:tcBorders>
          </w:tcPr>
          <w:p w:rsidR="00870F64" w:rsidRDefault="0051562C" w14:paraId="310DA2CB" w14:textId="77777777">
            <w:pPr>
              <w:jc w:val="both"/>
              <w:rPr>
                <w:rFonts w:ascii="Arial" w:hAnsi="Arial"/>
                <w:b/>
                <w:bCs/>
              </w:rPr>
            </w:pPr>
            <w:r>
              <w:rPr>
                <w:rFonts w:ascii="Arial" w:hAnsi="Arial"/>
                <w:b/>
                <w:bCs/>
                <w:rtl/>
              </w:rPr>
              <w:t xml:space="preserve">בפני </w:t>
            </w:r>
          </w:p>
        </w:tc>
        <w:tc>
          <w:tcPr>
            <w:tcW w:w="8077" w:type="dxa"/>
            <w:tcBorders>
              <w:top w:val="nil"/>
              <w:left w:val="nil"/>
              <w:bottom w:val="nil"/>
              <w:right w:val="nil"/>
            </w:tcBorders>
          </w:tcPr>
          <w:p w:rsidRPr="002D68F5" w:rsidR="002D68F5" w:rsidP="002D68F5" w:rsidRDefault="003A027F" w14:paraId="732B0F9F" w14:textId="77777777">
            <w:pPr>
              <w:rPr>
                <w:rFonts w:ascii="Arial" w:hAnsi="Arial"/>
                <w:b/>
                <w:bCs/>
                <w:highlight w:val="yellow"/>
              </w:rPr>
            </w:pPr>
            <w:r>
              <w:rPr>
                <w:rFonts w:hint="cs" w:ascii="Arial" w:hAnsi="Arial"/>
                <w:b/>
                <w:bCs/>
                <w:rtl/>
              </w:rPr>
              <w:t>כבוד</w:t>
            </w:r>
            <w:r w:rsidR="009251A2">
              <w:rPr>
                <w:rFonts w:hint="cs" w:ascii="Arial" w:hAnsi="Arial"/>
                <w:b/>
                <w:bCs/>
                <w:rtl/>
              </w:rPr>
              <w:t xml:space="preserve"> ה</w:t>
            </w:r>
            <w:sdt>
              <w:sdtPr>
                <w:rPr>
                  <w:rtl/>
                </w:rPr>
                <w:alias w:val="1574"/>
                <w:tag w:val="1574"/>
                <w:id w:val="758099010"/>
                <w:text w:multiLine="1"/>
              </w:sdtPr>
              <w:sdtEndPr/>
              <w:sdtContent>
                <w:r>
                  <w:rPr>
                    <w:rFonts w:ascii="Arial" w:hAnsi="Arial"/>
                    <w:b/>
                    <w:bCs/>
                    <w:rtl/>
                  </w:rPr>
                  <w:t>שופט</w:t>
                </w:r>
              </w:sdtContent>
            </w:sdt>
            <w:r w:rsidRPr="002D68F5" w:rsidR="002D68F5">
              <w:rPr>
                <w:rFonts w:ascii="Arial" w:hAnsi="Arial"/>
                <w:b/>
                <w:bCs/>
                <w:rtl/>
              </w:rPr>
              <w:t xml:space="preserve"> </w:t>
            </w:r>
            <w:sdt>
              <w:sdtPr>
                <w:rPr>
                  <w:rtl/>
                </w:rPr>
                <w:alias w:val="1573"/>
                <w:tag w:val="1573"/>
                <w:id w:val="-1262760292"/>
                <w:text w:multiLine="1"/>
              </w:sdtPr>
              <w:sdtEndPr/>
              <w:sdtContent>
                <w:r>
                  <w:rPr>
                    <w:rFonts w:ascii="Arial" w:hAnsi="Arial"/>
                    <w:b/>
                    <w:bCs/>
                    <w:rtl/>
                  </w:rPr>
                  <w:t>אוהד גורדון</w:t>
                </w:r>
              </w:sdtContent>
            </w:sdt>
          </w:p>
        </w:tc>
      </w:tr>
    </w:tbl>
    <w:p w:rsidR="00870F64" w:rsidRDefault="00870F64" w14:paraId="5755FD03" w14:textId="77777777">
      <w:pPr>
        <w:rPr>
          <w:rtl/>
        </w:rPr>
      </w:pPr>
    </w:p>
    <w:tbl>
      <w:tblPr>
        <w:tblStyle w:val="a5"/>
        <w:bidiVisual/>
        <w:tblW w:w="8868" w:type="dxa"/>
        <w:jc w:val="center"/>
        <w:tblLook w:val="01E0" w:firstRow="1" w:lastRow="1" w:firstColumn="1" w:lastColumn="1" w:noHBand="0" w:noVBand="0"/>
      </w:tblPr>
      <w:tblGrid>
        <w:gridCol w:w="853"/>
        <w:gridCol w:w="4288"/>
        <w:gridCol w:w="3727"/>
      </w:tblGrid>
      <w:tr w:rsidR="00870F64" w:rsidTr="00E871E4" w14:paraId="19C29EDA" w14:textId="77777777">
        <w:trPr>
          <w:trHeight w:val="355"/>
          <w:jc w:val="center"/>
        </w:trPr>
        <w:tc>
          <w:tcPr>
            <w:tcW w:w="853" w:type="dxa"/>
            <w:tcBorders>
              <w:top w:val="nil"/>
              <w:left w:val="nil"/>
              <w:bottom w:val="nil"/>
              <w:right w:val="nil"/>
            </w:tcBorders>
          </w:tcPr>
          <w:p w:rsidRPr="00B949CB" w:rsidR="00870F64" w:rsidRDefault="00870F64" w14:paraId="18D82E37" w14:textId="77777777">
            <w:pPr>
              <w:jc w:val="both"/>
              <w:rPr>
                <w:rFonts w:ascii="Arial" w:hAnsi="Arial" w:cs="FrankRuehl"/>
                <w:b/>
                <w:bCs/>
                <w:sz w:val="28"/>
                <w:szCs w:val="28"/>
                <w:rtl/>
              </w:rPr>
            </w:pPr>
          </w:p>
          <w:p w:rsidRPr="00B949CB" w:rsidR="00870F64" w:rsidRDefault="0051562C" w14:paraId="3871AA74" w14:textId="77777777">
            <w:pPr>
              <w:jc w:val="both"/>
              <w:rPr>
                <w:rFonts w:ascii="Arial" w:hAnsi="Arial" w:cs="FrankRuehl"/>
                <w:b/>
                <w:bCs/>
                <w:sz w:val="28"/>
                <w:szCs w:val="28"/>
              </w:rPr>
            </w:pPr>
            <w:r w:rsidRPr="00B949CB">
              <w:rPr>
                <w:rFonts w:ascii="Arial" w:hAnsi="Arial" w:cs="FrankRuehl"/>
                <w:b/>
                <w:bCs/>
                <w:sz w:val="28"/>
                <w:szCs w:val="28"/>
                <w:rtl/>
              </w:rPr>
              <w:t>בעניין:</w:t>
            </w:r>
          </w:p>
        </w:tc>
        <w:tc>
          <w:tcPr>
            <w:tcW w:w="4288" w:type="dxa"/>
            <w:tcBorders>
              <w:top w:val="nil"/>
              <w:left w:val="nil"/>
              <w:bottom w:val="nil"/>
              <w:right w:val="nil"/>
            </w:tcBorders>
          </w:tcPr>
          <w:p w:rsidRPr="00B949CB" w:rsidR="00870F64" w:rsidP="00942F8C" w:rsidRDefault="00870F64" w14:paraId="7BA50000" w14:textId="77777777">
            <w:pPr>
              <w:rPr>
                <w:rFonts w:ascii="Arial" w:hAnsi="Arial"/>
                <w:b/>
                <w:bCs/>
                <w:sz w:val="26"/>
                <w:szCs w:val="26"/>
                <w:rtl/>
              </w:rPr>
            </w:pPr>
          </w:p>
          <w:p w:rsidRPr="00B949CB" w:rsidR="00870F64" w:rsidP="00942F8C" w:rsidRDefault="00792830" w14:paraId="03FDF45E" w14:textId="77777777">
            <w:pPr>
              <w:rPr>
                <w:rFonts w:ascii="Arial" w:hAnsi="Arial"/>
                <w:b/>
                <w:bCs/>
                <w:sz w:val="26"/>
                <w:szCs w:val="26"/>
              </w:rPr>
            </w:pPr>
            <w:sdt>
              <w:sdtPr>
                <w:rPr>
                  <w:rtl/>
                </w:rPr>
                <w:alias w:val="1478"/>
                <w:tag w:val="1478"/>
                <w:id w:val="-188685930"/>
                <w:text w:multiLine="1"/>
              </w:sdtPr>
              <w:sdtEndPr/>
              <w:sdtContent>
                <w:r w:rsidR="00A27B94">
                  <w:rPr>
                    <w:rFonts w:ascii="Arial" w:hAnsi="Arial"/>
                    <w:b/>
                    <w:bCs/>
                    <w:sz w:val="26"/>
                    <w:szCs w:val="26"/>
                    <w:rtl/>
                  </w:rPr>
                  <w:t>מדינת ישראל</w:t>
                </w:r>
                <w:r w:rsidR="00EC345D">
                  <w:rPr>
                    <w:rFonts w:ascii="Arial" w:hAnsi="Arial"/>
                    <w:b/>
                    <w:bCs/>
                    <w:sz w:val="26"/>
                    <w:szCs w:val="26"/>
                    <w:rtl/>
                  </w:rPr>
                  <w:br/>
                </w:r>
                <w:r w:rsidR="00EC345D">
                  <w:rPr>
                    <w:rtl/>
                  </w:rPr>
                  <w:t>על ידי פרקליטות מחוז ירושלים – עו"</w:t>
                </w:r>
                <w:r w:rsidR="00EC345D">
                  <w:rPr>
                    <w:rFonts w:hint="cs"/>
                    <w:rtl/>
                  </w:rPr>
                  <w:t>ד ד' מזעל</w:t>
                </w:r>
              </w:sdtContent>
            </w:sdt>
          </w:p>
        </w:tc>
        <w:tc>
          <w:tcPr>
            <w:tcW w:w="3727" w:type="dxa"/>
            <w:tcBorders>
              <w:top w:val="nil"/>
              <w:left w:val="nil"/>
              <w:bottom w:val="nil"/>
              <w:right w:val="nil"/>
            </w:tcBorders>
          </w:tcPr>
          <w:p w:rsidRPr="00B949CB" w:rsidR="00870F64" w:rsidRDefault="00870F64" w14:paraId="40947112" w14:textId="77777777">
            <w:pPr>
              <w:jc w:val="both"/>
              <w:rPr>
                <w:rFonts w:ascii="Arial" w:hAnsi="Arial"/>
                <w:b/>
                <w:bCs/>
                <w:sz w:val="26"/>
                <w:szCs w:val="26"/>
              </w:rPr>
            </w:pPr>
          </w:p>
        </w:tc>
      </w:tr>
      <w:tr w:rsidR="00870F64" w:rsidTr="00E871E4" w14:paraId="4C66F7D4" w14:textId="77777777">
        <w:trPr>
          <w:trHeight w:val="355"/>
          <w:jc w:val="center"/>
        </w:trPr>
        <w:tc>
          <w:tcPr>
            <w:tcW w:w="853" w:type="dxa"/>
            <w:tcBorders>
              <w:top w:val="nil"/>
              <w:left w:val="nil"/>
              <w:bottom w:val="nil"/>
              <w:right w:val="nil"/>
            </w:tcBorders>
          </w:tcPr>
          <w:p w:rsidRPr="00B949CB" w:rsidR="00870F64" w:rsidRDefault="00870F64" w14:paraId="5A54C678" w14:textId="77777777">
            <w:pPr>
              <w:jc w:val="both"/>
              <w:rPr>
                <w:rFonts w:ascii="Arial" w:hAnsi="Arial" w:cs="FrankRuehl"/>
                <w:b/>
                <w:bCs/>
                <w:sz w:val="28"/>
                <w:szCs w:val="28"/>
                <w:rtl/>
              </w:rPr>
            </w:pPr>
          </w:p>
        </w:tc>
        <w:tc>
          <w:tcPr>
            <w:tcW w:w="4288" w:type="dxa"/>
            <w:tcBorders>
              <w:top w:val="nil"/>
              <w:left w:val="nil"/>
              <w:bottom w:val="nil"/>
              <w:right w:val="nil"/>
            </w:tcBorders>
          </w:tcPr>
          <w:p w:rsidRPr="00B949CB" w:rsidR="00870F64" w:rsidRDefault="00870F64" w14:paraId="014EC90E" w14:textId="77777777">
            <w:pPr>
              <w:jc w:val="both"/>
              <w:rPr>
                <w:b/>
                <w:bCs/>
                <w:sz w:val="26"/>
                <w:szCs w:val="26"/>
                <w:rtl/>
              </w:rPr>
            </w:pPr>
          </w:p>
        </w:tc>
        <w:tc>
          <w:tcPr>
            <w:tcW w:w="3727" w:type="dxa"/>
            <w:tcBorders>
              <w:top w:val="nil"/>
              <w:left w:val="nil"/>
              <w:bottom w:val="nil"/>
              <w:right w:val="nil"/>
            </w:tcBorders>
          </w:tcPr>
          <w:p w:rsidRPr="00B949CB" w:rsidR="00870F64" w:rsidP="00942F8C" w:rsidRDefault="0051562C" w14:paraId="4683E14C" w14:textId="77777777">
            <w:pPr>
              <w:rPr>
                <w:rFonts w:ascii="Arial" w:hAnsi="Arial"/>
                <w:b/>
                <w:bCs/>
                <w:sz w:val="26"/>
                <w:szCs w:val="26"/>
                <w:rtl/>
              </w:rPr>
            </w:pPr>
            <w:r w:rsidRPr="00B949CB">
              <w:rPr>
                <w:rFonts w:ascii="Arial" w:hAnsi="Arial"/>
                <w:b/>
                <w:bCs/>
                <w:sz w:val="26"/>
                <w:szCs w:val="26"/>
                <w:rtl/>
              </w:rPr>
              <w:t>ה</w:t>
            </w:r>
            <w:sdt>
              <w:sdtPr>
                <w:rPr>
                  <w:rtl/>
                </w:rPr>
                <w:alias w:val="1180"/>
                <w:tag w:val="1180"/>
                <w:id w:val="-996955522"/>
                <w:text w:multiLine="1"/>
              </w:sdtPr>
              <w:sdtEndPr/>
              <w:sdtContent>
                <w:r>
                  <w:rPr>
                    <w:rFonts w:ascii="Arial" w:hAnsi="Arial"/>
                    <w:b/>
                    <w:bCs/>
                    <w:sz w:val="26"/>
                    <w:szCs w:val="26"/>
                    <w:rtl/>
                  </w:rPr>
                  <w:t>מאשימה</w:t>
                </w:r>
              </w:sdtContent>
            </w:sdt>
          </w:p>
        </w:tc>
      </w:tr>
      <w:tr w:rsidR="00870F64" w:rsidTr="00E871E4" w14:paraId="35EDD734" w14:textId="77777777">
        <w:trPr>
          <w:trHeight w:val="355"/>
          <w:jc w:val="center"/>
        </w:trPr>
        <w:tc>
          <w:tcPr>
            <w:tcW w:w="853" w:type="dxa"/>
            <w:tcBorders>
              <w:top w:val="nil"/>
              <w:left w:val="nil"/>
              <w:bottom w:val="nil"/>
              <w:right w:val="nil"/>
            </w:tcBorders>
          </w:tcPr>
          <w:p w:rsidRPr="00B949CB" w:rsidR="00870F64" w:rsidRDefault="00870F64" w14:paraId="253E4F71" w14:textId="77777777">
            <w:pPr>
              <w:jc w:val="both"/>
              <w:rPr>
                <w:rFonts w:ascii="Arial" w:hAnsi="Arial" w:cs="FrankRuehl"/>
                <w:b/>
                <w:bCs/>
                <w:sz w:val="28"/>
                <w:szCs w:val="28"/>
                <w:rtl/>
              </w:rPr>
            </w:pPr>
          </w:p>
        </w:tc>
        <w:tc>
          <w:tcPr>
            <w:tcW w:w="8014" w:type="dxa"/>
            <w:gridSpan w:val="2"/>
            <w:tcBorders>
              <w:top w:val="nil"/>
              <w:left w:val="nil"/>
              <w:bottom w:val="nil"/>
              <w:right w:val="nil"/>
            </w:tcBorders>
          </w:tcPr>
          <w:p w:rsidRPr="00B949CB" w:rsidR="00870F64" w:rsidRDefault="00870F64" w14:paraId="627A6A34" w14:textId="77777777">
            <w:pPr>
              <w:jc w:val="center"/>
              <w:rPr>
                <w:rFonts w:ascii="Arial" w:hAnsi="Arial"/>
                <w:b/>
                <w:bCs/>
                <w:sz w:val="26"/>
                <w:szCs w:val="26"/>
                <w:rtl/>
              </w:rPr>
            </w:pPr>
          </w:p>
          <w:p w:rsidRPr="00B949CB" w:rsidR="00870F64" w:rsidRDefault="0051562C" w14:paraId="0D494A06" w14:textId="77777777">
            <w:pPr>
              <w:jc w:val="center"/>
              <w:rPr>
                <w:rFonts w:ascii="Arial" w:hAnsi="Arial"/>
                <w:b/>
                <w:bCs/>
                <w:sz w:val="26"/>
                <w:szCs w:val="26"/>
                <w:rtl/>
              </w:rPr>
            </w:pPr>
            <w:r w:rsidRPr="00B949CB">
              <w:rPr>
                <w:rFonts w:ascii="Arial" w:hAnsi="Arial"/>
                <w:b/>
                <w:bCs/>
                <w:sz w:val="26"/>
                <w:szCs w:val="26"/>
                <w:rtl/>
              </w:rPr>
              <w:t>נגד</w:t>
            </w:r>
          </w:p>
          <w:p w:rsidRPr="00B949CB" w:rsidR="00870F64" w:rsidRDefault="00870F64" w14:paraId="4FA988B1" w14:textId="77777777">
            <w:pPr>
              <w:jc w:val="both"/>
              <w:rPr>
                <w:rFonts w:ascii="Arial" w:hAnsi="Arial"/>
                <w:b/>
                <w:bCs/>
                <w:sz w:val="26"/>
                <w:szCs w:val="26"/>
              </w:rPr>
            </w:pPr>
          </w:p>
        </w:tc>
      </w:tr>
      <w:tr w:rsidR="00870F64" w:rsidTr="00E871E4" w14:paraId="70631DB2" w14:textId="77777777">
        <w:trPr>
          <w:trHeight w:val="355"/>
          <w:jc w:val="center"/>
        </w:trPr>
        <w:tc>
          <w:tcPr>
            <w:tcW w:w="853" w:type="dxa"/>
            <w:tcBorders>
              <w:top w:val="nil"/>
              <w:left w:val="nil"/>
              <w:bottom w:val="nil"/>
              <w:right w:val="nil"/>
            </w:tcBorders>
          </w:tcPr>
          <w:p w:rsidRPr="00B949CB" w:rsidR="00870F64" w:rsidRDefault="00870F64" w14:paraId="0065A4C2" w14:textId="77777777">
            <w:pPr>
              <w:jc w:val="both"/>
              <w:rPr>
                <w:rFonts w:ascii="Arial" w:hAnsi="Arial" w:cs="FrankRuehl"/>
                <w:b/>
                <w:bCs/>
                <w:sz w:val="28"/>
                <w:szCs w:val="28"/>
                <w:rtl/>
              </w:rPr>
            </w:pPr>
          </w:p>
        </w:tc>
        <w:tc>
          <w:tcPr>
            <w:tcW w:w="4288" w:type="dxa"/>
            <w:tcBorders>
              <w:top w:val="nil"/>
              <w:left w:val="nil"/>
              <w:bottom w:val="nil"/>
              <w:right w:val="nil"/>
            </w:tcBorders>
          </w:tcPr>
          <w:p w:rsidRPr="00B949CB" w:rsidR="00870F64" w:rsidP="00942F8C" w:rsidRDefault="00792830" w14:paraId="566E6929" w14:textId="77777777">
            <w:pPr>
              <w:rPr>
                <w:b/>
                <w:bCs/>
                <w:sz w:val="26"/>
                <w:szCs w:val="26"/>
                <w:rtl/>
              </w:rPr>
            </w:pPr>
            <w:sdt>
              <w:sdtPr>
                <w:rPr>
                  <w:rtl/>
                </w:rPr>
                <w:alias w:val="1571"/>
                <w:tag w:val="1571"/>
                <w:id w:val="-2437142"/>
                <w:text w:multiLine="1"/>
              </w:sdtPr>
              <w:sdtEndPr/>
              <w:sdtContent>
                <w:r w:rsidR="00A27B94">
                  <w:rPr>
                    <w:rFonts w:ascii="Arial" w:hAnsi="Arial"/>
                    <w:b/>
                    <w:bCs/>
                    <w:sz w:val="26"/>
                    <w:szCs w:val="26"/>
                    <w:rtl/>
                  </w:rPr>
                  <w:t>1</w:t>
                </w:r>
              </w:sdtContent>
            </w:sdt>
            <w:r w:rsidRPr="00B949CB" w:rsidR="00834D17">
              <w:rPr>
                <w:rFonts w:ascii="Arial" w:hAnsi="Arial"/>
                <w:b/>
                <w:bCs/>
                <w:sz w:val="26"/>
                <w:szCs w:val="26"/>
                <w:rtl/>
              </w:rPr>
              <w:t>.</w:t>
            </w:r>
            <w:sdt>
              <w:sdtPr>
                <w:rPr>
                  <w:rtl/>
                </w:rPr>
                <w:alias w:val="1486"/>
                <w:tag w:val="1486"/>
                <w:id w:val="1635441335"/>
                <w:text w:multiLine="1"/>
              </w:sdtPr>
              <w:sdtEndPr/>
              <w:sdtContent>
                <w:r w:rsidR="00A27B94">
                  <w:rPr>
                    <w:rFonts w:ascii="Arial" w:hAnsi="Arial"/>
                    <w:b/>
                    <w:bCs/>
                    <w:sz w:val="26"/>
                    <w:szCs w:val="26"/>
                    <w:rtl/>
                  </w:rPr>
                  <w:t>יעקב אייל שהם</w:t>
                </w:r>
              </w:sdtContent>
            </w:sdt>
          </w:p>
          <w:p w:rsidRPr="00B949CB" w:rsidR="00870F64" w:rsidP="00942F8C" w:rsidRDefault="00792830" w14:paraId="64C53D0F" w14:textId="77777777">
            <w:pPr>
              <w:rPr>
                <w:b/>
                <w:bCs/>
                <w:sz w:val="26"/>
                <w:szCs w:val="26"/>
                <w:rtl/>
              </w:rPr>
            </w:pPr>
            <w:sdt>
              <w:sdtPr>
                <w:rPr>
                  <w:rtl/>
                </w:rPr>
                <w:alias w:val="1571"/>
                <w:tag w:val="1571"/>
                <w:id w:val="-1696995096"/>
                <w:text w:multiLine="1"/>
              </w:sdtPr>
              <w:sdtEndPr/>
              <w:sdtContent>
                <w:r w:rsidR="00A27B94">
                  <w:rPr>
                    <w:rFonts w:ascii="Arial" w:hAnsi="Arial"/>
                    <w:b/>
                    <w:bCs/>
                    <w:sz w:val="26"/>
                    <w:szCs w:val="26"/>
                    <w:rtl/>
                  </w:rPr>
                  <w:t>2</w:t>
                </w:r>
              </w:sdtContent>
            </w:sdt>
            <w:r w:rsidRPr="00B949CB" w:rsidR="00834D17">
              <w:rPr>
                <w:rFonts w:ascii="Arial" w:hAnsi="Arial"/>
                <w:b/>
                <w:bCs/>
                <w:sz w:val="26"/>
                <w:szCs w:val="26"/>
                <w:rtl/>
              </w:rPr>
              <w:t>.</w:t>
            </w:r>
            <w:sdt>
              <w:sdtPr>
                <w:rPr>
                  <w:rtl/>
                </w:rPr>
                <w:alias w:val="1486"/>
                <w:tag w:val="1486"/>
                <w:id w:val="-2086217436"/>
                <w:text w:multiLine="1"/>
              </w:sdtPr>
              <w:sdtEndPr/>
              <w:sdtContent>
                <w:r w:rsidR="00A27B94">
                  <w:rPr>
                    <w:rFonts w:ascii="Arial" w:hAnsi="Arial"/>
                    <w:b/>
                    <w:bCs/>
                    <w:sz w:val="26"/>
                    <w:szCs w:val="26"/>
                    <w:rtl/>
                  </w:rPr>
                  <w:t>טל-חן משתלות בע"מ</w:t>
                </w:r>
                <w:r w:rsidR="00EC345D">
                  <w:rPr>
                    <w:rFonts w:ascii="Arial" w:hAnsi="Arial"/>
                    <w:b/>
                    <w:bCs/>
                    <w:sz w:val="26"/>
                    <w:szCs w:val="26"/>
                    <w:rtl/>
                  </w:rPr>
                  <w:br/>
                </w:r>
                <w:r w:rsidR="00EC345D">
                  <w:rPr>
                    <w:rFonts w:hint="cs"/>
                    <w:rtl/>
                  </w:rPr>
                  <w:t>שניהם על ידי ב"כ עו"ד צ' מנדל</w:t>
                </w:r>
              </w:sdtContent>
            </w:sdt>
          </w:p>
        </w:tc>
        <w:tc>
          <w:tcPr>
            <w:tcW w:w="3727" w:type="dxa"/>
            <w:tcBorders>
              <w:top w:val="nil"/>
              <w:left w:val="nil"/>
              <w:bottom w:val="nil"/>
              <w:right w:val="nil"/>
            </w:tcBorders>
          </w:tcPr>
          <w:p w:rsidRPr="00B949CB" w:rsidR="00870F64" w:rsidRDefault="00870F64" w14:paraId="7DC457A4" w14:textId="77777777">
            <w:pPr>
              <w:jc w:val="right"/>
              <w:rPr>
                <w:rFonts w:ascii="Arial" w:hAnsi="Arial"/>
                <w:b/>
                <w:bCs/>
                <w:sz w:val="26"/>
                <w:szCs w:val="26"/>
              </w:rPr>
            </w:pPr>
          </w:p>
        </w:tc>
      </w:tr>
      <w:tr w:rsidR="00870F64" w:rsidTr="00E871E4" w14:paraId="5072E1F1" w14:textId="77777777">
        <w:trPr>
          <w:trHeight w:val="355"/>
          <w:jc w:val="center"/>
        </w:trPr>
        <w:tc>
          <w:tcPr>
            <w:tcW w:w="853" w:type="dxa"/>
            <w:tcBorders>
              <w:top w:val="nil"/>
              <w:left w:val="nil"/>
              <w:bottom w:val="nil"/>
              <w:right w:val="nil"/>
            </w:tcBorders>
          </w:tcPr>
          <w:p w:rsidRPr="00B949CB" w:rsidR="00870F64" w:rsidRDefault="00870F64" w14:paraId="25771DE4" w14:textId="77777777">
            <w:pPr>
              <w:jc w:val="both"/>
              <w:rPr>
                <w:rFonts w:ascii="Arial" w:hAnsi="Arial" w:cs="FrankRuehl"/>
                <w:b/>
                <w:bCs/>
                <w:sz w:val="28"/>
                <w:szCs w:val="28"/>
                <w:rtl/>
              </w:rPr>
            </w:pPr>
          </w:p>
        </w:tc>
        <w:tc>
          <w:tcPr>
            <w:tcW w:w="4288" w:type="dxa"/>
            <w:tcBorders>
              <w:top w:val="nil"/>
              <w:left w:val="nil"/>
              <w:bottom w:val="nil"/>
              <w:right w:val="nil"/>
            </w:tcBorders>
          </w:tcPr>
          <w:p w:rsidRPr="00B949CB" w:rsidR="00870F64" w:rsidRDefault="00870F64" w14:paraId="65C280C7" w14:textId="77777777">
            <w:pPr>
              <w:jc w:val="both"/>
              <w:rPr>
                <w:b/>
                <w:bCs/>
                <w:sz w:val="26"/>
                <w:szCs w:val="26"/>
                <w:rtl/>
              </w:rPr>
            </w:pPr>
          </w:p>
        </w:tc>
        <w:tc>
          <w:tcPr>
            <w:tcW w:w="3727" w:type="dxa"/>
            <w:tcBorders>
              <w:top w:val="nil"/>
              <w:left w:val="nil"/>
              <w:bottom w:val="nil"/>
              <w:right w:val="nil"/>
            </w:tcBorders>
          </w:tcPr>
          <w:p w:rsidRPr="00B949CB" w:rsidR="00870F64" w:rsidP="00942F8C" w:rsidRDefault="0051562C" w14:paraId="71D34109" w14:textId="77777777">
            <w:pPr>
              <w:rPr>
                <w:rFonts w:ascii="Arial" w:hAnsi="Arial"/>
                <w:b/>
                <w:bCs/>
                <w:sz w:val="26"/>
                <w:szCs w:val="26"/>
              </w:rPr>
            </w:pPr>
            <w:r w:rsidRPr="00B949CB">
              <w:rPr>
                <w:rFonts w:ascii="Arial" w:hAnsi="Arial"/>
                <w:b/>
                <w:bCs/>
                <w:sz w:val="26"/>
                <w:szCs w:val="26"/>
                <w:rtl/>
              </w:rPr>
              <w:t>ה</w:t>
            </w:r>
            <w:sdt>
              <w:sdtPr>
                <w:rPr>
                  <w:rtl/>
                </w:rPr>
                <w:alias w:val="1184"/>
                <w:tag w:val="1184"/>
                <w:id w:val="-790980808"/>
                <w:text w:multiLine="1"/>
              </w:sdtPr>
              <w:sdtEndPr/>
              <w:sdtContent>
                <w:r>
                  <w:rPr>
                    <w:rFonts w:ascii="Arial" w:hAnsi="Arial"/>
                    <w:b/>
                    <w:bCs/>
                    <w:sz w:val="26"/>
                    <w:szCs w:val="26"/>
                    <w:rtl/>
                  </w:rPr>
                  <w:t>נאשמים</w:t>
                </w:r>
              </w:sdtContent>
            </w:sdt>
          </w:p>
        </w:tc>
      </w:tr>
    </w:tbl>
    <w:p w:rsidR="00870F64" w:rsidRDefault="00870F64" w14:paraId="6252B523" w14:textId="77777777">
      <w:pPr>
        <w:rPr>
          <w:rtl/>
        </w:rPr>
      </w:pPr>
    </w:p>
    <w:p w:rsidR="00870F64" w:rsidRDefault="00870F64" w14:paraId="19FBF0B6" w14:textId="77777777">
      <w:pPr>
        <w:rPr>
          <w:rtl/>
        </w:rPr>
      </w:pPr>
    </w:p>
    <w:tbl>
      <w:tblPr>
        <w:tblStyle w:val="a5"/>
        <w:bidiVisual/>
        <w:tblW w:w="8820" w:type="dxa"/>
        <w:jc w:val="center"/>
        <w:tblLook w:val="01E0" w:firstRow="1" w:lastRow="1" w:firstColumn="1" w:lastColumn="1" w:noHBand="0" w:noVBand="0"/>
      </w:tblPr>
      <w:tblGrid>
        <w:gridCol w:w="8820"/>
      </w:tblGrid>
      <w:tr w:rsidR="00870F64" w14:paraId="7D911CEE" w14:textId="77777777">
        <w:trPr>
          <w:trHeight w:val="355"/>
          <w:jc w:val="center"/>
        </w:trPr>
        <w:tc>
          <w:tcPr>
            <w:tcW w:w="8820" w:type="dxa"/>
            <w:tcBorders>
              <w:top w:val="nil"/>
              <w:left w:val="nil"/>
              <w:bottom w:val="nil"/>
              <w:right w:val="nil"/>
            </w:tcBorders>
          </w:tcPr>
          <w:p w:rsidRPr="00DC28FC" w:rsidR="00870F64" w:rsidP="00DC28FC" w:rsidRDefault="0051562C" w14:paraId="714E264B" w14:textId="77777777">
            <w:pPr>
              <w:spacing w:before="120" w:after="120"/>
              <w:jc w:val="center"/>
              <w:rPr>
                <w:rFonts w:ascii="Arial" w:hAnsi="Arial"/>
                <w:b/>
                <w:bCs/>
                <w:u w:val="single"/>
                <w:rtl/>
              </w:rPr>
            </w:pPr>
            <w:r w:rsidRPr="00DC28FC">
              <w:rPr>
                <w:rFonts w:ascii="Arial" w:hAnsi="Arial"/>
                <w:b/>
                <w:bCs/>
                <w:u w:val="single"/>
                <w:rtl/>
              </w:rPr>
              <w:t>הכרעת דין</w:t>
            </w:r>
            <w:r w:rsidRPr="00DC28FC" w:rsidR="00FF14C4">
              <w:rPr>
                <w:rFonts w:hint="cs" w:ascii="Arial" w:hAnsi="Arial"/>
                <w:b/>
                <w:bCs/>
                <w:u w:val="single"/>
                <w:rtl/>
              </w:rPr>
              <w:t xml:space="preserve"> לגבי האישום השני לכתב האישום</w:t>
            </w:r>
          </w:p>
          <w:p w:rsidR="00FF14C4" w:rsidP="00E871E4" w:rsidRDefault="00FF14C4" w14:paraId="5E200394" w14:textId="77777777">
            <w:pPr>
              <w:spacing w:before="120" w:after="120"/>
              <w:rPr>
                <w:rFonts w:ascii="Arial" w:hAnsi="Arial"/>
                <w:u w:val="single"/>
                <w:rtl/>
              </w:rPr>
            </w:pPr>
          </w:p>
          <w:p w:rsidR="009734CA" w:rsidP="009734CA" w:rsidRDefault="009734CA" w14:paraId="0D363A2F" w14:textId="77777777">
            <w:pPr>
              <w:spacing w:before="120" w:after="120" w:line="360" w:lineRule="auto"/>
              <w:jc w:val="both"/>
              <w:rPr>
                <w:rFonts w:ascii="Arial" w:hAnsi="Arial"/>
              </w:rPr>
            </w:pPr>
            <w:r w:rsidRPr="009734CA">
              <w:rPr>
                <w:rFonts w:hint="cs" w:ascii="Arial" w:hAnsi="Arial"/>
                <w:rtl/>
              </w:rPr>
              <w:t>הנאשמים מזוכים מן העבירות שיוחסו להם לפי סעיף 220(1) ו-220(5) לפקודת מס הכנסה</w:t>
            </w:r>
            <w:r>
              <w:rPr>
                <w:rFonts w:hint="cs" w:ascii="Arial" w:hAnsi="Arial"/>
                <w:rtl/>
              </w:rPr>
              <w:t xml:space="preserve"> </w:t>
            </w:r>
            <w:r w:rsidRPr="00DC28FC">
              <w:rPr>
                <w:rFonts w:hint="cs" w:ascii="Arial" w:hAnsi="Arial"/>
                <w:rtl/>
              </w:rPr>
              <w:t>[נוסח חדש] (להלן: "פקודת מס הכנסה")</w:t>
            </w:r>
            <w:r w:rsidRPr="009734CA">
              <w:rPr>
                <w:rFonts w:hint="cs" w:ascii="Arial" w:hAnsi="Arial"/>
                <w:rtl/>
              </w:rPr>
              <w:t xml:space="preserve">. </w:t>
            </w:r>
            <w:r>
              <w:rPr>
                <w:rFonts w:hint="cs" w:ascii="Arial" w:hAnsi="Arial"/>
                <w:rtl/>
              </w:rPr>
              <w:t xml:space="preserve">הנאשם 1 מורשע בשמונה עבירות של אי קיום דרישות מסוימות לפי סעיף 216(4) לפקודת מס הכנסה.  </w:t>
            </w:r>
          </w:p>
          <w:p w:rsidRPr="00DC28FC" w:rsidR="009734CA" w:rsidP="00DC28FC" w:rsidRDefault="009734CA" w14:paraId="7462C263" w14:textId="77777777">
            <w:pPr>
              <w:spacing w:before="120" w:after="120"/>
              <w:rPr>
                <w:rFonts w:ascii="Arial" w:hAnsi="Arial"/>
                <w:u w:val="single"/>
                <w:rtl/>
              </w:rPr>
            </w:pPr>
          </w:p>
          <w:p w:rsidRPr="00DC28FC" w:rsidR="00FF14C4" w:rsidP="00DC28FC" w:rsidRDefault="00FF14C4" w14:paraId="0BC83B57" w14:textId="77777777">
            <w:pPr>
              <w:spacing w:before="120" w:after="120"/>
              <w:rPr>
                <w:rFonts w:ascii="Arial" w:hAnsi="Arial"/>
                <w:b/>
                <w:bCs/>
                <w:rtl/>
              </w:rPr>
            </w:pPr>
            <w:r w:rsidRPr="00DC28FC">
              <w:rPr>
                <w:rFonts w:hint="cs" w:ascii="Arial" w:hAnsi="Arial"/>
                <w:b/>
                <w:bCs/>
                <w:rtl/>
              </w:rPr>
              <w:t>רקע</w:t>
            </w:r>
            <w:r w:rsidRPr="00DC28FC" w:rsidR="004D6158">
              <w:rPr>
                <w:rFonts w:hint="cs" w:ascii="Arial" w:hAnsi="Arial"/>
                <w:b/>
                <w:bCs/>
                <w:rtl/>
              </w:rPr>
              <w:t xml:space="preserve"> </w:t>
            </w:r>
            <w:r w:rsidRPr="00DC28FC" w:rsidR="004D6158">
              <w:rPr>
                <w:rFonts w:ascii="Arial" w:hAnsi="Arial"/>
                <w:b/>
                <w:bCs/>
                <w:rtl/>
              </w:rPr>
              <w:t>–</w:t>
            </w:r>
            <w:r w:rsidRPr="00DC28FC" w:rsidR="004D6158">
              <w:rPr>
                <w:rFonts w:hint="cs" w:ascii="Arial" w:hAnsi="Arial"/>
                <w:b/>
                <w:bCs/>
                <w:rtl/>
              </w:rPr>
              <w:t xml:space="preserve"> ויריעת המחלוקת</w:t>
            </w:r>
          </w:p>
          <w:p w:rsidRPr="00DC28FC" w:rsidR="00FF14C4" w:rsidP="005C6906" w:rsidRDefault="00FF14C4" w14:paraId="1B993753"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לפי הסכמות שהוצגו במהלך ישיבת ההוכחות שהתנהלה ביום 27.12.18, תוקן כתב האישום. לפי אותן הסכמות, </w:t>
            </w:r>
            <w:r w:rsidR="005C6906">
              <w:rPr>
                <w:rFonts w:hint="cs" w:ascii="Arial" w:hAnsi="Arial"/>
                <w:rtl/>
              </w:rPr>
              <w:t xml:space="preserve">הודה </w:t>
            </w:r>
            <w:r w:rsidRPr="00DC28FC">
              <w:rPr>
                <w:rFonts w:hint="cs" w:ascii="Arial" w:hAnsi="Arial"/>
                <w:rtl/>
              </w:rPr>
              <w:t xml:space="preserve">הנאשם </w:t>
            </w:r>
            <w:r w:rsidRPr="00DC28FC" w:rsidR="00EC345D">
              <w:rPr>
                <w:rFonts w:hint="cs" w:ascii="Arial" w:hAnsi="Arial"/>
                <w:rtl/>
              </w:rPr>
              <w:t xml:space="preserve">1 (להלן: "הנאשם") </w:t>
            </w:r>
            <w:r w:rsidRPr="00DC28FC">
              <w:rPr>
                <w:rFonts w:hint="cs" w:ascii="Arial" w:hAnsi="Arial"/>
                <w:rtl/>
              </w:rPr>
              <w:t xml:space="preserve">והורשע בעבירה שיוחסה לו באישום הראשון לכתב האישום, עבירה של החזקת טובין שסומנו בלא רשות. עוד בהתאם להסכמות, </w:t>
            </w:r>
            <w:r w:rsidRPr="00DC28FC" w:rsidR="00EC345D">
              <w:rPr>
                <w:rFonts w:hint="cs" w:ascii="Arial" w:hAnsi="Arial"/>
                <w:rtl/>
              </w:rPr>
              <w:t xml:space="preserve">הודו הנאשמים </w:t>
            </w:r>
            <w:r w:rsidRPr="00DC28FC">
              <w:rPr>
                <w:rFonts w:hint="cs" w:ascii="Arial" w:hAnsi="Arial"/>
                <w:rtl/>
              </w:rPr>
              <w:t>באישום השני לכתב האישום המתוקן, למעט ברכיב היסוד הנפשי הנטען בסעיף 9 לאותו אישום. בסוגיה זו נותרו הצדדים חלוקים</w:t>
            </w:r>
            <w:r w:rsidRPr="00DC28FC" w:rsidR="00EC345D">
              <w:rPr>
                <w:rFonts w:hint="cs" w:ascii="Arial" w:hAnsi="Arial"/>
                <w:rtl/>
              </w:rPr>
              <w:t>, ובה תעסוק הכרעת דין זו.</w:t>
            </w:r>
          </w:p>
          <w:p w:rsidRPr="00DC28FC" w:rsidR="00043459" w:rsidP="009734CA" w:rsidRDefault="00EC345D" w14:paraId="5FEC1FE6"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אלה העובדות בהן הודו הנאשמים ואשר נוגעות לאישום השני: הנאשמת 2 (להלן: "הנאשמת" או "החברה") היא חברה שנוסדה בשנת 1999 ו</w:t>
            </w:r>
            <w:r w:rsidR="005C6906">
              <w:rPr>
                <w:rFonts w:hint="cs" w:ascii="Arial" w:hAnsi="Arial"/>
                <w:rtl/>
              </w:rPr>
              <w:t>ה</w:t>
            </w:r>
            <w:r w:rsidRPr="00DC28FC">
              <w:rPr>
                <w:rFonts w:hint="cs" w:ascii="Arial" w:hAnsi="Arial"/>
                <w:rtl/>
              </w:rPr>
              <w:t xml:space="preserve">פעילה משתלה בירושלים. הנאשם הוא הבעלים והמנהל בפועל של הנאשמת. הנאשמים לא הגישו למס ההכנסה דוחות ביחס להכנסות הנאשמת </w:t>
            </w:r>
            <w:r w:rsidRPr="00DC28FC" w:rsidR="00043459">
              <w:rPr>
                <w:rFonts w:hint="cs" w:ascii="Arial" w:hAnsi="Arial"/>
                <w:rtl/>
              </w:rPr>
              <w:t xml:space="preserve">שעמדו על הסכומים </w:t>
            </w:r>
            <w:r w:rsidR="005C6906">
              <w:rPr>
                <w:rFonts w:hint="cs" w:ascii="Arial" w:hAnsi="Arial"/>
                <w:rtl/>
              </w:rPr>
              <w:t>הבאים</w:t>
            </w:r>
            <w:r w:rsidRPr="00DC28FC">
              <w:rPr>
                <w:rFonts w:hint="cs" w:ascii="Arial" w:hAnsi="Arial"/>
                <w:rtl/>
              </w:rPr>
              <w:t>: בשנ</w:t>
            </w:r>
            <w:r w:rsidRPr="00DC28FC" w:rsidR="00043459">
              <w:rPr>
                <w:rFonts w:hint="cs" w:ascii="Arial" w:hAnsi="Arial"/>
                <w:rtl/>
              </w:rPr>
              <w:t xml:space="preserve">ת 2005 </w:t>
            </w:r>
            <w:r w:rsidRPr="00DC28FC" w:rsidR="00043459">
              <w:rPr>
                <w:rFonts w:ascii="Arial" w:hAnsi="Arial"/>
                <w:rtl/>
              </w:rPr>
              <w:t>–</w:t>
            </w:r>
            <w:r w:rsidRPr="00DC28FC" w:rsidR="00043459">
              <w:rPr>
                <w:rFonts w:hint="cs" w:ascii="Arial" w:hAnsi="Arial"/>
                <w:rtl/>
              </w:rPr>
              <w:t xml:space="preserve"> 341,574 ₪, בשנת 2006 </w:t>
            </w:r>
            <w:r w:rsidRPr="00DC28FC" w:rsidR="00043459">
              <w:rPr>
                <w:rFonts w:ascii="Arial" w:hAnsi="Arial"/>
                <w:rtl/>
              </w:rPr>
              <w:t>–</w:t>
            </w:r>
            <w:r w:rsidRPr="00DC28FC" w:rsidR="00043459">
              <w:rPr>
                <w:rFonts w:hint="cs" w:ascii="Arial" w:hAnsi="Arial"/>
                <w:rtl/>
              </w:rPr>
              <w:t xml:space="preserve"> 285,475 ₪, בשנת 2007 </w:t>
            </w:r>
            <w:r w:rsidRPr="00DC28FC" w:rsidR="00043459">
              <w:rPr>
                <w:rFonts w:ascii="Arial" w:hAnsi="Arial"/>
                <w:rtl/>
              </w:rPr>
              <w:t>–</w:t>
            </w:r>
            <w:r w:rsidRPr="00DC28FC" w:rsidR="00043459">
              <w:rPr>
                <w:rFonts w:hint="cs" w:ascii="Arial" w:hAnsi="Arial"/>
                <w:rtl/>
              </w:rPr>
              <w:t xml:space="preserve"> 335,845 ₪, בשנת 2008 </w:t>
            </w:r>
            <w:r w:rsidRPr="00DC28FC" w:rsidR="00043459">
              <w:rPr>
                <w:rFonts w:ascii="Arial" w:hAnsi="Arial"/>
                <w:rtl/>
              </w:rPr>
              <w:t>–</w:t>
            </w:r>
            <w:r w:rsidRPr="00DC28FC" w:rsidR="00043459">
              <w:rPr>
                <w:rFonts w:hint="cs" w:ascii="Arial" w:hAnsi="Arial"/>
                <w:rtl/>
              </w:rPr>
              <w:t xml:space="preserve"> 245,334 ₪, בשנת 2009 </w:t>
            </w:r>
            <w:r w:rsidRPr="00DC28FC" w:rsidR="00043459">
              <w:rPr>
                <w:rFonts w:ascii="Arial" w:hAnsi="Arial"/>
                <w:rtl/>
              </w:rPr>
              <w:t>–</w:t>
            </w:r>
            <w:r w:rsidRPr="00DC28FC" w:rsidR="00043459">
              <w:rPr>
                <w:rFonts w:hint="cs" w:ascii="Arial" w:hAnsi="Arial"/>
                <w:rtl/>
              </w:rPr>
              <w:t xml:space="preserve"> 536,332 ₪, בשנת 2010 </w:t>
            </w:r>
            <w:r w:rsidRPr="00DC28FC" w:rsidR="00043459">
              <w:rPr>
                <w:rFonts w:ascii="Arial" w:hAnsi="Arial"/>
                <w:rtl/>
              </w:rPr>
              <w:t>–</w:t>
            </w:r>
            <w:r w:rsidRPr="00DC28FC" w:rsidR="00043459">
              <w:rPr>
                <w:rFonts w:hint="cs" w:ascii="Arial" w:hAnsi="Arial"/>
                <w:rtl/>
              </w:rPr>
              <w:t xml:space="preserve"> 490,520 ₪, ובשנת 2011 </w:t>
            </w:r>
            <w:r w:rsidRPr="00DC28FC" w:rsidR="00043459">
              <w:rPr>
                <w:rFonts w:ascii="Arial" w:hAnsi="Arial"/>
                <w:rtl/>
              </w:rPr>
              <w:t>–</w:t>
            </w:r>
            <w:r w:rsidRPr="00DC28FC" w:rsidR="00043459">
              <w:rPr>
                <w:rFonts w:hint="cs" w:ascii="Arial" w:hAnsi="Arial"/>
                <w:rtl/>
              </w:rPr>
              <w:t xml:space="preserve"> 419,984 ₪. בעקבות חקירותיו </w:t>
            </w:r>
            <w:r w:rsidR="005C6906">
              <w:rPr>
                <w:rFonts w:hint="cs" w:ascii="Arial" w:hAnsi="Arial"/>
                <w:rtl/>
              </w:rPr>
              <w:t xml:space="preserve">של הנאשם </w:t>
            </w:r>
            <w:r w:rsidRPr="00DC28FC" w:rsidR="00043459">
              <w:rPr>
                <w:rFonts w:hint="cs" w:ascii="Arial" w:hAnsi="Arial"/>
                <w:rtl/>
              </w:rPr>
              <w:t xml:space="preserve">ברשות המס בימים 15.10.12 ו-27.11.12, הגישו הנאשמים דוחות סתמיים וחסרים. </w:t>
            </w:r>
          </w:p>
          <w:p w:rsidRPr="00DC28FC" w:rsidR="00043459" w:rsidP="009734CA" w:rsidRDefault="00043459" w14:paraId="0090B5F7"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lastRenderedPageBreak/>
              <w:t xml:space="preserve">בסעיף 9 לאישום </w:t>
            </w:r>
            <w:r w:rsidR="005C6906">
              <w:rPr>
                <w:rFonts w:hint="cs" w:ascii="Arial" w:hAnsi="Arial"/>
                <w:rtl/>
              </w:rPr>
              <w:t>השני</w:t>
            </w:r>
            <w:r w:rsidRPr="00DC28FC">
              <w:rPr>
                <w:rFonts w:hint="cs" w:ascii="Arial" w:hAnsi="Arial"/>
                <w:rtl/>
              </w:rPr>
              <w:t>, שכאמור הינו במחלוקת, נטען כי הנאשמים נמנעו מהגשת הדוחות "</w:t>
            </w:r>
            <w:r w:rsidRPr="00DC28FC">
              <w:rPr>
                <w:rFonts w:hint="cs" w:ascii="Arial" w:hAnsi="Arial" w:cs="FrankRuehl"/>
                <w:rtl/>
              </w:rPr>
              <w:t>במזיד ומתוך כוונה להתחמק ממס הכנסה, במרמה ערמה או תחבולה...</w:t>
            </w:r>
            <w:r w:rsidRPr="00DC28FC">
              <w:rPr>
                <w:rFonts w:hint="cs" w:ascii="Arial" w:hAnsi="Arial"/>
                <w:rtl/>
              </w:rPr>
              <w:t>". המחלוקת עוסקת</w:t>
            </w:r>
            <w:r w:rsidR="009734CA">
              <w:rPr>
                <w:rFonts w:hint="cs" w:ascii="Arial" w:hAnsi="Arial"/>
                <w:rtl/>
              </w:rPr>
              <w:t xml:space="preserve"> </w:t>
            </w:r>
            <w:r w:rsidRPr="00DC28FC">
              <w:rPr>
                <w:rFonts w:hint="cs" w:ascii="Arial" w:hAnsi="Arial"/>
                <w:rtl/>
              </w:rPr>
              <w:t>בשאלה האם אי-הגשת הדוחות בוצעה בכוונה להתחמק מתשלום מס</w:t>
            </w:r>
            <w:r w:rsidRPr="00DC28FC" w:rsidR="008F42ED">
              <w:rPr>
                <w:rFonts w:hint="cs" w:ascii="Arial" w:hAnsi="Arial"/>
                <w:rtl/>
              </w:rPr>
              <w:t>, או ללא כוונה כאמור</w:t>
            </w:r>
            <w:r w:rsidRPr="00DC28FC">
              <w:rPr>
                <w:rFonts w:hint="cs" w:ascii="Arial" w:hAnsi="Arial"/>
                <w:rtl/>
              </w:rPr>
              <w:t xml:space="preserve">. </w:t>
            </w:r>
          </w:p>
          <w:p w:rsidRPr="00DC28FC" w:rsidR="008F42ED" w:rsidP="009734CA" w:rsidRDefault="008F42ED" w14:paraId="4AA17E6D" w14:textId="77777777">
            <w:pPr>
              <w:pStyle w:val="ab"/>
              <w:spacing w:before="120" w:after="120" w:line="360" w:lineRule="auto"/>
              <w:contextualSpacing w:val="0"/>
              <w:jc w:val="both"/>
              <w:rPr>
                <w:rFonts w:ascii="Arial" w:hAnsi="Arial"/>
              </w:rPr>
            </w:pPr>
            <w:r w:rsidRPr="00DC28FC">
              <w:rPr>
                <w:rFonts w:hint="cs" w:ascii="Arial" w:hAnsi="Arial"/>
                <w:rtl/>
              </w:rPr>
              <w:t xml:space="preserve">מחלוקת זו רלבנטית לעבירות שיוחסו לנאשמים באישום זה </w:t>
            </w:r>
            <w:r w:rsidRPr="00DC28FC">
              <w:rPr>
                <w:rFonts w:ascii="Arial" w:hAnsi="Arial"/>
                <w:rtl/>
              </w:rPr>
              <w:t>–</w:t>
            </w:r>
            <w:r w:rsidRPr="00DC28FC">
              <w:rPr>
                <w:rFonts w:hint="cs" w:ascii="Arial" w:hAnsi="Arial"/>
                <w:rtl/>
              </w:rPr>
              <w:t xml:space="preserve"> שבע עבירות של מרמה, ערמה או תחבולה לפי סעיף 220(5) לפקודת מס הכנסה, ושבע עבירות נוספות של מרמה, ערמה או תחבולה לפי סעיף 220(1) לפקודת מס הכנסה. </w:t>
            </w:r>
          </w:p>
          <w:p w:rsidRPr="008A29C5" w:rsidR="00043459" w:rsidP="005C6906" w:rsidRDefault="00043459" w14:paraId="307BF032" w14:textId="77777777">
            <w:pPr>
              <w:pStyle w:val="ab"/>
              <w:numPr>
                <w:ilvl w:val="0"/>
                <w:numId w:val="7"/>
              </w:numPr>
              <w:spacing w:before="120" w:after="120" w:line="360" w:lineRule="auto"/>
              <w:contextualSpacing w:val="0"/>
              <w:jc w:val="both"/>
              <w:rPr>
                <w:rFonts w:ascii="Arial" w:hAnsi="Arial"/>
              </w:rPr>
            </w:pPr>
            <w:r w:rsidRPr="008A29C5">
              <w:rPr>
                <w:rFonts w:hint="cs" w:ascii="Arial" w:hAnsi="Arial"/>
                <w:rtl/>
              </w:rPr>
              <w:t xml:space="preserve">לצד </w:t>
            </w:r>
            <w:r w:rsidRPr="008A29C5" w:rsidR="005C6906">
              <w:rPr>
                <w:rFonts w:hint="cs" w:ascii="Arial" w:hAnsi="Arial"/>
                <w:rtl/>
              </w:rPr>
              <w:t xml:space="preserve">זה, </w:t>
            </w:r>
            <w:r w:rsidRPr="008A29C5">
              <w:rPr>
                <w:rFonts w:hint="cs" w:ascii="Arial" w:hAnsi="Arial"/>
                <w:rtl/>
              </w:rPr>
              <w:t xml:space="preserve">קיימות עובדות </w:t>
            </w:r>
            <w:r w:rsidRPr="008A29C5" w:rsidR="005C6906">
              <w:rPr>
                <w:rFonts w:hint="cs" w:ascii="Arial" w:hAnsi="Arial"/>
                <w:rtl/>
              </w:rPr>
              <w:t xml:space="preserve">נוספות באישום השני </w:t>
            </w:r>
            <w:r w:rsidRPr="008A29C5">
              <w:rPr>
                <w:rFonts w:hint="cs" w:ascii="Arial" w:hAnsi="Arial"/>
                <w:rtl/>
              </w:rPr>
              <w:t xml:space="preserve">שאינן במחלוקת: כי הנאשם 1 לא הגיש דוחות על הכנסתו האישית בשנים 2004-2011, וזאת ללא סיבה מספקת. בשל כך יוחסו </w:t>
            </w:r>
            <w:r w:rsidRPr="008A29C5" w:rsidR="005C6906">
              <w:rPr>
                <w:rFonts w:hint="cs" w:ascii="Arial" w:hAnsi="Arial"/>
                <w:rtl/>
              </w:rPr>
              <w:t xml:space="preserve">לנאשם </w:t>
            </w:r>
            <w:r w:rsidRPr="008A29C5">
              <w:rPr>
                <w:rFonts w:hint="cs" w:ascii="Arial" w:hAnsi="Arial"/>
                <w:rtl/>
              </w:rPr>
              <w:t>שמונה עבירות של אי קיום דרישות מסוימות, לפי סעיף 216(4) לפקודת מס הכנסה.</w:t>
            </w:r>
          </w:p>
          <w:p w:rsidRPr="00DC28FC" w:rsidR="008F42ED" w:rsidP="00E871E4" w:rsidRDefault="008F42ED" w14:paraId="1DBA6FE1" w14:textId="77777777">
            <w:pPr>
              <w:spacing w:before="120" w:after="120"/>
              <w:jc w:val="both"/>
              <w:rPr>
                <w:rFonts w:ascii="Arial" w:hAnsi="Arial"/>
                <w:rtl/>
              </w:rPr>
            </w:pPr>
          </w:p>
          <w:p w:rsidRPr="00DC28FC" w:rsidR="00043459" w:rsidP="00DC28FC" w:rsidRDefault="008F42ED" w14:paraId="1462C9AE" w14:textId="77777777">
            <w:pPr>
              <w:spacing w:before="120" w:after="120" w:line="360" w:lineRule="auto"/>
              <w:jc w:val="both"/>
              <w:rPr>
                <w:rFonts w:ascii="Arial" w:hAnsi="Arial"/>
                <w:b/>
                <w:bCs/>
              </w:rPr>
            </w:pPr>
            <w:r w:rsidRPr="00DC28FC">
              <w:rPr>
                <w:rFonts w:hint="cs" w:ascii="Arial" w:hAnsi="Arial"/>
                <w:b/>
                <w:bCs/>
                <w:rtl/>
              </w:rPr>
              <w:t xml:space="preserve">דיון </w:t>
            </w:r>
          </w:p>
          <w:p w:rsidRPr="00DC28FC" w:rsidR="008F42ED" w:rsidP="000B77D4" w:rsidRDefault="009A2900" w14:paraId="2CDFE1DE"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העבירות הרלבנטיות למחלוקת מושא הכרעת דין זו עוסקת בהשמטה מדו"ח של הכנסה שיש לכללה בדו"ח (ס</w:t>
            </w:r>
            <w:r w:rsidR="008A29C5">
              <w:rPr>
                <w:rFonts w:hint="cs" w:ascii="Arial" w:hAnsi="Arial"/>
                <w:rtl/>
              </w:rPr>
              <w:t xml:space="preserve">עיף </w:t>
            </w:r>
            <w:r w:rsidR="00F03637">
              <w:rPr>
                <w:rFonts w:hint="cs" w:ascii="Arial" w:hAnsi="Arial"/>
                <w:rtl/>
              </w:rPr>
              <w:t>220(1) לפקודת מס הכנסה</w:t>
            </w:r>
            <w:r w:rsidRPr="00DC28FC">
              <w:rPr>
                <w:rFonts w:hint="cs" w:ascii="Arial" w:hAnsi="Arial"/>
                <w:rtl/>
              </w:rPr>
              <w:t>) ובשימוש "</w:t>
            </w:r>
            <w:r w:rsidRPr="00DC28FC">
              <w:rPr>
                <w:rFonts w:hint="cs" w:ascii="Arial" w:hAnsi="Arial" w:cs="FrankRuehl"/>
                <w:rtl/>
              </w:rPr>
              <w:t>בכל מרמה, ערמה או תחבולה</w:t>
            </w:r>
            <w:r w:rsidRPr="00DC28FC">
              <w:rPr>
                <w:rFonts w:hint="cs" w:ascii="Arial" w:hAnsi="Arial"/>
                <w:rtl/>
              </w:rPr>
              <w:t xml:space="preserve">" (ס"ק </w:t>
            </w:r>
            <w:r w:rsidR="008A29C5">
              <w:rPr>
                <w:rFonts w:hint="cs" w:ascii="Arial" w:hAnsi="Arial"/>
                <w:rtl/>
              </w:rPr>
              <w:t>(</w:t>
            </w:r>
            <w:r w:rsidRPr="00DC28FC">
              <w:rPr>
                <w:rFonts w:hint="cs" w:ascii="Arial" w:hAnsi="Arial"/>
                <w:rtl/>
              </w:rPr>
              <w:t>5</w:t>
            </w:r>
            <w:r w:rsidR="008A29C5">
              <w:rPr>
                <w:rFonts w:hint="cs" w:ascii="Arial" w:hAnsi="Arial"/>
                <w:rtl/>
              </w:rPr>
              <w:t>)</w:t>
            </w:r>
            <w:r w:rsidRPr="00DC28FC">
              <w:rPr>
                <w:rFonts w:hint="cs" w:ascii="Arial" w:hAnsi="Arial"/>
                <w:rtl/>
              </w:rPr>
              <w:t>), זאת, לפי הפתיח לסעיף 220, "</w:t>
            </w:r>
            <w:r w:rsidRPr="00DC28FC">
              <w:rPr>
                <w:rFonts w:hint="cs" w:ascii="Arial" w:hAnsi="Arial" w:cs="FrankRuehl"/>
                <w:rtl/>
              </w:rPr>
              <w:t>במזיד, בכוונה להתחמק ממס או לעזור לאדם אחר להתחמק ממס</w:t>
            </w:r>
            <w:r w:rsidRPr="00DC28FC" w:rsidR="002637BB">
              <w:rPr>
                <w:rFonts w:hint="cs" w:ascii="Arial" w:hAnsi="Arial"/>
                <w:rtl/>
              </w:rPr>
              <w:t>". הדרישה האחרונה מגלמת דרישה כוונה מיוחדת, שככל יסודות העבירה הנטל להוכיחה הוא על התביעה, במידת ההוכחה הנדרשת בפלילים</w:t>
            </w:r>
            <w:r w:rsidR="008A29C5">
              <w:rPr>
                <w:rFonts w:hint="cs" w:ascii="Arial" w:hAnsi="Arial"/>
                <w:rtl/>
              </w:rPr>
              <w:t xml:space="preserve">. הכוונה </w:t>
            </w:r>
            <w:r w:rsidRPr="00DC28FC" w:rsidR="00B7584D">
              <w:rPr>
                <w:rFonts w:hint="cs" w:ascii="Arial" w:hAnsi="Arial"/>
                <w:rtl/>
              </w:rPr>
              <w:t xml:space="preserve">נלמדת דרך כלל מן הנסיבות ומ"חזקת הכוונה" לפיה אדם </w:t>
            </w:r>
            <w:r w:rsidRPr="00DC28FC" w:rsidR="007523AD">
              <w:rPr>
                <w:rFonts w:hint="cs" w:ascii="Arial" w:hAnsi="Arial"/>
                <w:rtl/>
              </w:rPr>
              <w:t>יוחזק ככלל כ</w:t>
            </w:r>
            <w:r w:rsidRPr="00DC28FC" w:rsidR="00B7584D">
              <w:rPr>
                <w:rFonts w:hint="cs" w:ascii="Arial" w:hAnsi="Arial"/>
                <w:rtl/>
              </w:rPr>
              <w:t>מתכוון לתוצאות הטבעיות של מעשיו. זאת, אלא אם בידי</w:t>
            </w:r>
            <w:r w:rsidR="000B77D4">
              <w:rPr>
                <w:rFonts w:hint="cs" w:ascii="Arial" w:hAnsi="Arial"/>
                <w:rtl/>
              </w:rPr>
              <w:t>ו</w:t>
            </w:r>
            <w:r w:rsidRPr="00DC28FC" w:rsidR="00B7584D">
              <w:rPr>
                <w:rFonts w:hint="cs" w:ascii="Arial" w:hAnsi="Arial"/>
                <w:rtl/>
              </w:rPr>
              <w:t xml:space="preserve"> להציג הסבר תמים ברמה שדי בה </w:t>
            </w:r>
            <w:r w:rsidRPr="00DC28FC" w:rsidR="007523AD">
              <w:rPr>
                <w:rFonts w:hint="cs" w:ascii="Arial" w:hAnsi="Arial"/>
                <w:rtl/>
              </w:rPr>
              <w:t>לסתור את החזקה ו</w:t>
            </w:r>
            <w:r w:rsidRPr="00DC28FC" w:rsidR="00B7584D">
              <w:rPr>
                <w:rFonts w:hint="cs" w:ascii="Arial" w:hAnsi="Arial"/>
                <w:rtl/>
              </w:rPr>
              <w:t>לעורר ספק סביר. כך למשל:</w:t>
            </w:r>
          </w:p>
          <w:p w:rsidRPr="00DC28FC" w:rsidR="008F42ED" w:rsidP="00DC28FC" w:rsidRDefault="00B7584D" w14:paraId="23E8CA55" w14:textId="77777777">
            <w:pPr>
              <w:pStyle w:val="Ruller4"/>
              <w:numPr>
                <w:ilvl w:val="0"/>
                <w:numId w:val="0"/>
              </w:numPr>
              <w:spacing w:before="120" w:after="120" w:line="240" w:lineRule="auto"/>
              <w:ind w:left="720"/>
              <w:rPr>
                <w:rFonts w:ascii="Arial" w:hAnsi="Arial" w:cs="David"/>
                <w:b/>
                <w:bCs/>
                <w:sz w:val="24"/>
                <w:szCs w:val="24"/>
                <w:rtl/>
              </w:rPr>
            </w:pPr>
            <w:r w:rsidRPr="00DC28FC">
              <w:rPr>
                <w:rFonts w:hint="cs" w:cs="FrankRuehl"/>
                <w:sz w:val="24"/>
                <w:szCs w:val="24"/>
                <w:rtl/>
              </w:rPr>
              <w:t>"</w:t>
            </w:r>
            <w:r w:rsidRPr="00DC28FC">
              <w:rPr>
                <w:rFonts w:cs="FrankRuehl"/>
                <w:sz w:val="24"/>
                <w:szCs w:val="24"/>
                <w:rtl/>
              </w:rPr>
              <w:t xml:space="preserve">כמובן שהוכחת קיומו של היסוד הנפשי של מטרה, הנדרש לפי </w:t>
            </w:r>
            <w:hyperlink w:history="1" r:id="rId9">
              <w:r w:rsidRPr="00DC28FC">
                <w:rPr>
                  <w:rFonts w:cs="FrankRuehl"/>
                  <w:sz w:val="24"/>
                  <w:szCs w:val="24"/>
                  <w:rtl/>
                </w:rPr>
                <w:t>סעיף 220</w:t>
              </w:r>
            </w:hyperlink>
            <w:r w:rsidRPr="00DC28FC">
              <w:rPr>
                <w:rFonts w:cs="FrankRuehl"/>
                <w:sz w:val="24"/>
                <w:szCs w:val="24"/>
                <w:rtl/>
              </w:rPr>
              <w:t xml:space="preserve"> ל</w:t>
            </w:r>
            <w:hyperlink w:history="1" r:id="rId10">
              <w:r w:rsidRPr="00DC28FC">
                <w:rPr>
                  <w:rFonts w:cs="FrankRuehl"/>
                  <w:sz w:val="24"/>
                  <w:szCs w:val="24"/>
                  <w:rtl/>
                </w:rPr>
                <w:t>פקודת מס הכנסה</w:t>
              </w:r>
            </w:hyperlink>
            <w:r w:rsidRPr="00DC28FC">
              <w:rPr>
                <w:rFonts w:cs="FrankRuehl"/>
                <w:sz w:val="24"/>
                <w:szCs w:val="24"/>
                <w:rtl/>
              </w:rPr>
              <w:t>, מוטלת על התביעה, בהיותו יסוד מרכזי ממרכיבי העבירה. אלא שעקב אופיין המיוחד של העבירות מתחום המס בפרט, והעבירות הפיסקאליות בכלל, לא ניתן במרבית המקרים להוכיחו אלא על-ידי הנסיבות, התנהגותו ומעשיו החיצוניים של הנאשם. במקרים אלו עשויות הנסיבות בצירוף התנהגותו של הנאשם להביא אל המסקנה כי הכוונה להתחמק ממס נובעת מעצם המעשה. כך לדוגמא, מקרים שבהם הנאשם פועל באחד מן האופנים שלהלן: מסתיר מקור הכנסה שלם או מנהלו בשם אחר או בשם בדוי; מעלים חשבון בנק שבו מחזור משמעותי או מנהלו בשם אחר או בשם בדוי; מנהל שתי מערכות פנקסי חשבונות, האחת שונה מרעתה; נעדרים מסמכים נאותים או ספרי חשבונות נאותים, שראוי היה שהנאשם יקיים בהתחשב בנסיבותיו. במקרים אלו עשויה להלמד הכוונה להתחמק ממס ממעשיו של הנישום אלא אם יש בפיו הסבר סביר למעשה, שבכוחו לעורר ספק בלב בית המשפט לעניין כוונתו להתחמק מתשלום מס</w:t>
            </w:r>
            <w:r w:rsidRPr="00DC28FC" w:rsidR="006E0643">
              <w:rPr>
                <w:rFonts w:hint="cs" w:ascii="Arial" w:hAnsi="Arial"/>
                <w:sz w:val="24"/>
                <w:szCs w:val="24"/>
                <w:rtl/>
              </w:rPr>
              <w:t xml:space="preserve">" </w:t>
            </w:r>
            <w:r w:rsidRPr="00DC28FC" w:rsidR="006E0643">
              <w:rPr>
                <w:rFonts w:hint="cs" w:ascii="Arial" w:hAnsi="Arial" w:cs="David"/>
                <w:sz w:val="24"/>
                <w:szCs w:val="24"/>
                <w:rtl/>
              </w:rPr>
              <w:t xml:space="preserve">(ע"פ 5529/12 </w:t>
            </w:r>
            <w:r w:rsidRPr="00DC28FC" w:rsidR="006E0643">
              <w:rPr>
                <w:rFonts w:hint="cs" w:ascii="Arial" w:hAnsi="Arial" w:cs="David"/>
                <w:b/>
                <w:bCs/>
                <w:sz w:val="24"/>
                <w:szCs w:val="24"/>
                <w:rtl/>
              </w:rPr>
              <w:t>אוהב ציון ואח' נ' מדינת ישראל</w:t>
            </w:r>
            <w:r w:rsidRPr="00DC28FC" w:rsidR="006E0643">
              <w:rPr>
                <w:rFonts w:hint="cs" w:ascii="Arial" w:hAnsi="Arial" w:cs="David"/>
                <w:sz w:val="24"/>
                <w:szCs w:val="24"/>
                <w:rtl/>
              </w:rPr>
              <w:t>, פס' 25 לפסק דינו של השופט דנציגר (9.11.14).</w:t>
            </w:r>
            <w:r w:rsidRPr="00DC28FC" w:rsidR="00C726E8">
              <w:rPr>
                <w:rFonts w:hint="cs" w:ascii="Arial" w:hAnsi="Arial" w:cs="David"/>
                <w:sz w:val="24"/>
                <w:szCs w:val="24"/>
                <w:rtl/>
              </w:rPr>
              <w:t xml:space="preserve"> ראו גם ע"פ 1182/99 </w:t>
            </w:r>
            <w:r w:rsidRPr="00DC28FC" w:rsidR="00C726E8">
              <w:rPr>
                <w:rFonts w:hint="cs" w:ascii="Arial" w:hAnsi="Arial" w:cs="David"/>
                <w:b/>
                <w:bCs/>
                <w:sz w:val="24"/>
                <w:szCs w:val="24"/>
                <w:rtl/>
              </w:rPr>
              <w:t xml:space="preserve">הורביץ נ' מדינת ישראל </w:t>
            </w:r>
            <w:r w:rsidRPr="00DC28FC" w:rsidR="00C726E8">
              <w:rPr>
                <w:rFonts w:hint="cs" w:ascii="Arial" w:hAnsi="Arial" w:cs="David"/>
                <w:sz w:val="24"/>
                <w:szCs w:val="24"/>
                <w:rtl/>
              </w:rPr>
              <w:t>(7.9.00)</w:t>
            </w:r>
            <w:r w:rsidR="008A29C5">
              <w:rPr>
                <w:rFonts w:hint="cs" w:ascii="Arial" w:hAnsi="Arial" w:cs="David"/>
                <w:sz w:val="24"/>
                <w:szCs w:val="24"/>
                <w:rtl/>
              </w:rPr>
              <w:t>)</w:t>
            </w:r>
            <w:r w:rsidRPr="00DC28FC" w:rsidR="00C726E8">
              <w:rPr>
                <w:rFonts w:hint="cs" w:ascii="Arial" w:hAnsi="Arial" w:cs="David"/>
                <w:sz w:val="24"/>
                <w:szCs w:val="24"/>
                <w:rtl/>
              </w:rPr>
              <w:t>.</w:t>
            </w:r>
            <w:r w:rsidRPr="00DC28FC" w:rsidR="00C726E8">
              <w:rPr>
                <w:rFonts w:hint="cs" w:ascii="Arial" w:hAnsi="Arial" w:cs="David"/>
                <w:b/>
                <w:bCs/>
                <w:sz w:val="24"/>
                <w:szCs w:val="24"/>
                <w:rtl/>
              </w:rPr>
              <w:t xml:space="preserve"> </w:t>
            </w:r>
          </w:p>
          <w:p w:rsidRPr="00DC28FC" w:rsidR="004D6158" w:rsidP="000B77D4" w:rsidRDefault="00240C86" w14:paraId="34A6D9B3" w14:textId="77777777">
            <w:pPr>
              <w:pStyle w:val="ab"/>
              <w:numPr>
                <w:ilvl w:val="0"/>
                <w:numId w:val="7"/>
              </w:numPr>
              <w:tabs>
                <w:tab w:val="num" w:pos="279"/>
                <w:tab w:val="left" w:pos="386"/>
                <w:tab w:val="left" w:pos="8306"/>
              </w:tabs>
              <w:spacing w:before="120" w:after="120" w:line="360" w:lineRule="auto"/>
              <w:contextualSpacing w:val="0"/>
              <w:jc w:val="both"/>
            </w:pPr>
            <w:r w:rsidRPr="00DC28FC">
              <w:rPr>
                <w:rFonts w:hint="cs" w:ascii="Arial" w:hAnsi="Arial"/>
                <w:rtl/>
              </w:rPr>
              <w:t xml:space="preserve">בחינת חומר הראיות מעלה </w:t>
            </w:r>
            <w:r w:rsidRPr="00DC28FC" w:rsidR="004D6158">
              <w:rPr>
                <w:rFonts w:hint="cs" w:ascii="Arial" w:hAnsi="Arial"/>
                <w:rtl/>
              </w:rPr>
              <w:t xml:space="preserve">קיומו של ספק סביר בשאלה האם הנאשם נמנע מהגשת הדוחות לפקיד השומה מתוך כוונה להתחמק מתשלום מס. </w:t>
            </w:r>
            <w:r w:rsidR="008A29C5">
              <w:rPr>
                <w:rFonts w:hint="cs" w:ascii="Arial" w:hAnsi="Arial"/>
                <w:rtl/>
              </w:rPr>
              <w:t xml:space="preserve">המדובר בספק: </w:t>
            </w:r>
            <w:r w:rsidRPr="00DC28FC" w:rsidR="008750F7">
              <w:rPr>
                <w:rFonts w:hint="cs" w:ascii="Arial" w:hAnsi="Arial"/>
                <w:rtl/>
              </w:rPr>
              <w:t xml:space="preserve">התביעה הצליחה להציג ראיות התומכות בתזה שבכתב האישום. ועם זאת, </w:t>
            </w:r>
            <w:r w:rsidRPr="00DC28FC" w:rsidR="003B34A4">
              <w:rPr>
                <w:rFonts w:hint="cs" w:ascii="Arial" w:hAnsi="Arial"/>
                <w:rtl/>
              </w:rPr>
              <w:t xml:space="preserve">מידת ההוכחה הנדרשת ממנה גבוהה, </w:t>
            </w:r>
            <w:r w:rsidRPr="00DC28FC" w:rsidR="008750F7">
              <w:rPr>
                <w:rFonts w:hint="cs" w:ascii="Arial" w:hAnsi="Arial"/>
                <w:rtl/>
              </w:rPr>
              <w:lastRenderedPageBreak/>
              <w:t xml:space="preserve">ועליה להראות בדרגה </w:t>
            </w:r>
            <w:r w:rsidR="000B77D4">
              <w:rPr>
                <w:rFonts w:hint="cs" w:ascii="Arial" w:hAnsi="Arial"/>
                <w:rtl/>
              </w:rPr>
              <w:t xml:space="preserve">שמעל לספק </w:t>
            </w:r>
            <w:r w:rsidRPr="00DC28FC" w:rsidR="008750F7">
              <w:rPr>
                <w:rFonts w:hint="cs" w:ascii="Arial" w:hAnsi="Arial"/>
                <w:rtl/>
              </w:rPr>
              <w:t>כי התקיים היסוד הנפשי החפצי הנדרש בעבירה</w:t>
            </w:r>
            <w:r w:rsidR="000B77D4">
              <w:rPr>
                <w:rFonts w:hint="cs" w:ascii="Arial" w:hAnsi="Arial"/>
                <w:rtl/>
              </w:rPr>
              <w:t>. יסוד,</w:t>
            </w:r>
            <w:r w:rsidRPr="00DC28FC" w:rsidR="008750F7">
              <w:rPr>
                <w:rFonts w:hint="cs" w:ascii="Arial" w:hAnsi="Arial"/>
                <w:rtl/>
              </w:rPr>
              <w:t xml:space="preserve"> אשר חורג </w:t>
            </w:r>
            <w:r w:rsidRPr="00DC28FC" w:rsidR="004D6158">
              <w:rPr>
                <w:rFonts w:hint="cs"/>
                <w:rtl/>
              </w:rPr>
              <w:t>מגדר מודעות לטיב ההתנהגות ולאפשרות גרימת התוצאה ועוסק בחפץ הלב</w:t>
            </w:r>
            <w:r w:rsidRPr="00DC28FC" w:rsidR="008750F7">
              <w:rPr>
                <w:rFonts w:hint="cs"/>
                <w:rtl/>
              </w:rPr>
              <w:t xml:space="preserve"> (היינו, בשאלת </w:t>
            </w:r>
            <w:r w:rsidRPr="00DC28FC" w:rsidR="004D6158">
              <w:rPr>
                <w:rFonts w:hint="cs"/>
                <w:rtl/>
              </w:rPr>
              <w:t xml:space="preserve">היחס </w:t>
            </w:r>
            <w:r w:rsidRPr="00DC28FC" w:rsidR="008750F7">
              <w:rPr>
                <w:rFonts w:hint="cs"/>
                <w:rtl/>
              </w:rPr>
              <w:t xml:space="preserve">של העושה </w:t>
            </w:r>
            <w:r w:rsidRPr="00DC28FC" w:rsidR="004D6158">
              <w:rPr>
                <w:rFonts w:hint="cs"/>
                <w:rtl/>
              </w:rPr>
              <w:t>לתוצאה</w:t>
            </w:r>
            <w:r w:rsidRPr="00DC28FC" w:rsidR="008750F7">
              <w:rPr>
                <w:rFonts w:hint="cs"/>
                <w:rtl/>
              </w:rPr>
              <w:t>)</w:t>
            </w:r>
            <w:r w:rsidRPr="00DC28FC" w:rsidR="004D6158">
              <w:rPr>
                <w:rFonts w:hint="cs"/>
                <w:rtl/>
              </w:rPr>
              <w:t>. בהקשר</w:t>
            </w:r>
            <w:r w:rsidRPr="00DC28FC" w:rsidR="008750F7">
              <w:rPr>
                <w:rFonts w:hint="cs"/>
                <w:rtl/>
              </w:rPr>
              <w:t xml:space="preserve">ה של </w:t>
            </w:r>
            <w:r w:rsidRPr="00DC28FC" w:rsidR="004D6158">
              <w:rPr>
                <w:rFonts w:hint="cs"/>
                <w:rtl/>
              </w:rPr>
              <w:t>הע</w:t>
            </w:r>
            <w:r w:rsidRPr="00DC28FC" w:rsidR="008750F7">
              <w:rPr>
                <w:rFonts w:hint="cs"/>
                <w:rtl/>
              </w:rPr>
              <w:t xml:space="preserve">בירה לפי סעיף 220 הנזכר לעיל מדובר במעשים המבוצעים מתוך שאיפה חפצית של העושה להתחמק מתשלום מס, ולא די בידיעתו כי ההימנעות מדיווח, או דיווח חלקי, עשויים להביא להתחמקות כאמור. מנגד, לא די בספק תיאורטי, ספקולטיבי או רחוק, ועליו </w:t>
            </w:r>
            <w:r w:rsidRPr="00DC28FC" w:rsidR="00277191">
              <w:rPr>
                <w:rFonts w:hint="cs"/>
                <w:rtl/>
              </w:rPr>
              <w:t xml:space="preserve">להיות </w:t>
            </w:r>
            <w:r w:rsidRPr="00DC28FC" w:rsidR="00277191">
              <w:rPr>
                <w:rFonts w:hint="cs" w:ascii="Times New Roman" w:hAnsi="Times New Roman"/>
                <w:rtl/>
                <w:lang w:eastAsia="he-IL"/>
              </w:rPr>
              <w:t>"</w:t>
            </w:r>
            <w:r w:rsidRPr="00DC28FC" w:rsidR="004D6158">
              <w:rPr>
                <w:rFonts w:cs="FrankRuehl"/>
                <w:rtl/>
              </w:rPr>
              <w:t xml:space="preserve">ספק ממשי שיש לו עוגן ואחיזה בחומר הראיות [...] ספק סביר מתקיים כאשר ניתן להסיק מהראיות מסקנה המתיישבת עם חפות הנאשם שהסתברותה אינה אפסית אלא ממשית" </w:t>
            </w:r>
            <w:r w:rsidRPr="00DC28FC" w:rsidR="004D6158">
              <w:rPr>
                <w:rtl/>
              </w:rPr>
              <w:t xml:space="preserve">(ע"פ 6295/05 </w:t>
            </w:r>
            <w:r w:rsidRPr="00DC28FC" w:rsidR="004D6158">
              <w:rPr>
                <w:b/>
                <w:bCs/>
                <w:rtl/>
              </w:rPr>
              <w:t>וקנין נ' מדינת ישראל</w:t>
            </w:r>
            <w:r w:rsidRPr="00DC28FC" w:rsidR="004D6158">
              <w:rPr>
                <w:rtl/>
              </w:rPr>
              <w:t xml:space="preserve">, פס' 41-52 (25.1.07)). </w:t>
            </w:r>
            <w:r w:rsidR="008A29C5">
              <w:rPr>
                <w:rFonts w:hint="cs"/>
                <w:rtl/>
              </w:rPr>
              <w:t xml:space="preserve">הראיות שלפניי מקיימות דרישה זו.  </w:t>
            </w:r>
          </w:p>
          <w:p w:rsidRPr="00DC28FC" w:rsidR="004D6158" w:rsidP="00E871E4" w:rsidRDefault="004D6158" w14:paraId="7FFA720E" w14:textId="77777777">
            <w:pPr>
              <w:spacing w:before="120" w:after="120"/>
              <w:jc w:val="both"/>
              <w:rPr>
                <w:rFonts w:ascii="Arial" w:hAnsi="Arial"/>
                <w:rtl/>
              </w:rPr>
            </w:pPr>
          </w:p>
          <w:p w:rsidRPr="00DC28FC" w:rsidR="00277191" w:rsidP="00DC28FC" w:rsidRDefault="00277191" w14:paraId="45F66E9C" w14:textId="77777777">
            <w:pPr>
              <w:spacing w:before="120" w:after="120" w:line="360" w:lineRule="auto"/>
              <w:jc w:val="both"/>
              <w:rPr>
                <w:rFonts w:ascii="Arial" w:hAnsi="Arial"/>
                <w:b/>
                <w:bCs/>
              </w:rPr>
            </w:pPr>
            <w:r w:rsidRPr="00DC28FC">
              <w:rPr>
                <w:rFonts w:hint="cs" w:ascii="Arial" w:hAnsi="Arial"/>
                <w:b/>
                <w:bCs/>
                <w:rtl/>
              </w:rPr>
              <w:t>על הראיות הפועלות לביסוס תזת התביעה</w:t>
            </w:r>
          </w:p>
          <w:p w:rsidRPr="008A29C5" w:rsidR="00240C86" w:rsidP="00C36CFC" w:rsidRDefault="008A29C5" w14:paraId="19FE2353" w14:textId="77777777">
            <w:pPr>
              <w:pStyle w:val="ab"/>
              <w:numPr>
                <w:ilvl w:val="0"/>
                <w:numId w:val="7"/>
              </w:numPr>
              <w:spacing w:before="120" w:after="120" w:line="360" w:lineRule="auto"/>
              <w:contextualSpacing w:val="0"/>
              <w:jc w:val="both"/>
              <w:rPr>
                <w:rFonts w:ascii="Arial" w:hAnsi="Arial"/>
              </w:rPr>
            </w:pPr>
            <w:r w:rsidRPr="008A29C5">
              <w:rPr>
                <w:rFonts w:hint="cs" w:ascii="Arial" w:hAnsi="Arial"/>
                <w:rtl/>
              </w:rPr>
              <w:t>טרם אעסוק בספק המתעורר, יובאו הראיות הפועלות לחובת הנאש</w:t>
            </w:r>
            <w:r>
              <w:rPr>
                <w:rFonts w:hint="cs" w:ascii="Arial" w:hAnsi="Arial"/>
                <w:rtl/>
              </w:rPr>
              <w:t>מי</w:t>
            </w:r>
            <w:r w:rsidRPr="008A29C5">
              <w:rPr>
                <w:rFonts w:hint="cs" w:ascii="Arial" w:hAnsi="Arial"/>
                <w:rtl/>
              </w:rPr>
              <w:t xml:space="preserve">ם. </w:t>
            </w:r>
            <w:r w:rsidRPr="008A29C5" w:rsidR="00277191">
              <w:rPr>
                <w:rFonts w:hint="cs" w:ascii="Arial" w:hAnsi="Arial"/>
                <w:rtl/>
              </w:rPr>
              <w:t xml:space="preserve">המדובר כאמור בראיות </w:t>
            </w:r>
            <w:r w:rsidRPr="008A29C5" w:rsidR="00BE2D85">
              <w:rPr>
                <w:rFonts w:hint="cs" w:ascii="Arial" w:hAnsi="Arial"/>
                <w:rtl/>
              </w:rPr>
              <w:t>שמשקלן אינו מבוטל</w:t>
            </w:r>
            <w:r w:rsidRPr="008A29C5" w:rsidR="00277191">
              <w:rPr>
                <w:rFonts w:hint="cs" w:ascii="Arial" w:hAnsi="Arial"/>
                <w:rtl/>
              </w:rPr>
              <w:t xml:space="preserve">. הנאשמים הודו כי נמנעו מדיווח </w:t>
            </w:r>
            <w:r w:rsidRPr="008A29C5" w:rsidR="00240C86">
              <w:rPr>
                <w:rFonts w:hint="cs" w:ascii="Arial" w:hAnsi="Arial"/>
                <w:rtl/>
              </w:rPr>
              <w:t xml:space="preserve">על הכנסות בסכומים </w:t>
            </w:r>
            <w:r w:rsidRPr="008A29C5" w:rsidR="00BE2D85">
              <w:rPr>
                <w:rFonts w:hint="cs" w:ascii="Arial" w:hAnsi="Arial"/>
                <w:rtl/>
              </w:rPr>
              <w:t xml:space="preserve">של ממש </w:t>
            </w:r>
            <w:r w:rsidRPr="008A29C5" w:rsidR="00240C86">
              <w:rPr>
                <w:rFonts w:hint="cs" w:ascii="Arial" w:hAnsi="Arial"/>
                <w:rtl/>
              </w:rPr>
              <w:t>כמפורט לעיל, ולאורך שנים</w:t>
            </w:r>
            <w:r w:rsidRPr="008A29C5" w:rsidR="002951E2">
              <w:rPr>
                <w:rFonts w:hint="cs" w:ascii="Arial" w:hAnsi="Arial"/>
                <w:rtl/>
              </w:rPr>
              <w:t xml:space="preserve">. </w:t>
            </w:r>
            <w:r w:rsidRPr="008A29C5" w:rsidR="00BE2D85">
              <w:rPr>
                <w:rFonts w:hint="cs" w:ascii="Arial" w:hAnsi="Arial"/>
                <w:rtl/>
              </w:rPr>
              <w:t xml:space="preserve">דובר בהכנסות מעסק, שפעילותו תוארה בעדותה של גב' נאוה דואק (להלן: "נאוה"). </w:t>
            </w:r>
          </w:p>
          <w:p w:rsidRPr="00DC28FC" w:rsidR="00C30A09" w:rsidP="008A29C5" w:rsidRDefault="00AA6B09" w14:paraId="459DFA06"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נאוה </w:t>
            </w:r>
            <w:r w:rsidRPr="00DC28FC" w:rsidR="00BE2D85">
              <w:rPr>
                <w:rFonts w:hint="cs" w:ascii="Arial" w:hAnsi="Arial"/>
                <w:rtl/>
              </w:rPr>
              <w:t xml:space="preserve">סיפרה בעדותה </w:t>
            </w:r>
            <w:r w:rsidRPr="00DC28FC">
              <w:rPr>
                <w:rFonts w:hint="cs" w:ascii="Arial" w:hAnsi="Arial"/>
                <w:rtl/>
              </w:rPr>
              <w:t xml:space="preserve">כי דובר בחנות </w:t>
            </w:r>
            <w:r w:rsidRPr="00DC28FC" w:rsidR="0099638C">
              <w:rPr>
                <w:rFonts w:hint="cs" w:ascii="Arial" w:hAnsi="Arial"/>
                <w:rtl/>
              </w:rPr>
              <w:t xml:space="preserve">קטנה </w:t>
            </w:r>
            <w:r w:rsidRPr="00DC28FC">
              <w:rPr>
                <w:rFonts w:hint="cs" w:ascii="Arial" w:hAnsi="Arial"/>
                <w:rtl/>
              </w:rPr>
              <w:t>לממכר פרחים ועציצים ב</w:t>
            </w:r>
            <w:r w:rsidR="008A29C5">
              <w:rPr>
                <w:rFonts w:hint="cs" w:ascii="Arial" w:hAnsi="Arial"/>
                <w:rtl/>
              </w:rPr>
              <w:t>רחוב כנפי נשרים ב</w:t>
            </w:r>
            <w:r w:rsidRPr="00DC28FC">
              <w:rPr>
                <w:rFonts w:hint="cs" w:ascii="Arial" w:hAnsi="Arial"/>
                <w:rtl/>
              </w:rPr>
              <w:t>ירושלים</w:t>
            </w:r>
            <w:r w:rsidRPr="00DC28FC" w:rsidR="0099638C">
              <w:rPr>
                <w:rFonts w:hint="cs" w:ascii="Arial" w:hAnsi="Arial"/>
                <w:rtl/>
              </w:rPr>
              <w:t xml:space="preserve">. היא </w:t>
            </w:r>
            <w:r w:rsidRPr="00DC28FC">
              <w:rPr>
                <w:rFonts w:hint="cs" w:ascii="Arial" w:hAnsi="Arial"/>
                <w:rtl/>
              </w:rPr>
              <w:t>עבדה במקום משנת 1999 ועד לשנת 2013, וברוב</w:t>
            </w:r>
            <w:r w:rsidRPr="00DC28FC" w:rsidR="0099638C">
              <w:rPr>
                <w:rFonts w:hint="cs" w:ascii="Arial" w:hAnsi="Arial"/>
                <w:rtl/>
              </w:rPr>
              <w:t xml:space="preserve">ה המכריע של </w:t>
            </w:r>
            <w:r w:rsidRPr="00DC28FC">
              <w:rPr>
                <w:rFonts w:hint="cs" w:ascii="Arial" w:hAnsi="Arial"/>
                <w:rtl/>
              </w:rPr>
              <w:t xml:space="preserve">התקופה שימש </w:t>
            </w:r>
            <w:r w:rsidR="008A29C5">
              <w:rPr>
                <w:rFonts w:hint="cs" w:ascii="Arial" w:hAnsi="Arial"/>
                <w:rtl/>
              </w:rPr>
              <w:t>הנאשם כבעל העסק</w:t>
            </w:r>
            <w:r w:rsidRPr="00DC28FC">
              <w:rPr>
                <w:rFonts w:hint="cs" w:ascii="Arial" w:hAnsi="Arial"/>
                <w:rtl/>
              </w:rPr>
              <w:t xml:space="preserve">. מעדותה עלה כי ניהול החנות בפועל הופקד בידיה, היא עבדה במקום לבדה וטיפלה בכל ההיבטים </w:t>
            </w:r>
            <w:r w:rsidRPr="00DC28FC" w:rsidR="0099638C">
              <w:rPr>
                <w:rFonts w:hint="cs" w:ascii="Arial" w:hAnsi="Arial"/>
                <w:rtl/>
              </w:rPr>
              <w:t xml:space="preserve">השוטפים </w:t>
            </w:r>
            <w:r w:rsidRPr="00DC28FC">
              <w:rPr>
                <w:rFonts w:hint="cs" w:ascii="Arial" w:hAnsi="Arial"/>
                <w:rtl/>
              </w:rPr>
              <w:t>לרבות מכירות</w:t>
            </w:r>
            <w:r w:rsidRPr="00DC28FC" w:rsidR="0099638C">
              <w:rPr>
                <w:rFonts w:hint="cs" w:ascii="Arial" w:hAnsi="Arial"/>
                <w:rtl/>
              </w:rPr>
              <w:t xml:space="preserve">, </w:t>
            </w:r>
            <w:r w:rsidRPr="00DC28FC">
              <w:rPr>
                <w:rFonts w:hint="cs" w:ascii="Arial" w:hAnsi="Arial"/>
                <w:rtl/>
              </w:rPr>
              <w:t xml:space="preserve">הזמנת סחורה </w:t>
            </w:r>
            <w:r w:rsidRPr="00DC28FC" w:rsidR="0099638C">
              <w:rPr>
                <w:rFonts w:hint="cs" w:ascii="Arial" w:hAnsi="Arial"/>
                <w:rtl/>
              </w:rPr>
              <w:t>וניהול כספי</w:t>
            </w:r>
            <w:r w:rsidRPr="00DC28FC" w:rsidR="00C05FB1">
              <w:rPr>
                <w:rFonts w:hint="cs" w:ascii="Arial" w:hAnsi="Arial"/>
                <w:rtl/>
              </w:rPr>
              <w:t xml:space="preserve"> </w:t>
            </w:r>
            <w:r w:rsidR="008A29C5">
              <w:rPr>
                <w:rFonts w:hint="cs" w:ascii="Arial" w:hAnsi="Arial"/>
                <w:rtl/>
              </w:rPr>
              <w:t xml:space="preserve">(כולל </w:t>
            </w:r>
            <w:r w:rsidRPr="00DC28FC" w:rsidR="00C05FB1">
              <w:rPr>
                <w:rFonts w:hint="cs" w:ascii="Arial" w:hAnsi="Arial"/>
                <w:rtl/>
              </w:rPr>
              <w:t>תשלום לספקים וניהול החשבונות</w:t>
            </w:r>
            <w:r w:rsidR="008A29C5">
              <w:rPr>
                <w:rFonts w:hint="cs" w:ascii="Arial" w:hAnsi="Arial"/>
                <w:rtl/>
              </w:rPr>
              <w:t>)</w:t>
            </w:r>
            <w:r w:rsidRPr="00DC28FC">
              <w:rPr>
                <w:rFonts w:hint="cs" w:ascii="Arial" w:hAnsi="Arial"/>
                <w:rtl/>
              </w:rPr>
              <w:t xml:space="preserve">. בכלל זה </w:t>
            </w:r>
            <w:r w:rsidRPr="00DC28FC" w:rsidR="0099638C">
              <w:rPr>
                <w:rFonts w:hint="cs" w:ascii="Arial" w:hAnsi="Arial"/>
                <w:rtl/>
              </w:rPr>
              <w:t xml:space="preserve">סיפרה שבדקה את הפדיון מדי יום ודיווחה עליו טלפונית לנאשם, וכי מדי חודש ערכה סיכום הכנסות והוצאות ומסרה </w:t>
            </w:r>
            <w:r w:rsidR="008A29C5">
              <w:rPr>
                <w:rFonts w:hint="cs" w:ascii="Arial" w:hAnsi="Arial"/>
                <w:rtl/>
              </w:rPr>
              <w:t xml:space="preserve">לנאשם </w:t>
            </w:r>
            <w:r w:rsidRPr="00DC28FC" w:rsidR="0099638C">
              <w:rPr>
                <w:rFonts w:hint="cs" w:ascii="Arial" w:hAnsi="Arial"/>
                <w:rtl/>
              </w:rPr>
              <w:t xml:space="preserve">את </w:t>
            </w:r>
            <w:r w:rsidR="008A29C5">
              <w:rPr>
                <w:rFonts w:hint="cs" w:ascii="Arial" w:hAnsi="Arial"/>
                <w:rtl/>
              </w:rPr>
              <w:t>ה</w:t>
            </w:r>
            <w:r w:rsidRPr="00DC28FC" w:rsidR="0099638C">
              <w:rPr>
                <w:rFonts w:hint="cs" w:ascii="Arial" w:hAnsi="Arial"/>
                <w:rtl/>
              </w:rPr>
              <w:t>סכום</w:t>
            </w:r>
            <w:r w:rsidR="008A29C5">
              <w:rPr>
                <w:rFonts w:hint="cs" w:ascii="Arial" w:hAnsi="Arial"/>
                <w:rtl/>
              </w:rPr>
              <w:t xml:space="preserve"> אותו יש לשלם לרשויות כתשלום </w:t>
            </w:r>
            <w:r w:rsidRPr="00DC28FC" w:rsidR="0099638C">
              <w:rPr>
                <w:rFonts w:hint="cs" w:ascii="Arial" w:hAnsi="Arial"/>
                <w:rtl/>
              </w:rPr>
              <w:t xml:space="preserve">מע"מ. נאוה </w:t>
            </w:r>
            <w:r w:rsidRPr="00DC28FC">
              <w:rPr>
                <w:rFonts w:hint="cs" w:ascii="Arial" w:hAnsi="Arial"/>
                <w:rtl/>
              </w:rPr>
              <w:t>ידעה לנקוב בהיקפי ההכנסות וההוצאות</w:t>
            </w:r>
            <w:r w:rsidRPr="00DC28FC" w:rsidR="0099638C">
              <w:rPr>
                <w:rFonts w:hint="cs" w:ascii="Arial" w:hAnsi="Arial"/>
                <w:rtl/>
              </w:rPr>
              <w:t>, המציגות רווח נמוך</w:t>
            </w:r>
            <w:r w:rsidR="008A29C5">
              <w:rPr>
                <w:rFonts w:hint="cs" w:ascii="Arial" w:hAnsi="Arial"/>
                <w:rtl/>
              </w:rPr>
              <w:t xml:space="preserve"> אם בכלל:</w:t>
            </w:r>
            <w:r w:rsidRPr="00DC28FC" w:rsidR="0099638C">
              <w:rPr>
                <w:rFonts w:hint="cs" w:ascii="Arial" w:hAnsi="Arial"/>
                <w:rtl/>
              </w:rPr>
              <w:t xml:space="preserve"> </w:t>
            </w:r>
            <w:r w:rsidRPr="00DC28FC">
              <w:rPr>
                <w:rFonts w:hint="cs" w:ascii="Arial" w:hAnsi="Arial"/>
                <w:rtl/>
              </w:rPr>
              <w:t>הכנסות של כ-30 אלף ₪ לחודש, הוצאות ספקים שבין 12-15 אלף ₪, שכירות של כ-3,000 ₪</w:t>
            </w:r>
            <w:r w:rsidRPr="00DC28FC" w:rsidR="00A67AD0">
              <w:rPr>
                <w:rFonts w:hint="cs" w:ascii="Arial" w:hAnsi="Arial"/>
                <w:rtl/>
              </w:rPr>
              <w:t xml:space="preserve">, </w:t>
            </w:r>
            <w:r w:rsidRPr="00DC28FC">
              <w:rPr>
                <w:rFonts w:hint="cs" w:ascii="Arial" w:hAnsi="Arial"/>
                <w:rtl/>
              </w:rPr>
              <w:t>משכורתה בגובה</w:t>
            </w:r>
            <w:r w:rsidRPr="00DC28FC" w:rsidR="00C05FB1">
              <w:rPr>
                <w:rFonts w:hint="cs" w:ascii="Arial" w:hAnsi="Arial"/>
                <w:rtl/>
              </w:rPr>
              <w:t xml:space="preserve"> של כ-8,500 ₪ ברוטו</w:t>
            </w:r>
            <w:r w:rsidRPr="00DC28FC" w:rsidR="00C30A09">
              <w:rPr>
                <w:rFonts w:hint="cs" w:ascii="Arial" w:hAnsi="Arial"/>
                <w:rtl/>
              </w:rPr>
              <w:t xml:space="preserve">, </w:t>
            </w:r>
            <w:r w:rsidRPr="00DC28FC" w:rsidR="00A67AD0">
              <w:rPr>
                <w:rFonts w:hint="cs" w:ascii="Arial" w:hAnsi="Arial"/>
                <w:rtl/>
              </w:rPr>
              <w:t xml:space="preserve">חשבונות ארנונה, מים וחשמל בסדרי גודל של מאות שקלים וכן </w:t>
            </w:r>
            <w:r w:rsidRPr="00DC28FC" w:rsidR="00C30A09">
              <w:rPr>
                <w:rFonts w:hint="cs" w:ascii="Arial" w:hAnsi="Arial"/>
                <w:rtl/>
              </w:rPr>
              <w:t xml:space="preserve">הוצאות נקודתיות כגון </w:t>
            </w:r>
            <w:r w:rsidRPr="00DC28FC" w:rsidR="00A67AD0">
              <w:rPr>
                <w:rFonts w:hint="cs" w:ascii="Arial" w:hAnsi="Arial"/>
                <w:rtl/>
              </w:rPr>
              <w:t xml:space="preserve">לצרכי </w:t>
            </w:r>
            <w:r w:rsidRPr="00DC28FC" w:rsidR="00C30A09">
              <w:rPr>
                <w:rFonts w:hint="cs" w:ascii="Arial" w:hAnsi="Arial"/>
                <w:rtl/>
              </w:rPr>
              <w:t xml:space="preserve">רישיון </w:t>
            </w:r>
            <w:r w:rsidRPr="00DC28FC" w:rsidR="00A67AD0">
              <w:rPr>
                <w:rFonts w:hint="cs" w:ascii="Arial" w:hAnsi="Arial"/>
                <w:rtl/>
              </w:rPr>
              <w:t>ה</w:t>
            </w:r>
            <w:r w:rsidRPr="00DC28FC" w:rsidR="00C30A09">
              <w:rPr>
                <w:rFonts w:hint="cs" w:ascii="Arial" w:hAnsi="Arial"/>
                <w:rtl/>
              </w:rPr>
              <w:t xml:space="preserve">עסק. </w:t>
            </w:r>
            <w:r w:rsidRPr="00DC28FC" w:rsidR="00C05FB1">
              <w:rPr>
                <w:rFonts w:hint="cs" w:ascii="Arial" w:hAnsi="Arial"/>
                <w:rtl/>
              </w:rPr>
              <w:t>לעדותה</w:t>
            </w:r>
            <w:r w:rsidR="007A621D">
              <w:rPr>
                <w:rFonts w:hint="cs" w:ascii="Arial" w:hAnsi="Arial"/>
                <w:rtl/>
              </w:rPr>
              <w:t>,</w:t>
            </w:r>
            <w:r w:rsidRPr="00DC28FC" w:rsidR="00C05FB1">
              <w:rPr>
                <w:rFonts w:hint="cs" w:ascii="Arial" w:hAnsi="Arial"/>
                <w:rtl/>
              </w:rPr>
              <w:t xml:space="preserve"> הנאשם משך את היתרה שנעה בין 2,000-4,000 ₪ </w:t>
            </w:r>
            <w:r w:rsidR="008A29C5">
              <w:rPr>
                <w:rFonts w:hint="cs" w:ascii="Arial" w:hAnsi="Arial"/>
                <w:rtl/>
              </w:rPr>
              <w:t>לחודש (</w:t>
            </w:r>
            <w:r w:rsidRPr="00DC28FC">
              <w:rPr>
                <w:rFonts w:hint="cs" w:ascii="Arial" w:hAnsi="Arial"/>
                <w:rtl/>
              </w:rPr>
              <w:t>פ/26</w:t>
            </w:r>
            <w:r w:rsidRPr="00DC28FC" w:rsidR="00C05FB1">
              <w:rPr>
                <w:rFonts w:hint="cs" w:ascii="Arial" w:hAnsi="Arial"/>
                <w:rtl/>
              </w:rPr>
              <w:t>-27</w:t>
            </w:r>
            <w:r w:rsidRPr="00DC28FC" w:rsidR="00A67AD0">
              <w:rPr>
                <w:rFonts w:hint="cs" w:ascii="Arial" w:hAnsi="Arial"/>
                <w:rtl/>
              </w:rPr>
              <w:t xml:space="preserve"> ו-29</w:t>
            </w:r>
            <w:r w:rsidRPr="00DC28FC">
              <w:rPr>
                <w:rFonts w:hint="cs" w:ascii="Arial" w:hAnsi="Arial"/>
                <w:rtl/>
              </w:rPr>
              <w:t xml:space="preserve">). </w:t>
            </w:r>
          </w:p>
          <w:p w:rsidRPr="00DC28FC" w:rsidR="0047289B" w:rsidP="007A621D" w:rsidRDefault="00C30A09" w14:paraId="588D8DF9"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בעדותה הקפידה נאוה לציין </w:t>
            </w:r>
            <w:r w:rsidR="008A29C5">
              <w:rPr>
                <w:rFonts w:hint="cs" w:ascii="Arial" w:hAnsi="Arial"/>
                <w:rtl/>
              </w:rPr>
              <w:t xml:space="preserve">כי עדכנה את הנאשם בפעילות העסק. </w:t>
            </w:r>
            <w:r w:rsidRPr="00DC28FC">
              <w:rPr>
                <w:rFonts w:hint="cs" w:ascii="Arial" w:hAnsi="Arial"/>
                <w:rtl/>
              </w:rPr>
              <w:t>בכלל זה ציינה את הדיווח הנזכר לעיל על הפדיון, ו</w:t>
            </w:r>
            <w:r w:rsidRPr="00DC28FC" w:rsidR="003B34A4">
              <w:rPr>
                <w:rFonts w:hint="cs" w:ascii="Arial" w:hAnsi="Arial"/>
                <w:rtl/>
              </w:rPr>
              <w:t>הזכירה הוראות ש</w:t>
            </w:r>
            <w:r w:rsidRPr="00DC28FC">
              <w:rPr>
                <w:rFonts w:hint="cs" w:ascii="Arial" w:hAnsi="Arial"/>
                <w:rtl/>
              </w:rPr>
              <w:t xml:space="preserve">קיבלה מהנאשם </w:t>
            </w:r>
            <w:r w:rsidR="008A29C5">
              <w:rPr>
                <w:rFonts w:hint="cs" w:ascii="Arial" w:hAnsi="Arial"/>
                <w:rtl/>
              </w:rPr>
              <w:t xml:space="preserve">ובפרט </w:t>
            </w:r>
            <w:r w:rsidRPr="00DC28FC" w:rsidR="00A67AD0">
              <w:rPr>
                <w:rFonts w:hint="cs" w:ascii="Arial" w:hAnsi="Arial"/>
                <w:rtl/>
              </w:rPr>
              <w:t>הנחיה להשתמש במזומנים שבקופה לתשלום כל ההוצאות וזאת לאחר שנקלע לקשיים והוגבל בבנק (פ/26).</w:t>
            </w:r>
            <w:r w:rsidRPr="00DC28FC" w:rsidR="005709E1">
              <w:rPr>
                <w:rFonts w:hint="cs" w:ascii="Arial" w:hAnsi="Arial"/>
                <w:rtl/>
              </w:rPr>
              <w:t xml:space="preserve"> המאשימה הציגה ראיות נוספות שנועדו להעיד על פעילות הנאשם בניהול העסק</w:t>
            </w:r>
            <w:r w:rsidRPr="00DC28FC" w:rsidR="00854869">
              <w:rPr>
                <w:rFonts w:hint="cs" w:ascii="Arial" w:hAnsi="Arial"/>
                <w:rtl/>
              </w:rPr>
              <w:t xml:space="preserve">: </w:t>
            </w:r>
            <w:r w:rsidRPr="00DC28FC" w:rsidR="005709E1">
              <w:rPr>
                <w:rFonts w:hint="cs" w:ascii="Arial" w:hAnsi="Arial"/>
                <w:rtl/>
              </w:rPr>
              <w:t xml:space="preserve">חתימתו על </w:t>
            </w:r>
            <w:r w:rsidRPr="00DC28FC" w:rsidR="00C657B4">
              <w:rPr>
                <w:rFonts w:hint="cs" w:ascii="Arial" w:hAnsi="Arial"/>
                <w:rtl/>
              </w:rPr>
              <w:t>פנ</w:t>
            </w:r>
            <w:r w:rsidR="008A29C5">
              <w:rPr>
                <w:rFonts w:hint="cs" w:ascii="Arial" w:hAnsi="Arial"/>
                <w:rtl/>
              </w:rPr>
              <w:t>י</w:t>
            </w:r>
            <w:r w:rsidRPr="00DC28FC" w:rsidR="00C657B4">
              <w:rPr>
                <w:rFonts w:hint="cs" w:ascii="Arial" w:hAnsi="Arial"/>
                <w:rtl/>
              </w:rPr>
              <w:t xml:space="preserve">יה לאגף </w:t>
            </w:r>
            <w:r w:rsidR="00FF6C49">
              <w:rPr>
                <w:rFonts w:hint="cs" w:ascii="Arial" w:hAnsi="Arial"/>
                <w:rtl/>
              </w:rPr>
              <w:t>ה</w:t>
            </w:r>
            <w:r w:rsidRPr="00DC28FC" w:rsidR="00C657B4">
              <w:rPr>
                <w:rFonts w:hint="cs" w:ascii="Arial" w:hAnsi="Arial"/>
                <w:rtl/>
              </w:rPr>
              <w:t>רישוי ו</w:t>
            </w:r>
            <w:r w:rsidR="00FF6C49">
              <w:rPr>
                <w:rFonts w:hint="cs" w:ascii="Arial" w:hAnsi="Arial"/>
                <w:rtl/>
              </w:rPr>
              <w:t>ה</w:t>
            </w:r>
            <w:r w:rsidRPr="00DC28FC" w:rsidR="00C657B4">
              <w:rPr>
                <w:rFonts w:hint="cs" w:ascii="Arial" w:hAnsi="Arial"/>
                <w:rtl/>
              </w:rPr>
              <w:t>פיקוח בעירי</w:t>
            </w:r>
            <w:r w:rsidR="00FF6C49">
              <w:rPr>
                <w:rFonts w:hint="cs" w:ascii="Arial" w:hAnsi="Arial"/>
                <w:rtl/>
              </w:rPr>
              <w:t>י</w:t>
            </w:r>
            <w:r w:rsidRPr="00DC28FC" w:rsidR="00C657B4">
              <w:rPr>
                <w:rFonts w:hint="cs" w:ascii="Arial" w:hAnsi="Arial"/>
                <w:rtl/>
              </w:rPr>
              <w:t>ה, על מסמכים הנוגעים להליך רישוי העסק ו</w:t>
            </w:r>
            <w:r w:rsidR="007A621D">
              <w:rPr>
                <w:rFonts w:hint="cs" w:ascii="Arial" w:hAnsi="Arial"/>
                <w:rtl/>
              </w:rPr>
              <w:t>ל</w:t>
            </w:r>
            <w:r w:rsidRPr="00DC28FC" w:rsidR="00C657B4">
              <w:rPr>
                <w:rFonts w:hint="cs" w:ascii="Arial" w:hAnsi="Arial"/>
                <w:rtl/>
              </w:rPr>
              <w:t xml:space="preserve">הכשרת חריגות בניה, </w:t>
            </w:r>
            <w:r w:rsidRPr="00DC28FC" w:rsidR="00854869">
              <w:rPr>
                <w:rFonts w:hint="cs" w:ascii="Arial" w:hAnsi="Arial"/>
                <w:rtl/>
              </w:rPr>
              <w:lastRenderedPageBreak/>
              <w:t xml:space="preserve">על פניות לבית המשפט לעניינים מקומיים ולספקים של העסק, על </w:t>
            </w:r>
            <w:r w:rsidRPr="00DC28FC" w:rsidR="005709E1">
              <w:rPr>
                <w:rFonts w:hint="cs" w:ascii="Arial" w:hAnsi="Arial"/>
                <w:rtl/>
              </w:rPr>
              <w:t>הסכם שכירות החנות ו</w:t>
            </w:r>
            <w:r w:rsidRPr="00DC28FC" w:rsidR="00854869">
              <w:rPr>
                <w:rFonts w:hint="cs" w:ascii="Arial" w:hAnsi="Arial"/>
                <w:rtl/>
              </w:rPr>
              <w:t xml:space="preserve">כן </w:t>
            </w:r>
            <w:r w:rsidRPr="00DC28FC" w:rsidR="005709E1">
              <w:rPr>
                <w:rFonts w:hint="cs" w:ascii="Arial" w:hAnsi="Arial"/>
                <w:rtl/>
              </w:rPr>
              <w:t xml:space="preserve">הופעתו כבעלים על רישיון העסק </w:t>
            </w:r>
            <w:r w:rsidRPr="00DC28FC" w:rsidR="00854869">
              <w:rPr>
                <w:rFonts w:hint="cs" w:ascii="Arial" w:hAnsi="Arial"/>
                <w:rtl/>
              </w:rPr>
              <w:t xml:space="preserve">ובאישור מורשה חתימה מטעם החברה </w:t>
            </w:r>
            <w:r w:rsidRPr="00DC28FC" w:rsidR="005709E1">
              <w:rPr>
                <w:rFonts w:hint="cs" w:ascii="Arial" w:hAnsi="Arial"/>
                <w:rtl/>
              </w:rPr>
              <w:t>(ת/</w:t>
            </w:r>
            <w:r w:rsidRPr="00DC28FC" w:rsidR="00854869">
              <w:rPr>
                <w:rFonts w:hint="cs" w:ascii="Arial" w:hAnsi="Arial"/>
                <w:rtl/>
              </w:rPr>
              <w:t>15-24</w:t>
            </w:r>
            <w:r w:rsidRPr="00DC28FC" w:rsidR="005709E1">
              <w:rPr>
                <w:rFonts w:hint="cs" w:ascii="Arial" w:hAnsi="Arial"/>
                <w:rtl/>
              </w:rPr>
              <w:t>).</w:t>
            </w:r>
          </w:p>
          <w:p w:rsidRPr="00DC28FC" w:rsidR="00AA6B09" w:rsidP="007A621D" w:rsidRDefault="003B34A4" w14:paraId="498C6279"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יצוין עם זאת, כי </w:t>
            </w:r>
            <w:r w:rsidR="00FF6C49">
              <w:rPr>
                <w:rFonts w:hint="cs" w:ascii="Arial" w:hAnsi="Arial"/>
                <w:rtl/>
              </w:rPr>
              <w:t>מ</w:t>
            </w:r>
            <w:r w:rsidRPr="00DC28FC" w:rsidR="00A67AD0">
              <w:rPr>
                <w:rFonts w:hint="cs" w:ascii="Arial" w:hAnsi="Arial"/>
                <w:rtl/>
              </w:rPr>
              <w:t xml:space="preserve">דבריה </w:t>
            </w:r>
            <w:r w:rsidRPr="00DC28FC">
              <w:rPr>
                <w:rFonts w:hint="cs" w:ascii="Arial" w:hAnsi="Arial"/>
                <w:rtl/>
              </w:rPr>
              <w:t>ש</w:t>
            </w:r>
            <w:r w:rsidRPr="00DC28FC" w:rsidR="00F022E5">
              <w:rPr>
                <w:rFonts w:hint="cs" w:ascii="Arial" w:hAnsi="Arial"/>
                <w:rtl/>
              </w:rPr>
              <w:t xml:space="preserve">ל נאוה </w:t>
            </w:r>
            <w:r w:rsidR="00FF6C49">
              <w:rPr>
                <w:rFonts w:hint="cs" w:ascii="Arial" w:hAnsi="Arial"/>
                <w:rtl/>
              </w:rPr>
              <w:t>עלה ש</w:t>
            </w:r>
            <w:r w:rsidRPr="00DC28FC" w:rsidR="00A67AD0">
              <w:rPr>
                <w:rFonts w:hint="cs" w:ascii="Arial" w:hAnsi="Arial"/>
                <w:rtl/>
              </w:rPr>
              <w:t xml:space="preserve">מעורבות הנאשם בעסק הייתה מדודה בלבד. כך, למשל, התייחסה לאפשרות שלו לבקר פיסית בחנות כבעלים, אך לא ידעה לתאר תדירות </w:t>
            </w:r>
            <w:r w:rsidRPr="00DC28FC" w:rsidR="00C05FB1">
              <w:rPr>
                <w:rFonts w:hint="cs" w:ascii="Arial" w:hAnsi="Arial"/>
                <w:rtl/>
              </w:rPr>
              <w:t xml:space="preserve">קבועה </w:t>
            </w:r>
            <w:r w:rsidRPr="00DC28FC">
              <w:rPr>
                <w:rFonts w:hint="cs" w:ascii="Arial" w:hAnsi="Arial"/>
                <w:rtl/>
              </w:rPr>
              <w:t xml:space="preserve">של ביקורים מצדו </w:t>
            </w:r>
            <w:r w:rsidRPr="00DC28FC" w:rsidR="00C05FB1">
              <w:rPr>
                <w:rFonts w:hint="cs" w:ascii="Arial" w:hAnsi="Arial"/>
                <w:rtl/>
              </w:rPr>
              <w:t xml:space="preserve">(פ/27 ש' 18). </w:t>
            </w:r>
            <w:r w:rsidRPr="00DC28FC" w:rsidR="00A67AD0">
              <w:rPr>
                <w:rFonts w:hint="cs" w:ascii="Arial" w:hAnsi="Arial"/>
                <w:rtl/>
              </w:rPr>
              <w:t>עוד אישרה כי לא ידעה מה הנאשם עשה עם דיווחיה הטלפוניים על הפדיון ("</w:t>
            </w:r>
            <w:r w:rsidRPr="00DC28FC" w:rsidR="00A67AD0">
              <w:rPr>
                <w:rFonts w:hint="cs" w:ascii="Arial" w:hAnsi="Arial" w:cs="FrankRuehl"/>
                <w:rtl/>
              </w:rPr>
              <w:t>אני מקווה שמה שדיווחתי לו הוא רשם. מעבר למה שעשיתי לא יכולתי לעשות</w:t>
            </w:r>
            <w:r w:rsidRPr="00DC28FC" w:rsidR="00A67AD0">
              <w:rPr>
                <w:rFonts w:hint="cs" w:ascii="Arial" w:hAnsi="Arial"/>
                <w:rtl/>
              </w:rPr>
              <w:t xml:space="preserve">" </w:t>
            </w:r>
            <w:r w:rsidRPr="00DC28FC" w:rsidR="00A67AD0">
              <w:rPr>
                <w:rFonts w:ascii="Arial" w:hAnsi="Arial"/>
                <w:rtl/>
              </w:rPr>
              <w:t>–</w:t>
            </w:r>
            <w:r w:rsidRPr="00DC28FC" w:rsidR="00A67AD0">
              <w:rPr>
                <w:rFonts w:hint="cs" w:ascii="Arial" w:hAnsi="Arial"/>
                <w:rtl/>
              </w:rPr>
              <w:t xml:space="preserve"> פ/28 ש' 27)</w:t>
            </w:r>
            <w:r w:rsidR="00FF6C49">
              <w:rPr>
                <w:rFonts w:hint="cs" w:ascii="Arial" w:hAnsi="Arial"/>
                <w:rtl/>
              </w:rPr>
              <w:t>. היא אף סיפרה ש</w:t>
            </w:r>
            <w:r w:rsidRPr="00DC28FC" w:rsidR="00A67AD0">
              <w:rPr>
                <w:rFonts w:hint="cs" w:ascii="Arial" w:hAnsi="Arial"/>
                <w:rtl/>
              </w:rPr>
              <w:t xml:space="preserve">בשלב מתקדם אמר לה כי אין לו צורך בדיווחים </w:t>
            </w:r>
            <w:r w:rsidR="00FF6C49">
              <w:rPr>
                <w:rFonts w:hint="cs" w:ascii="Arial" w:hAnsi="Arial"/>
                <w:rtl/>
              </w:rPr>
              <w:t xml:space="preserve">הללו </w:t>
            </w:r>
            <w:r w:rsidRPr="00DC28FC" w:rsidR="00A67AD0">
              <w:rPr>
                <w:rFonts w:hint="cs" w:ascii="Arial" w:hAnsi="Arial"/>
                <w:rtl/>
              </w:rPr>
              <w:t xml:space="preserve">(פ/29 ש' 7-9). </w:t>
            </w:r>
            <w:r w:rsidRPr="00DC28FC">
              <w:rPr>
                <w:rFonts w:hint="cs" w:ascii="Arial" w:hAnsi="Arial"/>
                <w:rtl/>
              </w:rPr>
              <w:t xml:space="preserve">נאוה הוסיפה </w:t>
            </w:r>
            <w:r w:rsidRPr="00DC28FC" w:rsidR="00A67AD0">
              <w:rPr>
                <w:rFonts w:hint="cs" w:ascii="Arial" w:hAnsi="Arial"/>
                <w:rtl/>
              </w:rPr>
              <w:t xml:space="preserve">כי </w:t>
            </w:r>
            <w:r w:rsidRPr="00DC28FC">
              <w:rPr>
                <w:rFonts w:hint="cs" w:ascii="Arial" w:hAnsi="Arial"/>
                <w:rtl/>
              </w:rPr>
              <w:t xml:space="preserve">את </w:t>
            </w:r>
            <w:r w:rsidRPr="00DC28FC" w:rsidR="00A67AD0">
              <w:rPr>
                <w:rFonts w:hint="cs" w:ascii="Arial" w:hAnsi="Arial"/>
                <w:rtl/>
              </w:rPr>
              <w:t>מסמכי הנהלת החשבונות</w:t>
            </w:r>
            <w:r w:rsidRPr="00DC28FC">
              <w:rPr>
                <w:rFonts w:hint="cs" w:ascii="Arial" w:hAnsi="Arial"/>
                <w:rtl/>
              </w:rPr>
              <w:t>,</w:t>
            </w:r>
            <w:r w:rsidRPr="00DC28FC" w:rsidR="00A67AD0">
              <w:rPr>
                <w:rFonts w:hint="cs" w:ascii="Arial" w:hAnsi="Arial"/>
                <w:rtl/>
              </w:rPr>
              <w:t xml:space="preserve"> לרבות חשבוניות של ספקים</w:t>
            </w:r>
            <w:r w:rsidRPr="00DC28FC">
              <w:rPr>
                <w:rFonts w:hint="cs" w:ascii="Arial" w:hAnsi="Arial"/>
                <w:rtl/>
              </w:rPr>
              <w:t xml:space="preserve">, ריכזה בעצמה בצורה מסודרת בשקיות, אשר נשמרו </w:t>
            </w:r>
            <w:r w:rsidRPr="00DC28FC" w:rsidR="00A67AD0">
              <w:rPr>
                <w:rFonts w:hint="cs" w:ascii="Arial" w:hAnsi="Arial"/>
                <w:rtl/>
              </w:rPr>
              <w:t>בתוך החנות</w:t>
            </w:r>
            <w:r w:rsidRPr="00DC28FC">
              <w:rPr>
                <w:rFonts w:hint="cs" w:ascii="Arial" w:hAnsi="Arial"/>
                <w:rtl/>
              </w:rPr>
              <w:t xml:space="preserve"> ונתפסו בהמשך בידי חוקרי המאשימה. מדבריה עלה כי הנאשם לא נטל אליו את המסמכים או החשבוניות וכי בחנות </w:t>
            </w:r>
            <w:r w:rsidRPr="00DC28FC" w:rsidR="005F11F8">
              <w:rPr>
                <w:rFonts w:hint="cs" w:ascii="Arial" w:hAnsi="Arial"/>
                <w:rtl/>
              </w:rPr>
              <w:t>"</w:t>
            </w:r>
            <w:r w:rsidRPr="00DC28FC" w:rsidR="005F11F8">
              <w:rPr>
                <w:rFonts w:hint="cs" w:ascii="Arial" w:hAnsi="Arial" w:cs="FrankRuehl"/>
                <w:rtl/>
              </w:rPr>
              <w:t>נערמו חומרים מכל השנים, כנראה הוא לא ניהל חשבון</w:t>
            </w:r>
            <w:r w:rsidRPr="00DC28FC" w:rsidR="005F11F8">
              <w:rPr>
                <w:rFonts w:hint="cs" w:ascii="Arial" w:hAnsi="Arial"/>
                <w:rtl/>
              </w:rPr>
              <w:t>..."</w:t>
            </w:r>
            <w:r w:rsidRPr="00DC28FC" w:rsidR="00A67AD0">
              <w:rPr>
                <w:rFonts w:hint="cs" w:ascii="Arial" w:hAnsi="Arial"/>
                <w:rtl/>
              </w:rPr>
              <w:t xml:space="preserve"> (</w:t>
            </w:r>
            <w:r w:rsidRPr="00DC28FC" w:rsidR="005F11F8">
              <w:rPr>
                <w:rFonts w:hint="cs" w:ascii="Arial" w:hAnsi="Arial"/>
                <w:rtl/>
              </w:rPr>
              <w:t xml:space="preserve">פ/31, </w:t>
            </w:r>
            <w:r w:rsidRPr="00DC28FC" w:rsidR="00A67AD0">
              <w:rPr>
                <w:rFonts w:hint="cs" w:ascii="Arial" w:hAnsi="Arial"/>
                <w:rtl/>
              </w:rPr>
              <w:t>פ/28-29).</w:t>
            </w:r>
          </w:p>
          <w:p w:rsidRPr="00DC28FC" w:rsidR="003B34A4" w:rsidP="007A621D" w:rsidRDefault="003B34A4" w14:paraId="29AA8DB5"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אלמנט נוסף שהציגה המאשימה עוסק בהרשעה קודמת של הנאשמים. לפי המסמכים שהוגשו, ואשר כוללים כתב אישום ופרוטוקולים, הנאשמים הורשעו בעבר בעבירות </w:t>
            </w:r>
            <w:r w:rsidRPr="00DC28FC" w:rsidR="0047289B">
              <w:rPr>
                <w:rFonts w:hint="cs" w:ascii="Arial" w:hAnsi="Arial"/>
                <w:rtl/>
              </w:rPr>
              <w:t xml:space="preserve">של אי הגשת דו"ח במועד ושל אחריות מנהלים לעבירות אלה. דובר </w:t>
            </w:r>
            <w:r w:rsidRPr="00DC28FC">
              <w:rPr>
                <w:rFonts w:hint="cs" w:ascii="Arial" w:hAnsi="Arial"/>
                <w:rtl/>
              </w:rPr>
              <w:t xml:space="preserve">בהימנעות מדיווח לפקיד השומה על הכנסות החברה ועל הכנסותיו האישיות של הנאשם בשנים 2000-2002 (ת.פ. (י-ם) 3994/03). </w:t>
            </w:r>
            <w:r w:rsidRPr="00DC28FC" w:rsidR="0047289B">
              <w:rPr>
                <w:rFonts w:hint="cs" w:ascii="Arial" w:hAnsi="Arial"/>
                <w:rtl/>
              </w:rPr>
              <w:t>אציין כי אין המדובר בעבירות עם רכיב של כוונה להתחמק מ</w:t>
            </w:r>
            <w:r w:rsidR="007A621D">
              <w:rPr>
                <w:rFonts w:hint="cs" w:ascii="Arial" w:hAnsi="Arial"/>
                <w:rtl/>
              </w:rPr>
              <w:t xml:space="preserve">תשלום </w:t>
            </w:r>
            <w:r w:rsidRPr="00DC28FC" w:rsidR="0047289B">
              <w:rPr>
                <w:rFonts w:hint="cs" w:ascii="Arial" w:hAnsi="Arial"/>
                <w:rtl/>
              </w:rPr>
              <w:t xml:space="preserve">מס. </w:t>
            </w:r>
            <w:r w:rsidRPr="00DC28FC">
              <w:rPr>
                <w:rFonts w:hint="cs" w:ascii="Arial" w:hAnsi="Arial"/>
                <w:rtl/>
              </w:rPr>
              <w:t xml:space="preserve">ביום 6.11.05 הודה הנאשם בעבירות בשמו ובשם החברה, </w:t>
            </w:r>
            <w:r w:rsidR="00FF6C49">
              <w:rPr>
                <w:rFonts w:hint="cs" w:ascii="Arial" w:hAnsi="Arial"/>
                <w:rtl/>
              </w:rPr>
              <w:t>ו</w:t>
            </w:r>
            <w:r w:rsidRPr="00DC28FC">
              <w:rPr>
                <w:rFonts w:hint="cs" w:ascii="Arial" w:hAnsi="Arial"/>
                <w:rtl/>
              </w:rPr>
              <w:t xml:space="preserve">ביום 24.1.06 ניתן גזר דין </w:t>
            </w:r>
            <w:r w:rsidR="007A621D">
              <w:rPr>
                <w:rFonts w:hint="cs" w:ascii="Arial" w:hAnsi="Arial"/>
                <w:rtl/>
              </w:rPr>
              <w:t xml:space="preserve">בו נדון </w:t>
            </w:r>
            <w:r w:rsidRPr="00DC28FC">
              <w:rPr>
                <w:rFonts w:hint="cs" w:ascii="Arial" w:hAnsi="Arial"/>
                <w:rtl/>
              </w:rPr>
              <w:t>למאסר קצר, מאסר על תנאי וקנס, ואת הנאשמת לקנס. בעקבות ערעור</w:t>
            </w:r>
            <w:r w:rsidR="00FF6C49">
              <w:rPr>
                <w:rFonts w:hint="cs" w:ascii="Arial" w:hAnsi="Arial"/>
                <w:rtl/>
              </w:rPr>
              <w:t>,</w:t>
            </w:r>
            <w:r w:rsidRPr="00DC28FC">
              <w:rPr>
                <w:rFonts w:hint="cs" w:ascii="Arial" w:hAnsi="Arial"/>
                <w:rtl/>
              </w:rPr>
              <w:t xml:space="preserve"> הוחזר ההליך לבית משפט השלום, שביום 28.11.06 המיר את המאסר ב- 60 ימי מאסר בעבודות שירות, ואת הקנס ב-30 ימים נוספים.  </w:t>
            </w:r>
          </w:p>
          <w:p w:rsidRPr="00DC28FC" w:rsidR="00E408D9" w:rsidP="007A621D" w:rsidRDefault="00CC1D31" w14:paraId="0F0B12C0"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נתונים אלה, לו עמדו בפני עצמם, עשויים היו להוביל למסקנה </w:t>
            </w:r>
            <w:r w:rsidR="00FE4C05">
              <w:rPr>
                <w:rFonts w:hint="cs" w:ascii="Arial" w:hAnsi="Arial"/>
                <w:rtl/>
              </w:rPr>
              <w:t xml:space="preserve">נחרצת </w:t>
            </w:r>
            <w:r w:rsidRPr="00DC28FC">
              <w:rPr>
                <w:rFonts w:hint="cs" w:ascii="Arial" w:hAnsi="Arial"/>
                <w:rtl/>
              </w:rPr>
              <w:t xml:space="preserve">בדבר התקיימותו של היסוד הנפשי-חפצי הנדרש. דרך כלל, הימנעות מדיווח לרשויות המס על הכנסות בסכומים שאינם זניחים </w:t>
            </w:r>
            <w:r w:rsidR="007A621D">
              <w:rPr>
                <w:rFonts w:hint="cs" w:ascii="Arial" w:hAnsi="Arial"/>
                <w:rtl/>
              </w:rPr>
              <w:t xml:space="preserve">עשויה ללמד </w:t>
            </w:r>
            <w:r w:rsidRPr="00DC28FC">
              <w:rPr>
                <w:rFonts w:hint="cs" w:ascii="Arial" w:hAnsi="Arial"/>
                <w:rtl/>
              </w:rPr>
              <w:t>על רצון להתחמק מתשלום מס. הנאשם לא התכחש בעדותו למודעותו לחובת הדיווח, וזו מודגשת בהרשעתו הקודמת כמפורט לעיל</w:t>
            </w:r>
            <w:r w:rsidR="00FE4C05">
              <w:rPr>
                <w:rFonts w:hint="cs" w:ascii="Arial" w:hAnsi="Arial"/>
                <w:rtl/>
              </w:rPr>
              <w:t xml:space="preserve">. </w:t>
            </w:r>
            <w:r w:rsidRPr="00DC28FC" w:rsidR="00E408D9">
              <w:rPr>
                <w:rFonts w:hint="cs" w:ascii="Arial" w:hAnsi="Arial"/>
                <w:rtl/>
              </w:rPr>
              <w:t xml:space="preserve">עם זאת איני מקבל את </w:t>
            </w:r>
            <w:r w:rsidR="00FE4C05">
              <w:rPr>
                <w:rFonts w:hint="cs" w:ascii="Arial" w:hAnsi="Arial"/>
                <w:rtl/>
              </w:rPr>
              <w:t xml:space="preserve">ניסיון </w:t>
            </w:r>
            <w:r w:rsidRPr="00DC28FC" w:rsidR="00E408D9">
              <w:rPr>
                <w:rFonts w:hint="cs" w:ascii="Arial" w:hAnsi="Arial"/>
                <w:rtl/>
              </w:rPr>
              <w:t>המאשימה להתייחס להרשעה הקודמת כאל "מעשים דומים" המבססים את הכוונה בהליך זה. שכן, בהליך הקודם לא יוחסו עבירות כוונה וממילא שלא בוסס</w:t>
            </w:r>
            <w:r w:rsidR="00D46555">
              <w:rPr>
                <w:rFonts w:hint="cs" w:ascii="Arial" w:hAnsi="Arial"/>
                <w:rtl/>
              </w:rPr>
              <w:t xml:space="preserve"> יסוד זה.  </w:t>
            </w:r>
          </w:p>
          <w:p w:rsidRPr="00DC28FC" w:rsidR="003B34A4" w:rsidP="00D46555" w:rsidRDefault="00D46555" w14:paraId="36DB19DB" w14:textId="77777777">
            <w:pPr>
              <w:pStyle w:val="ab"/>
              <w:spacing w:before="120" w:after="120" w:line="360" w:lineRule="auto"/>
              <w:contextualSpacing w:val="0"/>
              <w:jc w:val="both"/>
              <w:rPr>
                <w:rFonts w:ascii="Arial" w:hAnsi="Arial"/>
              </w:rPr>
            </w:pPr>
            <w:r>
              <w:rPr>
                <w:rFonts w:hint="cs" w:ascii="Arial" w:hAnsi="Arial"/>
                <w:rtl/>
              </w:rPr>
              <w:t xml:space="preserve">לתוצאה המרשיעה עשויה להוביל גם </w:t>
            </w:r>
            <w:r w:rsidRPr="00DC28FC" w:rsidR="00CC1D31">
              <w:rPr>
                <w:rFonts w:hint="cs" w:ascii="Arial" w:hAnsi="Arial"/>
                <w:rtl/>
              </w:rPr>
              <w:t>"חזקת הכוונה"</w:t>
            </w:r>
            <w:r w:rsidRPr="00DC28FC" w:rsidR="00E408D9">
              <w:rPr>
                <w:rFonts w:hint="cs" w:ascii="Arial" w:hAnsi="Arial"/>
                <w:rtl/>
              </w:rPr>
              <w:t xml:space="preserve"> הראייתית</w:t>
            </w:r>
            <w:r w:rsidRPr="00DC28FC" w:rsidR="00CC1D31">
              <w:rPr>
                <w:rFonts w:hint="cs" w:ascii="Arial" w:hAnsi="Arial"/>
                <w:rtl/>
              </w:rPr>
              <w:t xml:space="preserve">, לפיה אדם יוחזק כמתכוון לתוצאות הטבעיות של מעשיו, וזאת בשים לב לחובת הדיווח עליה מבוסס משטר המס ואשר מובילה למצב בו, ככלל, </w:t>
            </w:r>
            <w:r>
              <w:rPr>
                <w:rFonts w:hint="cs" w:ascii="Arial" w:hAnsi="Arial"/>
                <w:rtl/>
              </w:rPr>
              <w:t xml:space="preserve">לא יהיה חיוב במס </w:t>
            </w:r>
            <w:r w:rsidRPr="00DC28FC" w:rsidR="00CC1D31">
              <w:rPr>
                <w:rFonts w:hint="cs" w:ascii="Arial" w:hAnsi="Arial"/>
                <w:rtl/>
              </w:rPr>
              <w:t xml:space="preserve">בהעדר דיווח. </w:t>
            </w:r>
          </w:p>
          <w:p w:rsidR="006041C1" w:rsidP="000753A8" w:rsidRDefault="00E408D9" w14:paraId="0E7BB2B0" w14:textId="77777777">
            <w:pPr>
              <w:pStyle w:val="ab"/>
              <w:numPr>
                <w:ilvl w:val="0"/>
                <w:numId w:val="7"/>
              </w:numPr>
              <w:spacing w:before="120" w:after="120" w:line="360" w:lineRule="auto"/>
              <w:contextualSpacing w:val="0"/>
              <w:jc w:val="both"/>
              <w:rPr>
                <w:rFonts w:ascii="Arial" w:hAnsi="Arial"/>
                <w:b/>
                <w:bCs/>
              </w:rPr>
            </w:pPr>
            <w:r w:rsidRPr="009734CA">
              <w:rPr>
                <w:rFonts w:hint="cs" w:ascii="Arial" w:hAnsi="Arial"/>
                <w:rtl/>
              </w:rPr>
              <w:t xml:space="preserve">ועם זאת, חזקת הכוונה היא חזקה </w:t>
            </w:r>
            <w:r w:rsidRPr="009734CA" w:rsidR="00401EFA">
              <w:rPr>
                <w:rFonts w:hint="cs" w:ascii="Arial" w:hAnsi="Arial"/>
                <w:rtl/>
              </w:rPr>
              <w:t xml:space="preserve">ראייתית </w:t>
            </w:r>
            <w:r w:rsidRPr="009734CA">
              <w:rPr>
                <w:rFonts w:hint="cs" w:ascii="Arial" w:hAnsi="Arial"/>
                <w:rtl/>
              </w:rPr>
              <w:t>הניתנת לסתי</w:t>
            </w:r>
            <w:r w:rsidRPr="009734CA" w:rsidR="00401EFA">
              <w:rPr>
                <w:rFonts w:hint="cs" w:ascii="Arial" w:hAnsi="Arial"/>
                <w:rtl/>
              </w:rPr>
              <w:t xml:space="preserve">רה, וגם ההיסק של כוונה מן ההימנעות מדיווח אינו "אוטומטי". כבכל הליך, בוודאי הליך פלילי, יש להישמר מהיסמכות </w:t>
            </w:r>
            <w:r w:rsidRPr="009734CA" w:rsidR="00401EFA">
              <w:rPr>
                <w:rFonts w:hint="cs" w:ascii="Arial" w:hAnsi="Arial"/>
                <w:rtl/>
              </w:rPr>
              <w:lastRenderedPageBreak/>
              <w:t xml:space="preserve">יתר על תבניות ולבחון באופן פרטני את הראיות ואת עניינו של כל נאשם. כפי שיפורט עתה, </w:t>
            </w:r>
            <w:r w:rsidRPr="009734CA" w:rsidR="00D46555">
              <w:rPr>
                <w:rFonts w:hint="cs" w:ascii="Arial" w:hAnsi="Arial"/>
                <w:rtl/>
              </w:rPr>
              <w:t xml:space="preserve">בחינה זו מעלה למסקנה לפיה קיים ספק, </w:t>
            </w:r>
            <w:r w:rsidRPr="009734CA" w:rsidR="00401EFA">
              <w:rPr>
                <w:rFonts w:hint="cs" w:ascii="Arial" w:hAnsi="Arial"/>
                <w:rtl/>
              </w:rPr>
              <w:t>המעוגן בראיות</w:t>
            </w:r>
            <w:r w:rsidRPr="009734CA" w:rsidR="00D46555">
              <w:rPr>
                <w:rFonts w:hint="cs" w:ascii="Arial" w:hAnsi="Arial"/>
                <w:rtl/>
              </w:rPr>
              <w:t xml:space="preserve">, בשאלה האם </w:t>
            </w:r>
            <w:r w:rsidRPr="009734CA" w:rsidR="00401EFA">
              <w:rPr>
                <w:rFonts w:hint="cs" w:ascii="Arial" w:hAnsi="Arial"/>
                <w:rtl/>
              </w:rPr>
              <w:t xml:space="preserve">ההימנעות מדיווח לפקיד השומה בוצעה מתוך מטרה להתחמק ממס. </w:t>
            </w:r>
          </w:p>
          <w:p w:rsidRPr="009734CA" w:rsidR="009734CA" w:rsidP="00E871E4" w:rsidRDefault="009734CA" w14:paraId="3A82D265" w14:textId="77777777">
            <w:pPr>
              <w:pStyle w:val="ab"/>
              <w:spacing w:before="120" w:after="120"/>
              <w:contextualSpacing w:val="0"/>
              <w:jc w:val="both"/>
              <w:rPr>
                <w:rFonts w:ascii="Arial" w:hAnsi="Arial"/>
                <w:b/>
                <w:bCs/>
                <w:rtl/>
              </w:rPr>
            </w:pPr>
          </w:p>
          <w:p w:rsidRPr="00DC28FC" w:rsidR="00401EFA" w:rsidP="00DC28FC" w:rsidRDefault="00401EFA" w14:paraId="47CE38F8" w14:textId="77777777">
            <w:pPr>
              <w:spacing w:before="120" w:after="120" w:line="360" w:lineRule="auto"/>
              <w:jc w:val="both"/>
              <w:rPr>
                <w:rFonts w:ascii="Arial" w:hAnsi="Arial"/>
                <w:b/>
                <w:bCs/>
              </w:rPr>
            </w:pPr>
            <w:r w:rsidRPr="00DC28FC">
              <w:rPr>
                <w:rFonts w:hint="cs" w:ascii="Arial" w:hAnsi="Arial"/>
                <w:b/>
                <w:bCs/>
                <w:rtl/>
              </w:rPr>
              <w:t>על הספק המתעורר</w:t>
            </w:r>
          </w:p>
          <w:p w:rsidRPr="00D46555" w:rsidR="006041C1" w:rsidP="00D33EF5" w:rsidRDefault="006041C1" w14:paraId="4D6C587C"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תזת ההגנה היא כי הנאשם נמנע מדיווח לא מתוך </w:t>
            </w:r>
            <w:r w:rsidR="00D33EF5">
              <w:rPr>
                <w:rFonts w:hint="cs" w:ascii="Arial" w:hAnsi="Arial"/>
                <w:rtl/>
              </w:rPr>
              <w:t xml:space="preserve">מטרה </w:t>
            </w:r>
            <w:r w:rsidRPr="00DC28FC">
              <w:rPr>
                <w:rFonts w:hint="cs" w:ascii="Arial" w:hAnsi="Arial"/>
                <w:rtl/>
              </w:rPr>
              <w:t>להתחמק ממס, אלא כתוצאה של קשייו הבריאותיים והמנטליים והשפעתם על תפקודו היום-יומי</w:t>
            </w:r>
            <w:r w:rsidR="00D46555">
              <w:rPr>
                <w:rFonts w:hint="cs" w:ascii="Arial" w:hAnsi="Arial"/>
                <w:rtl/>
              </w:rPr>
              <w:t>. בסיכומיה נטען גם ל</w:t>
            </w:r>
            <w:r w:rsidRPr="00D46555" w:rsidR="00802D64">
              <w:rPr>
                <w:rFonts w:hint="cs" w:ascii="Arial" w:hAnsi="Arial"/>
                <w:rtl/>
              </w:rPr>
              <w:t>קשיים כלכליים ש</w:t>
            </w:r>
            <w:r w:rsidR="00D33EF5">
              <w:rPr>
                <w:rFonts w:hint="cs" w:ascii="Arial" w:hAnsi="Arial"/>
                <w:rtl/>
              </w:rPr>
              <w:t xml:space="preserve">מנעו שכירות </w:t>
            </w:r>
            <w:r w:rsidRPr="00D46555" w:rsidR="00802D64">
              <w:rPr>
                <w:rFonts w:hint="cs" w:ascii="Arial" w:hAnsi="Arial"/>
                <w:rtl/>
              </w:rPr>
              <w:t xml:space="preserve">רואה חשבון </w:t>
            </w:r>
            <w:r w:rsidR="00D33EF5">
              <w:rPr>
                <w:rFonts w:hint="cs" w:ascii="Arial" w:hAnsi="Arial"/>
                <w:rtl/>
              </w:rPr>
              <w:t xml:space="preserve">לעריכת </w:t>
            </w:r>
            <w:r w:rsidRPr="00D46555" w:rsidR="00802D64">
              <w:rPr>
                <w:rFonts w:hint="cs" w:ascii="Arial" w:hAnsi="Arial"/>
                <w:rtl/>
              </w:rPr>
              <w:t>דוחות מבוקרים</w:t>
            </w:r>
            <w:r w:rsidRPr="00D46555">
              <w:rPr>
                <w:rFonts w:hint="cs" w:ascii="Arial" w:hAnsi="Arial"/>
                <w:rtl/>
              </w:rPr>
              <w:t xml:space="preserve">.  </w:t>
            </w:r>
          </w:p>
          <w:p w:rsidRPr="00DC28FC" w:rsidR="006041C1" w:rsidP="00D33EF5" w:rsidRDefault="006041C1" w14:paraId="508B7772"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בחינת מכלול הראיות מחייבת לקבוע כי הגם שתזה זו לא הוכחה ברמת הסתברות גבוהה, קיים בסיס שדי בו </w:t>
            </w:r>
            <w:r w:rsidR="00D46555">
              <w:rPr>
                <w:rFonts w:hint="cs" w:ascii="Arial" w:hAnsi="Arial"/>
                <w:rtl/>
              </w:rPr>
              <w:t xml:space="preserve">כדי להקים </w:t>
            </w:r>
            <w:r w:rsidRPr="00DC28FC">
              <w:rPr>
                <w:rFonts w:hint="cs" w:ascii="Arial" w:hAnsi="Arial"/>
                <w:rtl/>
              </w:rPr>
              <w:t>ספק</w:t>
            </w:r>
            <w:r w:rsidR="00D33EF5">
              <w:rPr>
                <w:rFonts w:hint="cs" w:ascii="Arial" w:hAnsi="Arial"/>
                <w:rtl/>
              </w:rPr>
              <w:t xml:space="preserve"> בשאלת קיומה של מטרה להתחמק מתשלום מס</w:t>
            </w:r>
            <w:r w:rsidRPr="00DC28FC">
              <w:rPr>
                <w:rFonts w:hint="cs" w:ascii="Arial" w:hAnsi="Arial"/>
                <w:rtl/>
              </w:rPr>
              <w:t xml:space="preserve">. קביעתי זו נסמכת על </w:t>
            </w:r>
            <w:r w:rsidR="00D46555">
              <w:rPr>
                <w:rFonts w:hint="cs" w:ascii="Arial" w:hAnsi="Arial"/>
                <w:rtl/>
              </w:rPr>
              <w:t xml:space="preserve">השילוב שבין </w:t>
            </w:r>
            <w:r w:rsidRPr="00DC28FC">
              <w:rPr>
                <w:rFonts w:hint="cs" w:ascii="Arial" w:hAnsi="Arial"/>
                <w:rtl/>
              </w:rPr>
              <w:t>מספר מישורים</w:t>
            </w:r>
            <w:r w:rsidR="00D46555">
              <w:rPr>
                <w:rFonts w:hint="cs" w:ascii="Arial" w:hAnsi="Arial"/>
                <w:rtl/>
              </w:rPr>
              <w:t>,</w:t>
            </w:r>
            <w:r w:rsidRPr="00DC28FC">
              <w:rPr>
                <w:rFonts w:hint="cs" w:ascii="Arial" w:hAnsi="Arial"/>
                <w:rtl/>
              </w:rPr>
              <w:t xml:space="preserve"> </w:t>
            </w:r>
            <w:r w:rsidR="00D46555">
              <w:rPr>
                <w:rFonts w:hint="cs" w:ascii="Arial" w:hAnsi="Arial"/>
                <w:rtl/>
              </w:rPr>
              <w:t>העולים בעיקר מ</w:t>
            </w:r>
            <w:r w:rsidRPr="00DC28FC">
              <w:rPr>
                <w:rFonts w:hint="cs" w:ascii="Arial" w:hAnsi="Arial"/>
                <w:rtl/>
              </w:rPr>
              <w:t>עדות הנאשם ו</w:t>
            </w:r>
            <w:r w:rsidR="00D46555">
              <w:rPr>
                <w:rFonts w:hint="cs" w:ascii="Arial" w:hAnsi="Arial"/>
                <w:rtl/>
              </w:rPr>
              <w:t>מ</w:t>
            </w:r>
            <w:r w:rsidRPr="00DC28FC">
              <w:rPr>
                <w:rFonts w:hint="cs" w:ascii="Arial" w:hAnsi="Arial"/>
                <w:rtl/>
              </w:rPr>
              <w:t xml:space="preserve">ראיות ההגנה. </w:t>
            </w:r>
          </w:p>
          <w:p w:rsidR="00D46555" w:rsidP="00D33EF5" w:rsidRDefault="006041C1" w14:paraId="1172278F"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מישור ראשון עניינו במצבו של הנאשם. </w:t>
            </w:r>
            <w:r w:rsidRPr="00DC28FC" w:rsidR="00C87166">
              <w:rPr>
                <w:rFonts w:hint="cs" w:ascii="Arial" w:hAnsi="Arial"/>
                <w:rtl/>
              </w:rPr>
              <w:t xml:space="preserve">הנאשם סובל משילוב שבין בעיות רפואיות </w:t>
            </w:r>
            <w:r w:rsidRPr="00DC28FC">
              <w:rPr>
                <w:rFonts w:hint="cs" w:ascii="Arial" w:hAnsi="Arial"/>
                <w:rtl/>
              </w:rPr>
              <w:t>פיזיות וקוגנטיביות</w:t>
            </w:r>
            <w:r w:rsidRPr="00DC28FC" w:rsidR="00C87166">
              <w:rPr>
                <w:rFonts w:hint="cs" w:ascii="Arial" w:hAnsi="Arial"/>
                <w:rtl/>
              </w:rPr>
              <w:t xml:space="preserve">. </w:t>
            </w:r>
            <w:r w:rsidRPr="00DC28FC" w:rsidR="00330914">
              <w:rPr>
                <w:rFonts w:hint="cs" w:ascii="Arial" w:hAnsi="Arial"/>
                <w:rtl/>
              </w:rPr>
              <w:t>הוא לוקה בסכרת ובמחלת הפרקינסון. בעדותו טען כי הגם שהוכר בידי הביטוח הלאומי רק בשנת 2015 (הוגש</w:t>
            </w:r>
            <w:r w:rsidRPr="00DC28FC" w:rsidR="00CD5818">
              <w:rPr>
                <w:rFonts w:hint="cs" w:ascii="Arial" w:hAnsi="Arial"/>
                <w:rtl/>
              </w:rPr>
              <w:t>ה</w:t>
            </w:r>
            <w:r w:rsidRPr="00DC28FC" w:rsidR="00330914">
              <w:rPr>
                <w:rFonts w:hint="cs" w:ascii="Arial" w:hAnsi="Arial"/>
                <w:rtl/>
              </w:rPr>
              <w:t xml:space="preserve"> קביעת </w:t>
            </w:r>
            <w:r w:rsidRPr="00DC28FC" w:rsidR="00C87166">
              <w:rPr>
                <w:rFonts w:hint="cs" w:ascii="Arial" w:hAnsi="Arial"/>
                <w:rtl/>
              </w:rPr>
              <w:t>נכות לפי פקודת מס ההכנסה מינואר 2015</w:t>
            </w:r>
            <w:r w:rsidRPr="00DC28FC" w:rsidR="00CD5818">
              <w:rPr>
                <w:rFonts w:hint="cs" w:ascii="Arial" w:hAnsi="Arial"/>
                <w:rtl/>
              </w:rPr>
              <w:t xml:space="preserve">, נ/2. לפי מסמך של ד"ר ארקדיר (חלק מנ/3) אבחון הפרקינסון נעשה </w:t>
            </w:r>
            <w:r w:rsidR="00D33EF5">
              <w:rPr>
                <w:rFonts w:hint="cs" w:ascii="Arial" w:hAnsi="Arial"/>
                <w:rtl/>
              </w:rPr>
              <w:t>בשנת</w:t>
            </w:r>
            <w:r w:rsidRPr="00DC28FC" w:rsidR="00CD5818">
              <w:rPr>
                <w:rFonts w:hint="cs" w:ascii="Arial" w:hAnsi="Arial"/>
                <w:rtl/>
              </w:rPr>
              <w:t xml:space="preserve"> 2013</w:t>
            </w:r>
            <w:r w:rsidRPr="00DC28FC" w:rsidR="00330914">
              <w:rPr>
                <w:rFonts w:hint="cs" w:ascii="Arial" w:hAnsi="Arial"/>
                <w:rtl/>
              </w:rPr>
              <w:t>), בפועל סבל מסימפטומים של המחלה זמן רב לפני כן לרבות בשנים מושא האישום</w:t>
            </w:r>
            <w:r w:rsidR="00D46555">
              <w:rPr>
                <w:rFonts w:hint="cs" w:ascii="Arial" w:hAnsi="Arial"/>
                <w:rtl/>
              </w:rPr>
              <w:t xml:space="preserve">. זאת, למרות שבאותן שנים לא ידע לומר כי הסימפטומים </w:t>
            </w:r>
            <w:r w:rsidRPr="00DC28FC" w:rsidR="00F022E5">
              <w:rPr>
                <w:rFonts w:hint="cs" w:ascii="Arial" w:hAnsi="Arial"/>
                <w:rtl/>
              </w:rPr>
              <w:t>נובעים</w:t>
            </w:r>
            <w:r w:rsidRPr="00DC28FC" w:rsidR="00330914">
              <w:rPr>
                <w:rFonts w:hint="cs" w:ascii="Arial" w:hAnsi="Arial"/>
                <w:rtl/>
              </w:rPr>
              <w:t xml:space="preserve"> מן המחלה האמורה. </w:t>
            </w:r>
          </w:p>
          <w:p w:rsidRPr="00DC28FC" w:rsidR="004B0261" w:rsidP="00C12FBB" w:rsidRDefault="00D46555" w14:paraId="636455F0" w14:textId="0D913B35">
            <w:pPr>
              <w:pStyle w:val="ab"/>
              <w:spacing w:before="120" w:after="120" w:line="360" w:lineRule="auto"/>
              <w:contextualSpacing w:val="0"/>
              <w:jc w:val="both"/>
              <w:rPr>
                <w:rFonts w:ascii="Arial" w:hAnsi="Arial"/>
              </w:rPr>
            </w:pPr>
            <w:r>
              <w:rPr>
                <w:rFonts w:hint="cs" w:ascii="Arial" w:hAnsi="Arial"/>
                <w:rtl/>
              </w:rPr>
              <w:t xml:space="preserve">הנאשם </w:t>
            </w:r>
            <w:r w:rsidRPr="00DC28FC" w:rsidR="00330914">
              <w:rPr>
                <w:rFonts w:hint="cs" w:ascii="Arial" w:hAnsi="Arial"/>
                <w:rtl/>
              </w:rPr>
              <w:t>תיאר ירידה ביכולות הקוגנטיביות, לרבות פגיעה ביכולת החשיבה</w:t>
            </w:r>
            <w:r w:rsidRPr="00DC28FC" w:rsidR="004B0261">
              <w:rPr>
                <w:rFonts w:hint="cs" w:ascii="Arial" w:hAnsi="Arial"/>
                <w:rtl/>
              </w:rPr>
              <w:t>, נט</w:t>
            </w:r>
            <w:r w:rsidRPr="00DC28FC" w:rsidR="006041C1">
              <w:rPr>
                <w:rFonts w:hint="cs" w:ascii="Arial" w:hAnsi="Arial"/>
                <w:rtl/>
              </w:rPr>
              <w:t>י</w:t>
            </w:r>
            <w:r w:rsidRPr="00DC28FC" w:rsidR="004B0261">
              <w:rPr>
                <w:rFonts w:hint="cs" w:ascii="Arial" w:hAnsi="Arial"/>
                <w:rtl/>
              </w:rPr>
              <w:t>יה לשכחה</w:t>
            </w:r>
            <w:r w:rsidRPr="00DC28FC" w:rsidR="00330914">
              <w:rPr>
                <w:rFonts w:hint="cs" w:ascii="Arial" w:hAnsi="Arial"/>
                <w:rtl/>
              </w:rPr>
              <w:t xml:space="preserve"> וקושי </w:t>
            </w:r>
            <w:r w:rsidRPr="00DC28FC" w:rsidR="004B0261">
              <w:rPr>
                <w:rFonts w:hint="cs" w:ascii="Arial" w:hAnsi="Arial"/>
                <w:rtl/>
              </w:rPr>
              <w:t xml:space="preserve">ניכר </w:t>
            </w:r>
            <w:r w:rsidRPr="00DC28FC" w:rsidR="00330914">
              <w:rPr>
                <w:rFonts w:hint="cs" w:ascii="Arial" w:hAnsi="Arial"/>
                <w:rtl/>
              </w:rPr>
              <w:t xml:space="preserve">בקליטת מידע חדש, </w:t>
            </w:r>
            <w:r w:rsidR="00D33EF5">
              <w:rPr>
                <w:rFonts w:hint="cs" w:ascii="Arial" w:hAnsi="Arial"/>
                <w:rtl/>
              </w:rPr>
              <w:t xml:space="preserve">וכן </w:t>
            </w:r>
            <w:r w:rsidRPr="00DC28FC" w:rsidR="004B0261">
              <w:rPr>
                <w:rFonts w:hint="cs" w:ascii="Arial" w:hAnsi="Arial"/>
                <w:rtl/>
              </w:rPr>
              <w:t>פיזור מחשבתי ("</w:t>
            </w:r>
            <w:r w:rsidRPr="00DC28FC" w:rsidR="004B0261">
              <w:rPr>
                <w:rFonts w:hint="cs" w:ascii="Arial" w:hAnsi="Arial" w:cs="FrankRuehl"/>
                <w:rtl/>
              </w:rPr>
              <w:t>אני מפוזר מאוד, אני שוכח דברים</w:t>
            </w:r>
            <w:r w:rsidRPr="00DC28FC" w:rsidR="004B0261">
              <w:rPr>
                <w:rFonts w:hint="cs" w:ascii="Arial" w:hAnsi="Arial"/>
                <w:rtl/>
              </w:rPr>
              <w:t>")</w:t>
            </w:r>
            <w:r w:rsidRPr="00DC28FC" w:rsidR="006041C1">
              <w:rPr>
                <w:rFonts w:hint="cs" w:ascii="Arial" w:hAnsi="Arial"/>
                <w:rtl/>
              </w:rPr>
              <w:t xml:space="preserve">. עוד מסר על </w:t>
            </w:r>
            <w:r w:rsidRPr="00DC28FC" w:rsidR="00330914">
              <w:rPr>
                <w:rFonts w:hint="cs" w:ascii="Arial" w:hAnsi="Arial"/>
                <w:rtl/>
              </w:rPr>
              <w:t>נדודי שינה, עייפות ואי שקט</w:t>
            </w:r>
            <w:r w:rsidRPr="00DC28FC" w:rsidR="006041C1">
              <w:rPr>
                <w:rFonts w:hint="cs" w:ascii="Arial" w:hAnsi="Arial"/>
                <w:rtl/>
              </w:rPr>
              <w:t xml:space="preserve">, על </w:t>
            </w:r>
            <w:r w:rsidRPr="00DC28FC" w:rsidR="00330914">
              <w:rPr>
                <w:rFonts w:hint="cs" w:ascii="Arial" w:hAnsi="Arial"/>
                <w:rtl/>
              </w:rPr>
              <w:t xml:space="preserve">רעידות באיברי הגוף, </w:t>
            </w:r>
            <w:r w:rsidRPr="00DC28FC" w:rsidR="004B0261">
              <w:rPr>
                <w:rFonts w:hint="cs" w:ascii="Arial" w:hAnsi="Arial"/>
                <w:rtl/>
              </w:rPr>
              <w:t xml:space="preserve">קשיי הליכה, </w:t>
            </w:r>
            <w:r w:rsidRPr="00DC28FC" w:rsidR="00330914">
              <w:rPr>
                <w:rFonts w:hint="cs" w:ascii="Arial" w:hAnsi="Arial"/>
                <w:rtl/>
              </w:rPr>
              <w:t>קשיות שרירים</w:t>
            </w:r>
            <w:r w:rsidRPr="00DC28FC" w:rsidR="004B0261">
              <w:rPr>
                <w:rFonts w:hint="cs" w:ascii="Arial" w:hAnsi="Arial"/>
                <w:rtl/>
              </w:rPr>
              <w:t>,</w:t>
            </w:r>
            <w:r w:rsidRPr="00DC28FC" w:rsidR="00330914">
              <w:rPr>
                <w:rFonts w:hint="cs" w:ascii="Arial" w:hAnsi="Arial"/>
                <w:rtl/>
              </w:rPr>
              <w:t xml:space="preserve"> קושי </w:t>
            </w:r>
            <w:r w:rsidRPr="00DC28FC" w:rsidR="004B0261">
              <w:rPr>
                <w:rFonts w:hint="cs" w:ascii="Arial" w:hAnsi="Arial"/>
                <w:rtl/>
              </w:rPr>
              <w:t xml:space="preserve">בתפקוד המוטורי (בביצוע </w:t>
            </w:r>
            <w:r>
              <w:rPr>
                <w:rFonts w:hint="cs" w:ascii="Arial" w:hAnsi="Arial"/>
                <w:rtl/>
              </w:rPr>
              <w:t>מלאכת כפיים</w:t>
            </w:r>
            <w:r w:rsidRPr="00DC28FC" w:rsidR="004B0261">
              <w:rPr>
                <w:rFonts w:hint="cs" w:ascii="Arial" w:hAnsi="Arial"/>
                <w:rtl/>
              </w:rPr>
              <w:t>)</w:t>
            </w:r>
            <w:r w:rsidRPr="00DC28FC" w:rsidR="003154BB">
              <w:rPr>
                <w:rFonts w:hint="cs" w:ascii="Arial" w:hAnsi="Arial"/>
                <w:rtl/>
              </w:rPr>
              <w:t xml:space="preserve">, </w:t>
            </w:r>
            <w:r w:rsidRPr="00DC28FC" w:rsidR="004B0261">
              <w:rPr>
                <w:rFonts w:hint="cs" w:ascii="Arial" w:hAnsi="Arial"/>
                <w:rtl/>
              </w:rPr>
              <w:t xml:space="preserve">טיפול תרופתי שהוא נוטל </w:t>
            </w:r>
            <w:r w:rsidR="00C12FBB">
              <w:rPr>
                <w:rFonts w:hint="cs" w:ascii="Arial" w:hAnsi="Arial"/>
                <w:rtl/>
              </w:rPr>
              <w:t xml:space="preserve">וקשיים נוספים שלא יפורטו כאן מפאת צנעת הפרט </w:t>
            </w:r>
            <w:r w:rsidRPr="00DC28FC" w:rsidR="004B0261">
              <w:rPr>
                <w:rFonts w:hint="cs" w:ascii="Arial" w:hAnsi="Arial"/>
                <w:rtl/>
              </w:rPr>
              <w:t>(פ/45-46).</w:t>
            </w:r>
            <w:r w:rsidRPr="00DC28FC" w:rsidR="00364BC4">
              <w:rPr>
                <w:rFonts w:hint="cs" w:ascii="Arial" w:hAnsi="Arial"/>
                <w:rtl/>
              </w:rPr>
              <w:t xml:space="preserve"> </w:t>
            </w:r>
          </w:p>
          <w:p w:rsidRPr="00DC28FC" w:rsidR="008A540B" w:rsidP="00D33EF5" w:rsidRDefault="006041C1" w14:paraId="1B41D2D9" w14:textId="77777777">
            <w:pPr>
              <w:pStyle w:val="ab"/>
              <w:spacing w:before="120" w:after="120" w:line="360" w:lineRule="auto"/>
              <w:contextualSpacing w:val="0"/>
              <w:jc w:val="both"/>
              <w:rPr>
                <w:rFonts w:ascii="Arial" w:hAnsi="Arial"/>
                <w:rtl/>
              </w:rPr>
            </w:pPr>
            <w:r w:rsidRPr="00DC28FC">
              <w:rPr>
                <w:rFonts w:hint="cs" w:ascii="Arial" w:hAnsi="Arial"/>
                <w:rtl/>
              </w:rPr>
              <w:t>מעדותו של הנאשם עלה כי לקשיי</w:t>
            </w:r>
            <w:r w:rsidR="00D46555">
              <w:rPr>
                <w:rFonts w:hint="cs" w:ascii="Arial" w:hAnsi="Arial"/>
                <w:rtl/>
              </w:rPr>
              <w:t xml:space="preserve">ם </w:t>
            </w:r>
            <w:r w:rsidRPr="00DC28FC">
              <w:rPr>
                <w:rFonts w:hint="cs" w:ascii="Arial" w:hAnsi="Arial"/>
                <w:rtl/>
              </w:rPr>
              <w:t xml:space="preserve">אלה השפעה </w:t>
            </w:r>
            <w:r w:rsidR="00D46555">
              <w:rPr>
                <w:rFonts w:hint="cs" w:ascii="Arial" w:hAnsi="Arial"/>
                <w:rtl/>
              </w:rPr>
              <w:t xml:space="preserve">ניכרת </w:t>
            </w:r>
            <w:r w:rsidRPr="00DC28FC">
              <w:rPr>
                <w:rFonts w:hint="cs" w:ascii="Arial" w:hAnsi="Arial"/>
                <w:rtl/>
              </w:rPr>
              <w:t>על חיי היום-יום שלו</w:t>
            </w:r>
            <w:r w:rsidR="00D46555">
              <w:rPr>
                <w:rFonts w:hint="cs" w:ascii="Arial" w:hAnsi="Arial"/>
                <w:rtl/>
              </w:rPr>
              <w:t xml:space="preserve"> ועל תפקודו.</w:t>
            </w:r>
            <w:r w:rsidRPr="00DC28FC">
              <w:rPr>
                <w:rFonts w:hint="cs" w:ascii="Arial" w:hAnsi="Arial"/>
                <w:rtl/>
              </w:rPr>
              <w:t xml:space="preserve"> </w:t>
            </w:r>
            <w:r w:rsidRPr="00DC28FC" w:rsidR="004B0261">
              <w:rPr>
                <w:rFonts w:hint="cs" w:ascii="Arial" w:hAnsi="Arial"/>
                <w:rtl/>
              </w:rPr>
              <w:t xml:space="preserve">הנאשם תיאר </w:t>
            </w:r>
            <w:r w:rsidR="00D46555">
              <w:rPr>
                <w:rFonts w:hint="cs" w:ascii="Arial" w:hAnsi="Arial"/>
                <w:rtl/>
              </w:rPr>
              <w:t xml:space="preserve">כי הוא מתקשה לבצע פעולות ונוטה </w:t>
            </w:r>
            <w:r w:rsidRPr="00DC28FC" w:rsidR="004B0261">
              <w:rPr>
                <w:rFonts w:hint="cs" w:ascii="Arial" w:hAnsi="Arial"/>
                <w:rtl/>
              </w:rPr>
              <w:t>ל"דחיינות" כלשונו</w:t>
            </w:r>
            <w:r w:rsidR="00D46555">
              <w:rPr>
                <w:rFonts w:hint="cs" w:ascii="Arial" w:hAnsi="Arial"/>
                <w:rtl/>
              </w:rPr>
              <w:t xml:space="preserve"> בביצוע משימות</w:t>
            </w:r>
            <w:r w:rsidRPr="00DC28FC" w:rsidR="004B0261">
              <w:rPr>
                <w:rFonts w:hint="cs" w:ascii="Arial" w:hAnsi="Arial"/>
                <w:rtl/>
              </w:rPr>
              <w:t>, ("</w:t>
            </w:r>
            <w:r w:rsidRPr="00DC28FC" w:rsidR="004B0261">
              <w:rPr>
                <w:rFonts w:hint="cs" w:ascii="Arial" w:hAnsi="Arial" w:cs="FrankRuehl"/>
                <w:rtl/>
              </w:rPr>
              <w:t xml:space="preserve">אף פעם לא היה לי את זה. הייתי אדם מאוד מאוד משימתי בשנים האחרונות אני דוחה </w:t>
            </w:r>
            <w:r w:rsidRPr="00DC28FC" w:rsidR="003154BB">
              <w:rPr>
                <w:rFonts w:hint="cs" w:ascii="Arial" w:hAnsi="Arial" w:cs="FrankRuehl"/>
                <w:rtl/>
              </w:rPr>
              <w:t>הרבה, מה שאני לא חייב אני לא עושה</w:t>
            </w:r>
            <w:r w:rsidRPr="00DC28FC" w:rsidR="003154BB">
              <w:rPr>
                <w:rFonts w:hint="cs" w:ascii="Arial" w:hAnsi="Arial"/>
                <w:rtl/>
              </w:rPr>
              <w:t xml:space="preserve">"- פ/47 ש' 9). </w:t>
            </w:r>
            <w:r w:rsidRPr="00DC28FC" w:rsidR="008A540B">
              <w:rPr>
                <w:rFonts w:hint="cs" w:ascii="Arial" w:hAnsi="Arial"/>
                <w:rtl/>
              </w:rPr>
              <w:t>עוד סיפר כיצד מתמקדת שגרת יומו בבעיותיו הרפואיות</w:t>
            </w:r>
            <w:r w:rsidRPr="00DC28FC" w:rsidR="00BB6AE0">
              <w:rPr>
                <w:rFonts w:hint="cs" w:ascii="Arial" w:hAnsi="Arial"/>
                <w:rtl/>
              </w:rPr>
              <w:t xml:space="preserve">, וכשנשאל </w:t>
            </w:r>
            <w:r w:rsidR="00994F93">
              <w:rPr>
                <w:rFonts w:hint="cs" w:ascii="Arial" w:hAnsi="Arial"/>
                <w:rtl/>
              </w:rPr>
              <w:t xml:space="preserve">כיצד הוא מעביר את ימיו </w:t>
            </w:r>
            <w:r w:rsidRPr="00DC28FC" w:rsidR="00BB6AE0">
              <w:rPr>
                <w:rFonts w:hint="cs" w:ascii="Arial" w:hAnsi="Arial"/>
                <w:rtl/>
              </w:rPr>
              <w:t>השיב "</w:t>
            </w:r>
            <w:r w:rsidRPr="00DC28FC" w:rsidR="00BB6AE0">
              <w:rPr>
                <w:rFonts w:hint="cs" w:ascii="Arial" w:hAnsi="Arial" w:cs="FrankRuehl"/>
                <w:rtl/>
              </w:rPr>
              <w:t>לא יודע. אני ישן הרבה. כבר הרבה שנים. זהו, אני בלילה לא כ"כ ישן</w:t>
            </w:r>
            <w:r w:rsidRPr="00DC28FC" w:rsidR="00BB6AE0">
              <w:rPr>
                <w:rFonts w:hint="cs" w:ascii="Arial" w:hAnsi="Arial"/>
                <w:rtl/>
              </w:rPr>
              <w:t xml:space="preserve">" (פ/43 ש' 19), וכי הוא מתקיים מקצבת נכות ומתגורר עם אימו הקשישה הלוקה בסרטן סופני (שם).  </w:t>
            </w:r>
          </w:p>
          <w:p w:rsidRPr="00DC28FC" w:rsidR="00C87166" w:rsidP="00994F93" w:rsidRDefault="006041C1" w14:paraId="47428F92" w14:textId="77777777">
            <w:pPr>
              <w:pStyle w:val="ab"/>
              <w:spacing w:before="120" w:after="120" w:line="360" w:lineRule="auto"/>
              <w:contextualSpacing w:val="0"/>
              <w:jc w:val="both"/>
              <w:rPr>
                <w:rFonts w:ascii="Arial" w:hAnsi="Arial"/>
                <w:rtl/>
              </w:rPr>
            </w:pPr>
            <w:r w:rsidRPr="00DC28FC">
              <w:rPr>
                <w:rFonts w:hint="cs" w:ascii="Arial" w:hAnsi="Arial"/>
                <w:rtl/>
              </w:rPr>
              <w:lastRenderedPageBreak/>
              <w:t xml:space="preserve">דבריו </w:t>
            </w:r>
            <w:r w:rsidR="00994F93">
              <w:rPr>
                <w:rFonts w:hint="cs" w:ascii="Arial" w:hAnsi="Arial"/>
                <w:rtl/>
              </w:rPr>
              <w:t xml:space="preserve">של הנאשם </w:t>
            </w:r>
            <w:r w:rsidRPr="00DC28FC">
              <w:rPr>
                <w:rFonts w:hint="cs" w:ascii="Arial" w:hAnsi="Arial"/>
                <w:rtl/>
              </w:rPr>
              <w:t>בנושא</w:t>
            </w:r>
            <w:r w:rsidR="00994F93">
              <w:rPr>
                <w:rFonts w:hint="cs" w:ascii="Arial" w:hAnsi="Arial"/>
                <w:rtl/>
              </w:rPr>
              <w:t xml:space="preserve">ים אלה </w:t>
            </w:r>
            <w:r w:rsidRPr="00DC28FC">
              <w:rPr>
                <w:rFonts w:hint="cs" w:ascii="Arial" w:hAnsi="Arial"/>
                <w:rtl/>
              </w:rPr>
              <w:t xml:space="preserve">אינם עומדים בפני עצמם: </w:t>
            </w:r>
            <w:r w:rsidRPr="00DC28FC" w:rsidR="00364BC4">
              <w:rPr>
                <w:rFonts w:hint="cs" w:ascii="Arial" w:hAnsi="Arial"/>
                <w:rtl/>
              </w:rPr>
              <w:t xml:space="preserve">במסמכים הרפואיים שהוגשו כנ/3 </w:t>
            </w:r>
            <w:r w:rsidR="00994F93">
              <w:rPr>
                <w:rFonts w:hint="cs" w:ascii="Arial" w:hAnsi="Arial"/>
                <w:rtl/>
              </w:rPr>
              <w:t xml:space="preserve">תוארו מצבו והמחלות מהן הוא סובל. בכלל זה </w:t>
            </w:r>
            <w:r w:rsidRPr="00DC28FC" w:rsidR="00364BC4">
              <w:rPr>
                <w:rFonts w:hint="cs" w:ascii="Arial" w:hAnsi="Arial"/>
                <w:rtl/>
              </w:rPr>
              <w:t xml:space="preserve">הוזכרו תופעות כגון עצבנות יתר ומצב רוח ירוד (סיכום ביקור של ד"ר רימה בר </w:t>
            </w:r>
            <w:r w:rsidRPr="00DC28FC" w:rsidR="00395B89">
              <w:rPr>
                <w:rFonts w:hint="cs" w:ascii="Arial" w:hAnsi="Arial"/>
                <w:rtl/>
              </w:rPr>
              <w:t xml:space="preserve">יוסף </w:t>
            </w:r>
            <w:r w:rsidRPr="00DC28FC" w:rsidR="00364BC4">
              <w:rPr>
                <w:rFonts w:hint="cs" w:ascii="Arial" w:hAnsi="Arial"/>
                <w:rtl/>
              </w:rPr>
              <w:t>מיום 21.4.16</w:t>
            </w:r>
            <w:r w:rsidRPr="00DC28FC" w:rsidR="008A540B">
              <w:rPr>
                <w:rFonts w:hint="cs" w:ascii="Arial" w:hAnsi="Arial"/>
                <w:rtl/>
              </w:rPr>
              <w:t xml:space="preserve">). באותו מסמך צוינה </w:t>
            </w:r>
            <w:r w:rsidRPr="00DC28FC">
              <w:rPr>
                <w:rFonts w:hint="cs" w:ascii="Arial" w:hAnsi="Arial"/>
                <w:rtl/>
              </w:rPr>
              <w:t xml:space="preserve">גם אבחנה </w:t>
            </w:r>
            <w:r w:rsidRPr="00DC28FC" w:rsidR="008A540B">
              <w:rPr>
                <w:rFonts w:hint="cs" w:ascii="Arial" w:hAnsi="Arial"/>
                <w:rtl/>
              </w:rPr>
              <w:t>ש</w:t>
            </w:r>
            <w:r w:rsidRPr="00DC28FC">
              <w:rPr>
                <w:rFonts w:hint="cs" w:ascii="Arial" w:hAnsi="Arial"/>
                <w:rtl/>
              </w:rPr>
              <w:t>ל</w:t>
            </w:r>
            <w:r w:rsidRPr="00DC28FC" w:rsidR="008A540B">
              <w:rPr>
                <w:rFonts w:hint="cs" w:ascii="Arial" w:hAnsi="Arial"/>
                <w:rtl/>
              </w:rPr>
              <w:t xml:space="preserve"> </w:t>
            </w:r>
            <w:r w:rsidRPr="00DC28FC">
              <w:rPr>
                <w:rFonts w:hint="cs" w:ascii="Arial" w:hAnsi="Arial"/>
                <w:rtl/>
              </w:rPr>
              <w:t xml:space="preserve">"הפרעת דיכאון". </w:t>
            </w:r>
            <w:r w:rsidRPr="00DC28FC" w:rsidR="008A540B">
              <w:rPr>
                <w:rFonts w:hint="cs" w:ascii="Arial" w:hAnsi="Arial"/>
                <w:rtl/>
              </w:rPr>
              <w:t xml:space="preserve">אף </w:t>
            </w:r>
            <w:r w:rsidRPr="00DC28FC" w:rsidR="00CA2A0F">
              <w:rPr>
                <w:rFonts w:hint="cs" w:ascii="Arial" w:hAnsi="Arial"/>
                <w:rtl/>
              </w:rPr>
              <w:t>ה</w:t>
            </w:r>
            <w:r w:rsidRPr="00DC28FC">
              <w:rPr>
                <w:rFonts w:hint="cs" w:ascii="Arial" w:hAnsi="Arial"/>
                <w:rtl/>
              </w:rPr>
              <w:t xml:space="preserve">השפעה על דחיית </w:t>
            </w:r>
            <w:r w:rsidRPr="00DC28FC" w:rsidR="00CA2A0F">
              <w:rPr>
                <w:rFonts w:hint="cs" w:ascii="Arial" w:hAnsi="Arial"/>
                <w:rtl/>
              </w:rPr>
              <w:t xml:space="preserve">ביצוען של פעולות גם אם הן באינטרס של הנאשם ניכרה שם, </w:t>
            </w:r>
            <w:r w:rsidRPr="00DC28FC" w:rsidR="008A540B">
              <w:rPr>
                <w:rFonts w:hint="cs" w:ascii="Arial" w:hAnsi="Arial"/>
                <w:rtl/>
              </w:rPr>
              <w:t xml:space="preserve">בתיאורה </w:t>
            </w:r>
            <w:r w:rsidRPr="00DC28FC" w:rsidR="00CA2A0F">
              <w:rPr>
                <w:rFonts w:hint="cs" w:ascii="Arial" w:hAnsi="Arial"/>
                <w:rtl/>
              </w:rPr>
              <w:t>של ד"ר בר</w:t>
            </w:r>
            <w:r w:rsidRPr="00DC28FC" w:rsidR="00395B89">
              <w:rPr>
                <w:rFonts w:hint="cs" w:ascii="Arial" w:hAnsi="Arial"/>
                <w:rtl/>
              </w:rPr>
              <w:t xml:space="preserve"> יוסף</w:t>
            </w:r>
            <w:r w:rsidRPr="00DC28FC" w:rsidR="00CA2A0F">
              <w:rPr>
                <w:rFonts w:hint="cs" w:ascii="Arial" w:hAnsi="Arial"/>
                <w:rtl/>
              </w:rPr>
              <w:t xml:space="preserve"> </w:t>
            </w:r>
            <w:r w:rsidRPr="00DC28FC" w:rsidR="008A540B">
              <w:rPr>
                <w:rFonts w:hint="cs" w:ascii="Arial" w:hAnsi="Arial"/>
                <w:rtl/>
              </w:rPr>
              <w:t xml:space="preserve">לפיו </w:t>
            </w:r>
            <w:r w:rsidRPr="00DC28FC">
              <w:rPr>
                <w:rFonts w:hint="cs" w:ascii="Arial" w:hAnsi="Arial"/>
                <w:rtl/>
              </w:rPr>
              <w:t xml:space="preserve">הנאשם החליט על דעת עצמו להפסיק ליטול טיפול תרופתי לו הוא זקוק. </w:t>
            </w:r>
            <w:r w:rsidRPr="00DC28FC" w:rsidR="00CD5818">
              <w:rPr>
                <w:rFonts w:hint="cs" w:ascii="Arial" w:hAnsi="Arial"/>
                <w:rtl/>
              </w:rPr>
              <w:t xml:space="preserve">לפי </w:t>
            </w:r>
            <w:r w:rsidR="00D33EF5">
              <w:rPr>
                <w:rFonts w:hint="cs" w:ascii="Arial" w:hAnsi="Arial"/>
                <w:rtl/>
              </w:rPr>
              <w:t>ה</w:t>
            </w:r>
            <w:r w:rsidRPr="00DC28FC" w:rsidR="00CD5818">
              <w:rPr>
                <w:rFonts w:hint="cs" w:ascii="Arial" w:hAnsi="Arial"/>
                <w:rtl/>
              </w:rPr>
              <w:t xml:space="preserve">מסמכים </w:t>
            </w:r>
            <w:r w:rsidR="00D33EF5">
              <w:rPr>
                <w:rFonts w:hint="cs" w:ascii="Arial" w:hAnsi="Arial"/>
                <w:rtl/>
              </w:rPr>
              <w:t>ה</w:t>
            </w:r>
            <w:r w:rsidRPr="00DC28FC" w:rsidR="00CD5818">
              <w:rPr>
                <w:rFonts w:hint="cs" w:ascii="Arial" w:hAnsi="Arial"/>
                <w:rtl/>
              </w:rPr>
              <w:t>נוספים</w:t>
            </w:r>
            <w:r w:rsidR="00D33EF5">
              <w:rPr>
                <w:rFonts w:hint="cs" w:ascii="Arial" w:hAnsi="Arial"/>
                <w:rtl/>
              </w:rPr>
              <w:t xml:space="preserve"> שהוצגו</w:t>
            </w:r>
            <w:r w:rsidRPr="00DC28FC" w:rsidR="00CD5818">
              <w:rPr>
                <w:rFonts w:hint="cs" w:ascii="Arial" w:hAnsi="Arial"/>
                <w:rtl/>
              </w:rPr>
              <w:t xml:space="preserve">, הנאשם מטופל בתרופות רבות וכן באמצעות קנביס רפואי. </w:t>
            </w:r>
          </w:p>
          <w:p w:rsidRPr="00994F93" w:rsidR="00CA2A0F" w:rsidP="00DF4715" w:rsidRDefault="00CA2A0F" w14:paraId="5F8AAB7B" w14:textId="77777777">
            <w:pPr>
              <w:pStyle w:val="ab"/>
              <w:numPr>
                <w:ilvl w:val="0"/>
                <w:numId w:val="7"/>
              </w:numPr>
              <w:spacing w:before="120" w:after="120" w:line="360" w:lineRule="auto"/>
              <w:contextualSpacing w:val="0"/>
              <w:jc w:val="both"/>
              <w:rPr>
                <w:rFonts w:ascii="Arial" w:hAnsi="Arial"/>
              </w:rPr>
            </w:pPr>
            <w:r w:rsidRPr="00994F93">
              <w:rPr>
                <w:rFonts w:hint="cs" w:ascii="Arial" w:hAnsi="Arial"/>
                <w:rtl/>
              </w:rPr>
              <w:t xml:space="preserve">סממני מצבו הבריאותי של הנאשם ניכרו במהלך המשפט, ובפרט בעת עדותו. </w:t>
            </w:r>
            <w:r w:rsidRPr="00994F93" w:rsidR="008A540B">
              <w:rPr>
                <w:rFonts w:hint="cs" w:ascii="Arial" w:hAnsi="Arial"/>
                <w:rtl/>
              </w:rPr>
              <w:t>ביציבתו ובהתנהלותו ניכ</w:t>
            </w:r>
            <w:r w:rsidRPr="00994F93" w:rsidR="007C0ADE">
              <w:rPr>
                <w:rFonts w:hint="cs" w:ascii="Arial" w:hAnsi="Arial"/>
                <w:rtl/>
              </w:rPr>
              <w:t>ר</w:t>
            </w:r>
            <w:r w:rsidRPr="00994F93" w:rsidR="008A540B">
              <w:rPr>
                <w:rFonts w:hint="cs" w:ascii="Arial" w:hAnsi="Arial"/>
                <w:rtl/>
              </w:rPr>
              <w:t xml:space="preserve"> חוסר נחת פיזית. </w:t>
            </w:r>
            <w:r w:rsidRPr="00994F93">
              <w:rPr>
                <w:rFonts w:hint="cs" w:ascii="Arial" w:hAnsi="Arial"/>
                <w:rtl/>
              </w:rPr>
              <w:t xml:space="preserve">לפרקים איבד את חוט המחשבה. פעמים לא זכר להשיב אודות נתונים עליהם נשאל. גם נטייתו לרגזנות </w:t>
            </w:r>
            <w:r w:rsidRPr="00994F93" w:rsidR="007C0ADE">
              <w:rPr>
                <w:rFonts w:hint="cs" w:ascii="Arial" w:hAnsi="Arial"/>
                <w:rtl/>
              </w:rPr>
              <w:t xml:space="preserve">ולחוסר שקט </w:t>
            </w:r>
            <w:r w:rsidRPr="00994F93">
              <w:rPr>
                <w:rFonts w:hint="cs" w:ascii="Arial" w:hAnsi="Arial"/>
                <w:rtl/>
              </w:rPr>
              <w:t>מצאה ביטוי</w:t>
            </w:r>
            <w:r w:rsidRPr="00994F93" w:rsidR="007C0ADE">
              <w:rPr>
                <w:rFonts w:hint="cs" w:ascii="Arial" w:hAnsi="Arial"/>
                <w:rtl/>
              </w:rPr>
              <w:t xml:space="preserve"> לאורך העדות, בה התקשה להקשיב לשאלות בצורה רגועה וזאת </w:t>
            </w:r>
            <w:r w:rsidRPr="00994F93">
              <w:rPr>
                <w:rFonts w:hint="cs" w:ascii="Arial" w:hAnsi="Arial"/>
                <w:rtl/>
              </w:rPr>
              <w:t xml:space="preserve">למרות </w:t>
            </w:r>
            <w:r w:rsidRPr="00994F93" w:rsidR="007C0ADE">
              <w:rPr>
                <w:rFonts w:hint="cs" w:ascii="Arial" w:hAnsi="Arial"/>
                <w:rtl/>
              </w:rPr>
              <w:t>מאמצים</w:t>
            </w:r>
            <w:r w:rsidRPr="00994F93">
              <w:rPr>
                <w:rFonts w:hint="cs" w:ascii="Arial" w:hAnsi="Arial"/>
                <w:rtl/>
              </w:rPr>
              <w:t xml:space="preserve"> </w:t>
            </w:r>
            <w:r w:rsidRPr="00994F93" w:rsidR="008A540B">
              <w:rPr>
                <w:rFonts w:hint="cs" w:ascii="Arial" w:hAnsi="Arial"/>
                <w:rtl/>
              </w:rPr>
              <w:t xml:space="preserve">בולטים </w:t>
            </w:r>
            <w:r w:rsidRPr="00994F93" w:rsidR="007C0ADE">
              <w:rPr>
                <w:rFonts w:hint="cs" w:ascii="Arial" w:hAnsi="Arial"/>
                <w:rtl/>
              </w:rPr>
              <w:t xml:space="preserve">שעשה להתגבר על נטייתו זו </w:t>
            </w:r>
            <w:r w:rsidRPr="00994F93">
              <w:rPr>
                <w:rFonts w:hint="cs" w:ascii="Arial" w:hAnsi="Arial"/>
                <w:rtl/>
              </w:rPr>
              <w:t>באולם בית המשפט. ניכר היה כי הנאשם מתמודד עם מצב מורכב</w:t>
            </w:r>
            <w:r w:rsidRPr="00994F93" w:rsidR="008A540B">
              <w:rPr>
                <w:rFonts w:hint="cs" w:ascii="Arial" w:hAnsi="Arial"/>
                <w:rtl/>
              </w:rPr>
              <w:t xml:space="preserve">, </w:t>
            </w:r>
            <w:r w:rsidRPr="00994F93">
              <w:rPr>
                <w:rFonts w:hint="cs" w:ascii="Arial" w:hAnsi="Arial"/>
                <w:rtl/>
              </w:rPr>
              <w:t>המשפיע על יכולות</w:t>
            </w:r>
            <w:r w:rsidRPr="00994F93" w:rsidR="009D0203">
              <w:rPr>
                <w:rFonts w:hint="cs" w:ascii="Arial" w:hAnsi="Arial"/>
                <w:rtl/>
              </w:rPr>
              <w:t>יו</w:t>
            </w:r>
            <w:r w:rsidRPr="00994F93">
              <w:rPr>
                <w:rFonts w:hint="cs" w:ascii="Arial" w:hAnsi="Arial"/>
                <w:rtl/>
              </w:rPr>
              <w:t xml:space="preserve"> </w:t>
            </w:r>
            <w:r w:rsidRPr="00994F93" w:rsidR="007C0ADE">
              <w:rPr>
                <w:rFonts w:hint="cs" w:ascii="Arial" w:hAnsi="Arial"/>
                <w:rtl/>
              </w:rPr>
              <w:t>ה</w:t>
            </w:r>
            <w:r w:rsidRPr="00994F93">
              <w:rPr>
                <w:rFonts w:hint="cs" w:ascii="Arial" w:hAnsi="Arial"/>
                <w:rtl/>
              </w:rPr>
              <w:t xml:space="preserve">תפקודיות. </w:t>
            </w:r>
          </w:p>
          <w:p w:rsidRPr="00DC28FC" w:rsidR="008A540B" w:rsidP="00994F93" w:rsidRDefault="008A540B" w14:paraId="65E1668C"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אני ער לכך שעדות הנאשם נמסרה בינואר 2018, בעוד שהעבירות מושא הליך זה נעברו בשנים 2005-2011</w:t>
            </w:r>
            <w:r w:rsidRPr="00DC28FC" w:rsidR="007C0ADE">
              <w:rPr>
                <w:rFonts w:hint="cs" w:ascii="Arial" w:hAnsi="Arial"/>
                <w:rtl/>
              </w:rPr>
              <w:t xml:space="preserve">, </w:t>
            </w:r>
            <w:r w:rsidR="00994F93">
              <w:rPr>
                <w:rFonts w:hint="cs" w:ascii="Arial" w:hAnsi="Arial"/>
                <w:rtl/>
              </w:rPr>
              <w:t>ואיבחונו של הנאשם כחולה ב</w:t>
            </w:r>
            <w:r w:rsidRPr="00DC28FC" w:rsidR="007C0ADE">
              <w:rPr>
                <w:rFonts w:hint="cs" w:ascii="Arial" w:hAnsi="Arial"/>
                <w:rtl/>
              </w:rPr>
              <w:t>פרקינסון בוצע כאמור סביב 2013</w:t>
            </w:r>
            <w:r w:rsidRPr="00DC28FC">
              <w:rPr>
                <w:rFonts w:hint="cs" w:ascii="Arial" w:hAnsi="Arial"/>
                <w:rtl/>
              </w:rPr>
              <w:t xml:space="preserve">. </w:t>
            </w:r>
            <w:r w:rsidR="00D33EF5">
              <w:rPr>
                <w:rFonts w:hint="cs" w:ascii="Arial" w:hAnsi="Arial"/>
                <w:rtl/>
              </w:rPr>
              <w:t xml:space="preserve">רוב המסמכים הרפואיים שהוצגו הם מהשנים האחרונות. כך, </w:t>
            </w:r>
            <w:r w:rsidRPr="00DC28FC" w:rsidR="007C0ADE">
              <w:rPr>
                <w:rFonts w:hint="cs" w:ascii="Arial" w:hAnsi="Arial"/>
                <w:rtl/>
              </w:rPr>
              <w:t xml:space="preserve">אין לפניי הוכחה שלמה לכך </w:t>
            </w:r>
            <w:r w:rsidR="00994F93">
              <w:rPr>
                <w:rFonts w:hint="cs" w:ascii="Arial" w:hAnsi="Arial"/>
                <w:rtl/>
              </w:rPr>
              <w:t xml:space="preserve">שבשנים הרלבנטיות להליך זה </w:t>
            </w:r>
            <w:r w:rsidRPr="00DC28FC" w:rsidR="007C0ADE">
              <w:rPr>
                <w:rFonts w:hint="cs" w:ascii="Arial" w:hAnsi="Arial"/>
                <w:rtl/>
              </w:rPr>
              <w:t xml:space="preserve">סבל הנאשם מפרקינסון. </w:t>
            </w:r>
            <w:r w:rsidRPr="00DC28FC">
              <w:rPr>
                <w:rFonts w:hint="cs" w:ascii="Arial" w:hAnsi="Arial"/>
                <w:rtl/>
              </w:rPr>
              <w:t xml:space="preserve">ועם זאת, מספר אינדיקציות תומכות בטענת הנאשם כי כבר בשנים הרלבנטיות סבל </w:t>
            </w:r>
            <w:r w:rsidR="00994F93">
              <w:rPr>
                <w:rFonts w:hint="cs" w:ascii="Arial" w:hAnsi="Arial"/>
                <w:rtl/>
              </w:rPr>
              <w:t xml:space="preserve">מן הסימפטומים של המחלה וזאת </w:t>
            </w:r>
            <w:r w:rsidRPr="00DC28FC">
              <w:rPr>
                <w:rFonts w:hint="cs" w:ascii="Arial" w:hAnsi="Arial"/>
                <w:rtl/>
              </w:rPr>
              <w:t>גם אם טרם אובחן "רשמית" כלוקה ב</w:t>
            </w:r>
            <w:r w:rsidR="00994F93">
              <w:rPr>
                <w:rFonts w:hint="cs" w:ascii="Arial" w:hAnsi="Arial"/>
                <w:rtl/>
              </w:rPr>
              <w:t>ה</w:t>
            </w:r>
            <w:r w:rsidRPr="00DC28FC" w:rsidR="003F66C3">
              <w:rPr>
                <w:rFonts w:hint="cs" w:ascii="Arial" w:hAnsi="Arial"/>
                <w:rtl/>
              </w:rPr>
              <w:t>, וכי אלה השפיעו על התנהלותו מושא הליך זה</w:t>
            </w:r>
            <w:r w:rsidRPr="00DC28FC">
              <w:rPr>
                <w:rFonts w:hint="cs" w:ascii="Arial" w:hAnsi="Arial"/>
                <w:rtl/>
              </w:rPr>
              <w:t>. כך המהימנות שהותירה עדותו בנושא</w:t>
            </w:r>
            <w:r w:rsidRPr="00DC28FC" w:rsidR="007C0ADE">
              <w:rPr>
                <w:rFonts w:hint="cs" w:ascii="Arial" w:hAnsi="Arial"/>
                <w:rtl/>
              </w:rPr>
              <w:t>, בה ארחיב בהמשך</w:t>
            </w:r>
            <w:r w:rsidRPr="00DC28FC">
              <w:rPr>
                <w:rFonts w:hint="cs" w:ascii="Arial" w:hAnsi="Arial"/>
                <w:rtl/>
              </w:rPr>
              <w:t>. כך גם ראיות מזמן אמת:</w:t>
            </w:r>
          </w:p>
          <w:p w:rsidRPr="00DC28FC" w:rsidR="008A540B" w:rsidP="00994F93" w:rsidRDefault="008A540B" w14:paraId="1327F309" w14:textId="5FEF1CE3">
            <w:pPr>
              <w:pStyle w:val="ab"/>
              <w:spacing w:before="120" w:after="120" w:line="360" w:lineRule="auto"/>
              <w:contextualSpacing w:val="0"/>
              <w:jc w:val="both"/>
              <w:rPr>
                <w:rFonts w:ascii="Arial" w:hAnsi="Arial"/>
                <w:rtl/>
              </w:rPr>
            </w:pPr>
            <w:r w:rsidRPr="00DC28FC">
              <w:rPr>
                <w:rFonts w:hint="cs" w:ascii="Arial" w:hAnsi="Arial"/>
                <w:rtl/>
              </w:rPr>
              <w:t>בחודש מרץ 2005 נבדק הנאשם בידי רופא בשם פרופ' וילנסקי. אלה התלונות שהציג בפני הרופא: "</w:t>
            </w:r>
            <w:r w:rsidRPr="00DC28FC">
              <w:rPr>
                <w:rFonts w:hint="cs" w:ascii="Arial" w:hAnsi="Arial" w:cs="FrankRuehl"/>
                <w:rtl/>
              </w:rPr>
              <w:t>נדודי שינה, בלילה הרבה פעמים אני קופץ מהמיטה. רגזנות יתר, פיזור נפש, שוכח הכל, מאבד חפציו באופן תדיר...</w:t>
            </w:r>
            <w:r w:rsidR="0031781C">
              <w:rPr>
                <w:rFonts w:hint="cs" w:ascii="Arial" w:hAnsi="Arial" w:cs="FrankRuehl"/>
                <w:rtl/>
              </w:rPr>
              <w:t xml:space="preserve"> </w:t>
            </w:r>
            <w:r w:rsidRPr="00DC28FC">
              <w:rPr>
                <w:rFonts w:hint="cs" w:ascii="Arial" w:hAnsi="Arial" w:cs="FrankRuehl"/>
                <w:rtl/>
              </w:rPr>
              <w:t>דחיינות, בודק אם סגר את הדלת אחריו</w:t>
            </w:r>
            <w:r w:rsidRPr="00DC28FC">
              <w:rPr>
                <w:rFonts w:hint="cs" w:ascii="Arial" w:hAnsi="Arial"/>
                <w:rtl/>
              </w:rPr>
              <w:t xml:space="preserve">" וכן רעד באיברים (פ/49 ש' 14-23). </w:t>
            </w:r>
          </w:p>
          <w:p w:rsidR="008A540B" w:rsidP="00994F93" w:rsidRDefault="009D0203" w14:paraId="7EA36281" w14:textId="77777777">
            <w:pPr>
              <w:pStyle w:val="ab"/>
              <w:spacing w:before="120" w:after="120" w:line="360" w:lineRule="auto"/>
              <w:contextualSpacing w:val="0"/>
              <w:jc w:val="both"/>
              <w:rPr>
                <w:rFonts w:ascii="Arial" w:hAnsi="Arial"/>
                <w:rtl/>
              </w:rPr>
            </w:pPr>
            <w:r w:rsidRPr="00DC28FC">
              <w:rPr>
                <w:rFonts w:hint="cs" w:ascii="Arial" w:hAnsi="Arial"/>
                <w:rtl/>
              </w:rPr>
              <w:t xml:space="preserve">בנוסף, </w:t>
            </w:r>
            <w:r w:rsidRPr="00DC28FC" w:rsidR="008A540B">
              <w:rPr>
                <w:rFonts w:hint="cs" w:ascii="Arial" w:hAnsi="Arial"/>
                <w:rtl/>
              </w:rPr>
              <w:t xml:space="preserve">בגזר הדין בהליך הקודם בו הורשע הנאשם, ת.פ. 3994/03, שניתן בינואר 2006 ואשר הוגש בהליך הנוכחי בידי המאשימה, ציין בית המשפט כי הפסיכיאטר המחוזי מצא </w:t>
            </w:r>
            <w:r w:rsidR="00994F93">
              <w:rPr>
                <w:rFonts w:hint="cs" w:ascii="Arial" w:hAnsi="Arial"/>
                <w:rtl/>
              </w:rPr>
              <w:t>ש</w:t>
            </w:r>
            <w:r w:rsidRPr="00DC28FC" w:rsidR="008A540B">
              <w:rPr>
                <w:rFonts w:hint="cs" w:ascii="Arial" w:hAnsi="Arial"/>
                <w:rtl/>
              </w:rPr>
              <w:t>מצבו הנפשי של הנאשם "</w:t>
            </w:r>
            <w:r w:rsidRPr="00DC28FC" w:rsidR="008A540B">
              <w:rPr>
                <w:rFonts w:hint="cs" w:ascii="Arial" w:hAnsi="Arial" w:cs="FrankRuehl"/>
                <w:rtl/>
              </w:rPr>
              <w:t>אינו תקין לגמרי והוא נזקק לטיפול נפשי</w:t>
            </w:r>
            <w:r w:rsidRPr="00DC28FC" w:rsidR="008A540B">
              <w:rPr>
                <w:rFonts w:hint="cs" w:ascii="Arial" w:hAnsi="Arial"/>
                <w:rtl/>
              </w:rPr>
              <w:t>".</w:t>
            </w:r>
            <w:r w:rsidR="00994F93">
              <w:rPr>
                <w:rFonts w:hint="cs" w:ascii="Arial" w:hAnsi="Arial"/>
                <w:rtl/>
              </w:rPr>
              <w:t xml:space="preserve"> את החלטתו לשנות את עונש המאסר בפועל לעונש של עבודות שירות נימק בית המשפט שם "</w:t>
            </w:r>
            <w:r w:rsidRPr="00994F93" w:rsidR="00994F93">
              <w:rPr>
                <w:rFonts w:hint="cs" w:ascii="Arial" w:hAnsi="Arial" w:cs="FrankRuehl"/>
                <w:rtl/>
              </w:rPr>
              <w:t>בנסיבות החריגות של הנאשם בתיק זה</w:t>
            </w:r>
            <w:r w:rsidR="00994F93">
              <w:rPr>
                <w:rFonts w:hint="cs" w:ascii="Arial" w:hAnsi="Arial"/>
                <w:rtl/>
              </w:rPr>
              <w:t xml:space="preserve">". </w:t>
            </w:r>
          </w:p>
          <w:p w:rsidRPr="00DC28FC" w:rsidR="007C0ADE" w:rsidP="00E9447D" w:rsidRDefault="007C0ADE" w14:paraId="5D06DE94"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לאלה אוסיף, כבסיס להוכחת קשייו הבריאותיים והמנטליים של הנאשם בזמן אמת, כי עדות</w:t>
            </w:r>
            <w:r w:rsidRPr="00DC28FC" w:rsidR="003F66C3">
              <w:rPr>
                <w:rFonts w:hint="cs" w:ascii="Arial" w:hAnsi="Arial"/>
                <w:rtl/>
              </w:rPr>
              <w:t>ו</w:t>
            </w:r>
            <w:r w:rsidRPr="00DC28FC">
              <w:rPr>
                <w:rFonts w:hint="cs" w:ascii="Arial" w:hAnsi="Arial"/>
                <w:rtl/>
              </w:rPr>
              <w:t xml:space="preserve"> בכללה, ובדגש על הטענה הנדונה כאן, הותירה רושם אמין. כפי שציינתי לעיל, קשייו של </w:t>
            </w:r>
            <w:r w:rsidRPr="00DC28FC">
              <w:rPr>
                <w:rFonts w:hint="cs" w:ascii="Arial" w:hAnsi="Arial"/>
                <w:rtl/>
              </w:rPr>
              <w:lastRenderedPageBreak/>
              <w:t xml:space="preserve">הנאשם ניכרו לעין. בפרט, לאורך העדות כולה ניכר היה שהוא מתקשה לזכור עובדות ולהשיב לנשאל. עם זאת נמנע מלהתכחש בכזב לאלמנטים שאינם נוחים לו וכך אישר, למשל, כי ידע </w:t>
            </w:r>
            <w:r w:rsidRPr="00DC28FC" w:rsidR="00C0626C">
              <w:rPr>
                <w:rFonts w:hint="cs" w:ascii="Arial" w:hAnsi="Arial"/>
                <w:rtl/>
              </w:rPr>
              <w:t xml:space="preserve">על החובה לשלם </w:t>
            </w:r>
            <w:r w:rsidRPr="00DC28FC">
              <w:rPr>
                <w:rFonts w:hint="cs" w:ascii="Arial" w:hAnsi="Arial"/>
                <w:rtl/>
              </w:rPr>
              <w:t>מס</w:t>
            </w:r>
            <w:r w:rsidRPr="00DC28FC" w:rsidR="00C0626C">
              <w:rPr>
                <w:rFonts w:hint="cs" w:ascii="Arial" w:hAnsi="Arial"/>
              </w:rPr>
              <w:t xml:space="preserve"> </w:t>
            </w:r>
            <w:r w:rsidRPr="00DC28FC" w:rsidR="00C0626C">
              <w:rPr>
                <w:rFonts w:hint="cs" w:ascii="Arial" w:hAnsi="Arial"/>
                <w:rtl/>
              </w:rPr>
              <w:t xml:space="preserve">(פ/52 ש' 14). </w:t>
            </w:r>
            <w:r w:rsidR="00E9447D">
              <w:rPr>
                <w:rFonts w:hint="cs" w:ascii="Arial" w:hAnsi="Arial"/>
                <w:rtl/>
              </w:rPr>
              <w:t xml:space="preserve">בפרט, </w:t>
            </w:r>
            <w:r w:rsidRPr="00DC28FC" w:rsidR="00C0626C">
              <w:rPr>
                <w:rFonts w:hint="cs" w:ascii="Arial" w:hAnsi="Arial"/>
                <w:rtl/>
              </w:rPr>
              <w:t xml:space="preserve">אמירותיו </w:t>
            </w:r>
            <w:r w:rsidR="004E1B61">
              <w:rPr>
                <w:rFonts w:hint="cs" w:ascii="Arial" w:hAnsi="Arial"/>
                <w:rtl/>
              </w:rPr>
              <w:t xml:space="preserve">בדבר קשיי הזיכרון שלו </w:t>
            </w:r>
            <w:r w:rsidRPr="00DC28FC" w:rsidR="00C0626C">
              <w:rPr>
                <w:rFonts w:hint="cs" w:ascii="Arial" w:hAnsi="Arial"/>
                <w:rtl/>
              </w:rPr>
              <w:t xml:space="preserve">הותירו רושם </w:t>
            </w:r>
            <w:r w:rsidR="00CF07F6">
              <w:rPr>
                <w:rFonts w:hint="cs" w:ascii="Arial" w:hAnsi="Arial"/>
                <w:rtl/>
              </w:rPr>
              <w:t>כן</w:t>
            </w:r>
            <w:r w:rsidRPr="00DC28FC" w:rsidR="00C0626C">
              <w:rPr>
                <w:rFonts w:hint="cs" w:ascii="Arial" w:hAnsi="Arial"/>
                <w:rtl/>
              </w:rPr>
              <w:t xml:space="preserve">. </w:t>
            </w:r>
            <w:r w:rsidR="004E1B61">
              <w:rPr>
                <w:rFonts w:hint="cs" w:ascii="Arial" w:hAnsi="Arial"/>
                <w:rtl/>
              </w:rPr>
              <w:t>להמחשה</w:t>
            </w:r>
            <w:r w:rsidRPr="00DC28FC" w:rsidR="00C0626C">
              <w:rPr>
                <w:rFonts w:hint="cs" w:ascii="Arial" w:hAnsi="Arial"/>
                <w:rtl/>
              </w:rPr>
              <w:t xml:space="preserve">, הוא לא ידע לומר כמה פעמים נחקר ברשויות המס ובד-בבד נמנע מלהתכחש לטענת התובעת שדובר בשלוש חקירות (פ/50). כשנשאל האם לפני 2005 שילם מיסים, </w:t>
            </w:r>
            <w:r w:rsidR="00E9447D">
              <w:rPr>
                <w:rFonts w:hint="cs" w:ascii="Arial" w:hAnsi="Arial"/>
                <w:rtl/>
              </w:rPr>
              <w:t xml:space="preserve">לא </w:t>
            </w:r>
            <w:r w:rsidRPr="00DC28FC" w:rsidR="00C0626C">
              <w:rPr>
                <w:rFonts w:hint="cs" w:ascii="Arial" w:hAnsi="Arial"/>
                <w:rtl/>
              </w:rPr>
              <w:t xml:space="preserve">השיב </w:t>
            </w:r>
            <w:r w:rsidR="00E9447D">
              <w:rPr>
                <w:rFonts w:hint="cs" w:ascii="Arial" w:hAnsi="Arial"/>
                <w:rtl/>
              </w:rPr>
              <w:t xml:space="preserve">בחיוב או שלילה אלא </w:t>
            </w:r>
            <w:r w:rsidRPr="00DC28FC" w:rsidR="00C0626C">
              <w:rPr>
                <w:rFonts w:hint="cs" w:ascii="Arial" w:hAnsi="Arial"/>
                <w:rtl/>
              </w:rPr>
              <w:t xml:space="preserve">שאינו זוכר (פ/52). ניכר היה גם שאינו זוכר את ההליך הקודם בו הורשע, וכך כשנשאל תחילה </w:t>
            </w:r>
            <w:r w:rsidR="004E1B61">
              <w:rPr>
                <w:rFonts w:hint="cs" w:ascii="Arial" w:hAnsi="Arial"/>
                <w:rtl/>
              </w:rPr>
              <w:t>(</w:t>
            </w:r>
            <w:r w:rsidRPr="00DC28FC" w:rsidR="00C0626C">
              <w:rPr>
                <w:rFonts w:hint="cs" w:ascii="Arial" w:hAnsi="Arial"/>
                <w:rtl/>
              </w:rPr>
              <w:t>מבלי שהוצג לו פסק הדין</w:t>
            </w:r>
            <w:r w:rsidR="004E1B61">
              <w:rPr>
                <w:rFonts w:hint="cs" w:ascii="Arial" w:hAnsi="Arial"/>
                <w:rtl/>
              </w:rPr>
              <w:t xml:space="preserve"> או אוזכר ההליך הקודם)</w:t>
            </w:r>
            <w:r w:rsidRPr="00DC28FC" w:rsidR="00C0626C">
              <w:rPr>
                <w:rFonts w:hint="cs" w:ascii="Arial" w:hAnsi="Arial"/>
                <w:rtl/>
              </w:rPr>
              <w:t xml:space="preserve"> האם היה </w:t>
            </w:r>
            <w:r w:rsidR="00CE040A">
              <w:rPr>
                <w:rFonts w:hint="cs" w:ascii="Arial" w:hAnsi="Arial"/>
                <w:rtl/>
              </w:rPr>
              <w:t>בעבר בבית המשפט בענייני</w:t>
            </w:r>
            <w:r w:rsidRPr="00DC28FC" w:rsidR="00C0626C">
              <w:rPr>
                <w:rFonts w:hint="cs" w:ascii="Arial" w:hAnsi="Arial"/>
                <w:rtl/>
              </w:rPr>
              <w:t xml:space="preserve"> מס הכנסה, </w:t>
            </w:r>
            <w:r w:rsidR="004E1B61">
              <w:rPr>
                <w:rFonts w:hint="cs" w:ascii="Arial" w:hAnsi="Arial"/>
                <w:rtl/>
              </w:rPr>
              <w:t>השיב</w:t>
            </w:r>
            <w:r w:rsidRPr="00DC28FC" w:rsidR="00C0626C">
              <w:rPr>
                <w:rFonts w:hint="cs" w:ascii="Arial" w:hAnsi="Arial"/>
                <w:rtl/>
              </w:rPr>
              <w:t xml:space="preserve"> "</w:t>
            </w:r>
            <w:r w:rsidRPr="004E1B61" w:rsidR="00C0626C">
              <w:rPr>
                <w:rFonts w:hint="cs" w:ascii="Arial" w:hAnsi="Arial" w:cs="FrankRuehl"/>
                <w:rtl/>
              </w:rPr>
              <w:t>אפשרי</w:t>
            </w:r>
            <w:r w:rsidRPr="00DC28FC" w:rsidR="00C0626C">
              <w:rPr>
                <w:rFonts w:hint="cs" w:ascii="Arial" w:hAnsi="Arial"/>
                <w:rtl/>
              </w:rPr>
              <w:t>" והוסיף "</w:t>
            </w:r>
            <w:r w:rsidRPr="004E1B61" w:rsidR="00C0626C">
              <w:rPr>
                <w:rFonts w:hint="cs" w:ascii="Arial" w:hAnsi="Arial" w:cs="FrankRuehl"/>
                <w:rtl/>
              </w:rPr>
              <w:t>את מנסה להעיד אותי על דברים שאיני זוכר</w:t>
            </w:r>
            <w:r w:rsidRPr="00DC28FC" w:rsidR="00C0626C">
              <w:rPr>
                <w:rFonts w:hint="cs" w:ascii="Arial" w:hAnsi="Arial"/>
                <w:rtl/>
              </w:rPr>
              <w:t xml:space="preserve">". גם כשפסק הדין </w:t>
            </w:r>
            <w:r w:rsidR="00E9447D">
              <w:rPr>
                <w:rFonts w:hint="cs" w:ascii="Arial" w:hAnsi="Arial"/>
                <w:rtl/>
              </w:rPr>
              <w:t xml:space="preserve">בו הורשע </w:t>
            </w:r>
            <w:r w:rsidRPr="00DC28FC" w:rsidR="00C0626C">
              <w:rPr>
                <w:rFonts w:hint="cs" w:ascii="Arial" w:hAnsi="Arial"/>
                <w:rtl/>
              </w:rPr>
              <w:t>הוצג לו והגם שברור היה שיתקשה להתכחש אליו השיב "</w:t>
            </w:r>
            <w:r w:rsidRPr="004E1B61" w:rsidR="00C0626C">
              <w:rPr>
                <w:rFonts w:hint="cs" w:ascii="Arial" w:hAnsi="Arial" w:cs="FrankRuehl"/>
                <w:rtl/>
              </w:rPr>
              <w:t>היה משהו, אני לא זוכר</w:t>
            </w:r>
            <w:r w:rsidRPr="00DC28FC" w:rsidR="00C0626C">
              <w:rPr>
                <w:rFonts w:hint="cs" w:ascii="Arial" w:hAnsi="Arial"/>
                <w:rtl/>
              </w:rPr>
              <w:t>" (פ/53).</w:t>
            </w:r>
            <w:r w:rsidRPr="00DC28FC" w:rsidR="00707CA3">
              <w:rPr>
                <w:rFonts w:hint="cs" w:ascii="Arial" w:hAnsi="Arial"/>
                <w:rtl/>
              </w:rPr>
              <w:t xml:space="preserve"> תשובותיו בנושא </w:t>
            </w:r>
            <w:r w:rsidR="00CE040A">
              <w:rPr>
                <w:rFonts w:hint="cs" w:ascii="Arial" w:hAnsi="Arial"/>
                <w:rtl/>
              </w:rPr>
              <w:t xml:space="preserve">הותירו רושם של </w:t>
            </w:r>
            <w:r w:rsidR="00F00496">
              <w:rPr>
                <w:rFonts w:hint="cs" w:ascii="Arial" w:hAnsi="Arial"/>
                <w:rtl/>
              </w:rPr>
              <w:t>כנות</w:t>
            </w:r>
            <w:r w:rsidRPr="00DC28FC" w:rsidR="00707CA3">
              <w:rPr>
                <w:rFonts w:hint="cs" w:ascii="Arial" w:hAnsi="Arial"/>
                <w:rtl/>
              </w:rPr>
              <w:t xml:space="preserve">, רושם כשהתחזק כאשר התובעת הטיחה בו ששהה בכלא משך 45 ימים כעונש בגין אותו הליך, וגם לעניין זה השיב </w:t>
            </w:r>
            <w:r w:rsidR="00F00496">
              <w:rPr>
                <w:rFonts w:hint="cs" w:ascii="Arial" w:hAnsi="Arial"/>
                <w:rtl/>
              </w:rPr>
              <w:t xml:space="preserve">הנאשם </w:t>
            </w:r>
            <w:r w:rsidRPr="00DC28FC" w:rsidR="00707CA3">
              <w:rPr>
                <w:rFonts w:hint="cs" w:ascii="Arial" w:hAnsi="Arial"/>
                <w:rtl/>
              </w:rPr>
              <w:t xml:space="preserve">שאינו זוכר הגם שהדבר </w:t>
            </w:r>
            <w:r w:rsidR="00E9447D">
              <w:rPr>
                <w:rFonts w:hint="cs" w:ascii="Arial" w:hAnsi="Arial"/>
                <w:rtl/>
              </w:rPr>
              <w:t xml:space="preserve">נכתב </w:t>
            </w:r>
            <w:r w:rsidR="00F00496">
              <w:rPr>
                <w:rFonts w:hint="cs" w:ascii="Arial" w:hAnsi="Arial"/>
                <w:rtl/>
              </w:rPr>
              <w:t xml:space="preserve">בגזר הדין </w:t>
            </w:r>
            <w:r w:rsidRPr="00DC28FC" w:rsidR="00707CA3">
              <w:rPr>
                <w:rFonts w:hint="cs" w:ascii="Arial" w:hAnsi="Arial"/>
                <w:rtl/>
              </w:rPr>
              <w:t xml:space="preserve">שהוצג לו (פ/54, פ/65). </w:t>
            </w:r>
            <w:r w:rsidRPr="00DC28FC" w:rsidR="00C0626C">
              <w:rPr>
                <w:rFonts w:hint="cs" w:ascii="Arial" w:hAnsi="Arial"/>
                <w:rtl/>
              </w:rPr>
              <w:t xml:space="preserve"> </w:t>
            </w:r>
            <w:r w:rsidRPr="00DC28FC" w:rsidR="00707CA3">
              <w:rPr>
                <w:rFonts w:hint="cs" w:ascii="Arial" w:hAnsi="Arial"/>
                <w:rtl/>
              </w:rPr>
              <w:t>חשיבות נתון זה בכך ש</w:t>
            </w:r>
            <w:r w:rsidR="00E9447D">
              <w:rPr>
                <w:rFonts w:hint="cs" w:ascii="Arial" w:hAnsi="Arial"/>
                <w:rtl/>
              </w:rPr>
              <w:t xml:space="preserve">דובר בנתון שגוי: </w:t>
            </w:r>
            <w:r w:rsidRPr="00DC28FC" w:rsidR="00707CA3">
              <w:rPr>
                <w:rFonts w:hint="cs" w:ascii="Arial" w:hAnsi="Arial"/>
                <w:rtl/>
              </w:rPr>
              <w:t xml:space="preserve">התביעה הציגה, בדיעבד ועם סיכומיה, </w:t>
            </w:r>
            <w:r w:rsidR="00E9447D">
              <w:rPr>
                <w:rFonts w:hint="cs" w:ascii="Arial" w:hAnsi="Arial"/>
                <w:rtl/>
              </w:rPr>
              <w:t xml:space="preserve">נתונים מהם עלה </w:t>
            </w:r>
            <w:r w:rsidRPr="00DC28FC" w:rsidR="00707CA3">
              <w:rPr>
                <w:rFonts w:hint="cs" w:ascii="Arial" w:hAnsi="Arial"/>
                <w:rtl/>
              </w:rPr>
              <w:t>כי הוראת המאסר בפועל שונתה בעקבות הליך ערעור ל-60 ימי מאסר בעבודות שירות</w:t>
            </w:r>
            <w:r w:rsidR="00E9447D">
              <w:rPr>
                <w:rFonts w:hint="cs" w:ascii="Arial" w:hAnsi="Arial"/>
                <w:rtl/>
              </w:rPr>
              <w:t xml:space="preserve">. הדבר ממחיש את כנות הנאשם: </w:t>
            </w:r>
            <w:r w:rsidRPr="00DC28FC" w:rsidR="00707CA3">
              <w:rPr>
                <w:rFonts w:hint="cs" w:ascii="Arial" w:hAnsi="Arial"/>
                <w:rtl/>
              </w:rPr>
              <w:t xml:space="preserve">לו זכר </w:t>
            </w:r>
            <w:r w:rsidR="00E9447D">
              <w:rPr>
                <w:rFonts w:hint="cs" w:ascii="Arial" w:hAnsi="Arial"/>
                <w:rtl/>
              </w:rPr>
              <w:t>את העובדות</w:t>
            </w:r>
            <w:r w:rsidRPr="00DC28FC" w:rsidR="00707CA3">
              <w:rPr>
                <w:rFonts w:hint="cs" w:ascii="Arial" w:hAnsi="Arial"/>
                <w:rtl/>
              </w:rPr>
              <w:t xml:space="preserve">, סביר שהיה </w:t>
            </w:r>
            <w:r w:rsidR="00CF07F6">
              <w:rPr>
                <w:rFonts w:hint="cs" w:ascii="Arial" w:hAnsi="Arial"/>
                <w:rtl/>
              </w:rPr>
              <w:t>מנצל את ההזדמנות לחשוף את טעותה של המאשימה</w:t>
            </w:r>
            <w:r w:rsidR="00E9447D">
              <w:rPr>
                <w:rFonts w:hint="cs" w:ascii="Arial" w:hAnsi="Arial"/>
                <w:rtl/>
              </w:rPr>
              <w:t xml:space="preserve"> כאשר הטיחה בו בשוגג שריצה מאסר בפועל,</w:t>
            </w:r>
            <w:r w:rsidR="00CF07F6">
              <w:rPr>
                <w:rFonts w:hint="cs" w:ascii="Arial" w:hAnsi="Arial"/>
                <w:rtl/>
              </w:rPr>
              <w:t xml:space="preserve"> </w:t>
            </w:r>
            <w:r w:rsidR="00E9447D">
              <w:rPr>
                <w:rFonts w:hint="cs" w:ascii="Arial" w:hAnsi="Arial"/>
                <w:rtl/>
              </w:rPr>
              <w:t xml:space="preserve">ומשיב </w:t>
            </w:r>
            <w:r w:rsidRPr="00DC28FC" w:rsidR="00707CA3">
              <w:rPr>
                <w:rFonts w:hint="cs" w:ascii="Arial" w:hAnsi="Arial"/>
                <w:rtl/>
              </w:rPr>
              <w:t xml:space="preserve">שלא </w:t>
            </w:r>
            <w:r w:rsidR="00E9447D">
              <w:rPr>
                <w:rFonts w:hint="cs" w:ascii="Arial" w:hAnsi="Arial"/>
                <w:rtl/>
              </w:rPr>
              <w:t>כך היה</w:t>
            </w:r>
            <w:r w:rsidRPr="00DC28FC" w:rsidR="00707CA3">
              <w:rPr>
                <w:rFonts w:hint="cs" w:ascii="Arial" w:hAnsi="Arial"/>
                <w:rtl/>
              </w:rPr>
              <w:t xml:space="preserve">. </w:t>
            </w:r>
            <w:r w:rsidR="00CF07F6">
              <w:rPr>
                <w:rFonts w:hint="cs" w:ascii="Arial" w:hAnsi="Arial"/>
                <w:rtl/>
              </w:rPr>
              <w:t xml:space="preserve">הימנעותו מלעשות כן </w:t>
            </w:r>
            <w:r w:rsidRPr="00DC28FC" w:rsidR="00707CA3">
              <w:rPr>
                <w:rFonts w:hint="cs" w:ascii="Arial" w:hAnsi="Arial"/>
                <w:rtl/>
              </w:rPr>
              <w:t>ממחיש</w:t>
            </w:r>
            <w:r w:rsidR="00CF07F6">
              <w:rPr>
                <w:rFonts w:hint="cs" w:ascii="Arial" w:hAnsi="Arial"/>
                <w:rtl/>
              </w:rPr>
              <w:t>ה</w:t>
            </w:r>
            <w:r w:rsidRPr="00DC28FC" w:rsidR="00707CA3">
              <w:rPr>
                <w:rFonts w:hint="cs" w:ascii="Arial" w:hAnsi="Arial"/>
                <w:rtl/>
              </w:rPr>
              <w:t xml:space="preserve"> את אמינות תגובתו בפועל כי אינו זוכר</w:t>
            </w:r>
            <w:r w:rsidR="00E9447D">
              <w:rPr>
                <w:rFonts w:hint="cs" w:ascii="Arial" w:hAnsi="Arial"/>
                <w:rtl/>
              </w:rPr>
              <w:t xml:space="preserve">, וכן </w:t>
            </w:r>
            <w:r w:rsidRPr="00DC28FC" w:rsidR="00707CA3">
              <w:rPr>
                <w:rFonts w:hint="cs" w:ascii="Arial" w:hAnsi="Arial"/>
                <w:rtl/>
              </w:rPr>
              <w:t xml:space="preserve">את היקף </w:t>
            </w:r>
            <w:r w:rsidR="00E9447D">
              <w:rPr>
                <w:rFonts w:hint="cs" w:ascii="Arial" w:hAnsi="Arial"/>
                <w:rtl/>
              </w:rPr>
              <w:t xml:space="preserve">ועומק הפגיעה בזיכרונו הנוגעת גם לחוויות </w:t>
            </w:r>
            <w:r w:rsidRPr="00DC28FC" w:rsidR="00707CA3">
              <w:rPr>
                <w:rFonts w:hint="cs" w:ascii="Arial" w:hAnsi="Arial"/>
                <w:rtl/>
              </w:rPr>
              <w:t xml:space="preserve">כמו עונש </w:t>
            </w:r>
            <w:r w:rsidR="00E9447D">
              <w:rPr>
                <w:rFonts w:hint="cs" w:ascii="Arial" w:hAnsi="Arial"/>
                <w:rtl/>
              </w:rPr>
              <w:t>מאסר ב</w:t>
            </w:r>
            <w:r w:rsidRPr="00DC28FC" w:rsidR="00707CA3">
              <w:rPr>
                <w:rFonts w:hint="cs" w:ascii="Arial" w:hAnsi="Arial"/>
                <w:rtl/>
              </w:rPr>
              <w:t xml:space="preserve">עבודות שירות </w:t>
            </w:r>
            <w:r w:rsidR="00E9447D">
              <w:rPr>
                <w:rFonts w:hint="cs" w:ascii="Arial" w:hAnsi="Arial"/>
                <w:rtl/>
              </w:rPr>
              <w:t xml:space="preserve">אותו </w:t>
            </w:r>
            <w:r w:rsidRPr="00DC28FC" w:rsidR="00707CA3">
              <w:rPr>
                <w:rFonts w:hint="cs" w:ascii="Arial" w:hAnsi="Arial"/>
                <w:rtl/>
              </w:rPr>
              <w:t xml:space="preserve">ריצה.  </w:t>
            </w:r>
          </w:p>
          <w:p w:rsidRPr="00DC28FC" w:rsidR="00707CA3" w:rsidP="00E9447D" w:rsidRDefault="00707CA3" w14:paraId="6B95CD5F" w14:textId="77777777">
            <w:pPr>
              <w:pStyle w:val="ab"/>
              <w:spacing w:before="120" w:after="120" w:line="360" w:lineRule="auto"/>
              <w:contextualSpacing w:val="0"/>
              <w:jc w:val="both"/>
              <w:rPr>
                <w:rFonts w:ascii="Arial" w:hAnsi="Arial"/>
              </w:rPr>
            </w:pPr>
            <w:r w:rsidRPr="00DC28FC">
              <w:rPr>
                <w:rFonts w:hint="cs" w:ascii="Arial" w:hAnsi="Arial"/>
                <w:rtl/>
              </w:rPr>
              <w:t xml:space="preserve">אמינותו </w:t>
            </w:r>
            <w:r w:rsidRPr="00DC28FC" w:rsidR="00F32174">
              <w:rPr>
                <w:rFonts w:hint="cs" w:ascii="Arial" w:hAnsi="Arial"/>
                <w:rtl/>
              </w:rPr>
              <w:t xml:space="preserve">זו של הנאשם בנושא קשייו </w:t>
            </w:r>
            <w:r w:rsidR="00CE040A">
              <w:rPr>
                <w:rFonts w:hint="cs" w:ascii="Arial" w:hAnsi="Arial"/>
                <w:rtl/>
              </w:rPr>
              <w:t xml:space="preserve">הבריאותיים והשלכותיהם על תפקודו </w:t>
            </w:r>
            <w:r w:rsidRPr="00DC28FC" w:rsidR="00F32174">
              <w:rPr>
                <w:rFonts w:hint="cs" w:ascii="Arial" w:hAnsi="Arial"/>
                <w:rtl/>
              </w:rPr>
              <w:t>מתווספת לתימוכין הרפואיים שהוצגו, ומחזקת את טענתו כי גם בזמן אמת סבל מקשיים דומים, שהשפיעו על התנהלותו</w:t>
            </w:r>
            <w:r w:rsidRPr="00DC28FC" w:rsidR="00274198">
              <w:rPr>
                <w:rFonts w:hint="cs" w:ascii="Arial" w:hAnsi="Arial"/>
                <w:rtl/>
              </w:rPr>
              <w:t>. אוסיף ואזכיר את המסקנה שעלתה מעדותה של נאוה</w:t>
            </w:r>
            <w:r w:rsidR="00E9447D">
              <w:rPr>
                <w:rFonts w:hint="cs" w:ascii="Arial" w:hAnsi="Arial"/>
                <w:rtl/>
              </w:rPr>
              <w:t>,</w:t>
            </w:r>
            <w:r w:rsidRPr="00DC28FC" w:rsidR="00274198">
              <w:rPr>
                <w:rFonts w:hint="cs" w:ascii="Arial" w:hAnsi="Arial"/>
                <w:rtl/>
              </w:rPr>
              <w:t xml:space="preserve"> לפיה הנאשם לא הפגין מעורבות </w:t>
            </w:r>
            <w:r w:rsidR="00CE040A">
              <w:rPr>
                <w:rFonts w:hint="cs" w:ascii="Arial" w:hAnsi="Arial"/>
                <w:rtl/>
              </w:rPr>
              <w:t xml:space="preserve">ניכרת </w:t>
            </w:r>
            <w:r w:rsidRPr="00DC28FC" w:rsidR="00274198">
              <w:rPr>
                <w:rFonts w:hint="cs" w:ascii="Arial" w:hAnsi="Arial"/>
                <w:rtl/>
              </w:rPr>
              <w:t>בעסק</w:t>
            </w:r>
            <w:r w:rsidR="00CE040A">
              <w:rPr>
                <w:rFonts w:hint="cs" w:ascii="Arial" w:hAnsi="Arial"/>
                <w:rtl/>
              </w:rPr>
              <w:t xml:space="preserve"> שלו</w:t>
            </w:r>
            <w:r w:rsidRPr="00DC28FC" w:rsidR="00274198">
              <w:rPr>
                <w:rFonts w:hint="cs" w:ascii="Arial" w:hAnsi="Arial"/>
                <w:rtl/>
              </w:rPr>
              <w:t>, אותו ניהלה בפועל נאוה</w:t>
            </w:r>
            <w:r w:rsidR="00CE040A">
              <w:rPr>
                <w:rFonts w:hint="cs" w:ascii="Arial" w:hAnsi="Arial"/>
                <w:rtl/>
              </w:rPr>
              <w:t xml:space="preserve"> </w:t>
            </w:r>
            <w:r w:rsidR="00CE040A">
              <w:rPr>
                <w:rFonts w:ascii="Arial" w:hAnsi="Arial"/>
                <w:rtl/>
              </w:rPr>
              <w:t>–</w:t>
            </w:r>
            <w:r w:rsidR="00CE040A">
              <w:rPr>
                <w:rFonts w:hint="cs" w:ascii="Arial" w:hAnsi="Arial"/>
                <w:rtl/>
              </w:rPr>
              <w:t xml:space="preserve"> מסקנה, המתיישבת עם טענת ההגנה ל"דחיינות" של הנאשם והימנעות שלו מעיסוק במטלות </w:t>
            </w:r>
            <w:r w:rsidR="00E9447D">
              <w:rPr>
                <w:rFonts w:hint="cs" w:ascii="Arial" w:hAnsi="Arial"/>
                <w:rtl/>
              </w:rPr>
              <w:t>גם בזמן אמת</w:t>
            </w:r>
            <w:r w:rsidRPr="00DC28FC" w:rsidR="00274198">
              <w:rPr>
                <w:rFonts w:hint="cs" w:ascii="Arial" w:hAnsi="Arial"/>
                <w:rtl/>
              </w:rPr>
              <w:t xml:space="preserve">. כל אלה מאפשרים </w:t>
            </w:r>
            <w:r w:rsidR="00E9447D">
              <w:rPr>
                <w:rFonts w:hint="cs" w:ascii="Arial" w:hAnsi="Arial"/>
                <w:rtl/>
              </w:rPr>
              <w:t xml:space="preserve">את תזת ההגנה </w:t>
            </w:r>
            <w:r w:rsidR="00CE040A">
              <w:rPr>
                <w:rFonts w:hint="cs" w:ascii="Arial" w:hAnsi="Arial"/>
                <w:rtl/>
              </w:rPr>
              <w:t xml:space="preserve">לפיה </w:t>
            </w:r>
            <w:r w:rsidRPr="00DC28FC" w:rsidR="00F32174">
              <w:rPr>
                <w:rFonts w:hint="cs" w:ascii="Arial" w:hAnsi="Arial"/>
                <w:rtl/>
              </w:rPr>
              <w:t xml:space="preserve">הימנעותו </w:t>
            </w:r>
            <w:r w:rsidRPr="00DC28FC" w:rsidR="00274198">
              <w:rPr>
                <w:rFonts w:hint="cs" w:ascii="Arial" w:hAnsi="Arial"/>
                <w:rtl/>
              </w:rPr>
              <w:t xml:space="preserve">המוחלטת </w:t>
            </w:r>
            <w:r w:rsidRPr="00DC28FC" w:rsidR="00F32174">
              <w:rPr>
                <w:rFonts w:hint="cs" w:ascii="Arial" w:hAnsi="Arial"/>
                <w:rtl/>
              </w:rPr>
              <w:t xml:space="preserve">מהגשת דוחות </w:t>
            </w:r>
            <w:r w:rsidRPr="00DC28FC" w:rsidR="00274198">
              <w:rPr>
                <w:rFonts w:hint="cs" w:ascii="Arial" w:hAnsi="Arial"/>
                <w:rtl/>
              </w:rPr>
              <w:t xml:space="preserve">לאורך שנים </w:t>
            </w:r>
            <w:r w:rsidRPr="00DC28FC" w:rsidR="00F32174">
              <w:rPr>
                <w:rFonts w:hint="cs" w:ascii="Arial" w:hAnsi="Arial"/>
                <w:rtl/>
              </w:rPr>
              <w:t>לפקיד השומה</w:t>
            </w:r>
            <w:r w:rsidRPr="00DC28FC" w:rsidR="00274198">
              <w:rPr>
                <w:rFonts w:hint="cs" w:ascii="Arial" w:hAnsi="Arial"/>
                <w:rtl/>
              </w:rPr>
              <w:t xml:space="preserve"> </w:t>
            </w:r>
            <w:r w:rsidR="00CE040A">
              <w:rPr>
                <w:rFonts w:hint="cs" w:ascii="Arial" w:hAnsi="Arial"/>
                <w:rtl/>
              </w:rPr>
              <w:t>נבעה ממאפייניו אלה, ו</w:t>
            </w:r>
            <w:r w:rsidRPr="00DC28FC" w:rsidR="00274198">
              <w:rPr>
                <w:rFonts w:hint="cs" w:ascii="Arial" w:hAnsi="Arial"/>
                <w:rtl/>
              </w:rPr>
              <w:t xml:space="preserve">לא </w:t>
            </w:r>
            <w:r w:rsidR="00CE040A">
              <w:rPr>
                <w:rFonts w:hint="cs" w:ascii="Arial" w:hAnsi="Arial"/>
                <w:rtl/>
              </w:rPr>
              <w:t>מ</w:t>
            </w:r>
            <w:r w:rsidRPr="00DC28FC" w:rsidR="00274198">
              <w:rPr>
                <w:rFonts w:hint="cs" w:ascii="Arial" w:hAnsi="Arial"/>
                <w:rtl/>
              </w:rPr>
              <w:t>ניסיון להתחמק מתשלום מס.</w:t>
            </w:r>
            <w:r w:rsidRPr="00DC28FC" w:rsidR="00F32174">
              <w:rPr>
                <w:rFonts w:hint="cs" w:ascii="Arial" w:hAnsi="Arial"/>
                <w:rtl/>
              </w:rPr>
              <w:t xml:space="preserve"> </w:t>
            </w:r>
          </w:p>
          <w:p w:rsidRPr="00DC28FC" w:rsidR="00676886" w:rsidP="00CE040A" w:rsidRDefault="00676886" w14:paraId="6CF4AE25"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אלמנט נוסף התומך בטענות ההגנה במישור זה ה</w:t>
            </w:r>
            <w:r w:rsidRPr="00DC28FC" w:rsidR="00274198">
              <w:rPr>
                <w:rFonts w:hint="cs" w:ascii="Arial" w:hAnsi="Arial"/>
                <w:rtl/>
              </w:rPr>
              <w:t>ו</w:t>
            </w:r>
            <w:r w:rsidRPr="00DC28FC">
              <w:rPr>
                <w:rFonts w:hint="cs" w:ascii="Arial" w:hAnsi="Arial"/>
                <w:rtl/>
              </w:rPr>
              <w:t xml:space="preserve">א נ/5: תדפיס מאתר קופת החולים הכללית באינטרנט, העוסק במחלת הפרקינסון ושלפי המצוין בו נכתב בידי </w:t>
            </w:r>
            <w:r w:rsidRPr="00DC28FC" w:rsidR="00116E72">
              <w:rPr>
                <w:rFonts w:hint="cs" w:ascii="Arial" w:hAnsi="Arial"/>
                <w:rtl/>
              </w:rPr>
              <w:t>פרופ' רות ג'לדטי, מומחית בנוירולוגיה ובידי ד"ר רות גופן, מומחית ברפואת משפחה</w:t>
            </w:r>
            <w:r w:rsidRPr="00DC28FC">
              <w:rPr>
                <w:rFonts w:hint="cs" w:ascii="Arial" w:hAnsi="Arial"/>
                <w:rtl/>
              </w:rPr>
              <w:t xml:space="preserve">. ככלל לא </w:t>
            </w:r>
            <w:r w:rsidRPr="00DC28FC" w:rsidR="00116E72">
              <w:rPr>
                <w:rFonts w:hint="cs" w:ascii="Arial" w:hAnsi="Arial"/>
                <w:rtl/>
              </w:rPr>
              <w:t>י</w:t>
            </w:r>
            <w:r w:rsidRPr="00DC28FC">
              <w:rPr>
                <w:rFonts w:hint="cs" w:ascii="Arial" w:hAnsi="Arial"/>
                <w:rtl/>
              </w:rPr>
              <w:t>היה מקום להיסמך על ראיה מסוג זה</w:t>
            </w:r>
            <w:r w:rsidR="00CE040A">
              <w:rPr>
                <w:rFonts w:hint="cs" w:ascii="Arial" w:hAnsi="Arial"/>
                <w:rtl/>
              </w:rPr>
              <w:t>,</w:t>
            </w:r>
            <w:r w:rsidRPr="00DC28FC" w:rsidR="00116E72">
              <w:rPr>
                <w:rFonts w:hint="cs" w:ascii="Arial" w:hAnsi="Arial"/>
                <w:rtl/>
              </w:rPr>
              <w:t xml:space="preserve"> שאינה עונה לדרישותיה של חוות דעת לפי פקודת הראיות. אלא, </w:t>
            </w:r>
            <w:r w:rsidRPr="00DC28FC">
              <w:rPr>
                <w:rFonts w:hint="cs" w:ascii="Arial" w:hAnsi="Arial"/>
                <w:rtl/>
              </w:rPr>
              <w:t xml:space="preserve">שבהליך זה </w:t>
            </w:r>
            <w:r w:rsidRPr="00DC28FC" w:rsidR="00116E72">
              <w:rPr>
                <w:rFonts w:hint="cs" w:ascii="Arial" w:hAnsi="Arial"/>
                <w:rtl/>
              </w:rPr>
              <w:t xml:space="preserve">הראיה </w:t>
            </w:r>
            <w:r w:rsidRPr="00DC28FC">
              <w:rPr>
                <w:rFonts w:hint="cs" w:ascii="Arial" w:hAnsi="Arial"/>
                <w:rtl/>
              </w:rPr>
              <w:t>הוגשה בהסכמת הצדדים (פ/50)</w:t>
            </w:r>
            <w:r w:rsidRPr="00DC28FC" w:rsidR="00116E72">
              <w:rPr>
                <w:rFonts w:hint="cs" w:ascii="Arial" w:hAnsi="Arial"/>
                <w:rtl/>
              </w:rPr>
              <w:t xml:space="preserve"> ולכן אסמך עליה</w:t>
            </w:r>
            <w:r w:rsidRPr="00DC28FC">
              <w:rPr>
                <w:rFonts w:hint="cs" w:ascii="Arial" w:hAnsi="Arial"/>
                <w:rtl/>
              </w:rPr>
              <w:t xml:space="preserve">. </w:t>
            </w:r>
          </w:p>
          <w:p w:rsidRPr="00DC28FC" w:rsidR="00676886" w:rsidP="00E9447D" w:rsidRDefault="00676886" w14:paraId="01C9AC5E" w14:textId="77777777">
            <w:pPr>
              <w:pStyle w:val="ab"/>
              <w:spacing w:before="120" w:after="120" w:line="360" w:lineRule="auto"/>
              <w:contextualSpacing w:val="0"/>
              <w:jc w:val="both"/>
              <w:rPr>
                <w:rFonts w:ascii="Arial" w:hAnsi="Arial"/>
              </w:rPr>
            </w:pPr>
            <w:r w:rsidRPr="00DC28FC">
              <w:rPr>
                <w:rFonts w:hint="cs" w:ascii="Arial" w:hAnsi="Arial"/>
                <w:rtl/>
              </w:rPr>
              <w:lastRenderedPageBreak/>
              <w:t>המסמך מתאר את המחלה, מאפייני</w:t>
            </w:r>
            <w:r w:rsidR="00E9447D">
              <w:rPr>
                <w:rFonts w:hint="cs" w:ascii="Arial" w:hAnsi="Arial"/>
                <w:rtl/>
              </w:rPr>
              <w:t>ה</w:t>
            </w:r>
            <w:r w:rsidRPr="00DC28FC">
              <w:rPr>
                <w:rFonts w:hint="cs" w:ascii="Arial" w:hAnsi="Arial"/>
                <w:rtl/>
              </w:rPr>
              <w:t xml:space="preserve">, תסמיניה ודרכי ההתמודדות עמה. בכלל זה </w:t>
            </w:r>
            <w:r w:rsidR="00E9447D">
              <w:rPr>
                <w:rFonts w:hint="cs" w:ascii="Arial" w:hAnsi="Arial"/>
                <w:rtl/>
              </w:rPr>
              <w:t xml:space="preserve">הובאו </w:t>
            </w:r>
            <w:r w:rsidRPr="00DC28FC">
              <w:rPr>
                <w:rFonts w:hint="cs" w:ascii="Arial" w:hAnsi="Arial"/>
                <w:rtl/>
              </w:rPr>
              <w:t xml:space="preserve">בו הנתונים הבאים, הרלבנטיים לענייננו </w:t>
            </w:r>
            <w:r w:rsidR="00E9447D">
              <w:rPr>
                <w:rFonts w:hint="cs" w:ascii="Arial" w:hAnsi="Arial"/>
                <w:rtl/>
              </w:rPr>
              <w:t>בשל תמיכתם ב</w:t>
            </w:r>
            <w:r w:rsidRPr="00DC28FC">
              <w:rPr>
                <w:rFonts w:hint="cs" w:ascii="Arial" w:hAnsi="Arial"/>
                <w:rtl/>
              </w:rPr>
              <w:t>תזת ההגנה: התפתחותה של המחלה היא</w:t>
            </w:r>
            <w:r w:rsidR="00CE040A">
              <w:rPr>
                <w:rFonts w:hint="cs" w:ascii="Arial" w:hAnsi="Arial"/>
                <w:rtl/>
              </w:rPr>
              <w:t xml:space="preserve"> הדרגתית, ממצב בו קשה להבחין בה</w:t>
            </w:r>
            <w:r w:rsidRPr="00DC28FC">
              <w:rPr>
                <w:rFonts w:hint="cs" w:ascii="Arial" w:hAnsi="Arial"/>
                <w:rtl/>
              </w:rPr>
              <w:t xml:space="preserve">, תוך החרפה איטית ועד לגרימתן של מגבלות תפקודיות קשות (עמ' 2). הדבר </w:t>
            </w:r>
            <w:r w:rsidRPr="00DC28FC" w:rsidR="00116E72">
              <w:rPr>
                <w:rFonts w:hint="cs" w:ascii="Arial" w:hAnsi="Arial"/>
                <w:rtl/>
              </w:rPr>
              <w:t xml:space="preserve">מאפשר את </w:t>
            </w:r>
            <w:r w:rsidRPr="00DC28FC">
              <w:rPr>
                <w:rFonts w:hint="cs" w:ascii="Arial" w:hAnsi="Arial"/>
                <w:rtl/>
              </w:rPr>
              <w:t xml:space="preserve">טענת הנאשם כי סבל ממאפייני המחלה בתקופה הרלבנטית להליך זה, </w:t>
            </w:r>
            <w:r w:rsidR="00CE040A">
              <w:rPr>
                <w:rFonts w:hint="cs" w:ascii="Arial" w:hAnsi="Arial"/>
                <w:rtl/>
              </w:rPr>
              <w:t>ה</w:t>
            </w:r>
            <w:r w:rsidRPr="00DC28FC">
              <w:rPr>
                <w:rFonts w:hint="cs" w:ascii="Arial" w:hAnsi="Arial"/>
                <w:rtl/>
              </w:rPr>
              <w:t xml:space="preserve">גם </w:t>
            </w:r>
            <w:r w:rsidR="00CE040A">
              <w:rPr>
                <w:rFonts w:hint="cs" w:ascii="Arial" w:hAnsi="Arial"/>
                <w:rtl/>
              </w:rPr>
              <w:t>ש</w:t>
            </w:r>
            <w:r w:rsidRPr="00DC28FC">
              <w:rPr>
                <w:rFonts w:hint="cs" w:ascii="Arial" w:hAnsi="Arial"/>
                <w:rtl/>
              </w:rPr>
              <w:t xml:space="preserve">טרם </w:t>
            </w:r>
            <w:r w:rsidR="00CE040A">
              <w:rPr>
                <w:rFonts w:hint="cs" w:ascii="Arial" w:hAnsi="Arial"/>
                <w:rtl/>
              </w:rPr>
              <w:t xml:space="preserve">אובחן באופן </w:t>
            </w:r>
            <w:r w:rsidRPr="00DC28FC">
              <w:rPr>
                <w:rFonts w:hint="cs" w:ascii="Arial" w:hAnsi="Arial"/>
                <w:rtl/>
              </w:rPr>
              <w:t>"רשמי" כחולה בה</w:t>
            </w:r>
            <w:r w:rsidRPr="00DC28FC" w:rsidR="00116E72">
              <w:rPr>
                <w:rFonts w:hint="cs" w:ascii="Arial" w:hAnsi="Arial"/>
                <w:rtl/>
              </w:rPr>
              <w:t xml:space="preserve">. זאת בשים לב לתלונותיו בזמן אמת כמפורט לעיל, שהולמות חלק </w:t>
            </w:r>
            <w:r w:rsidR="00E9447D">
              <w:rPr>
                <w:rFonts w:hint="cs" w:ascii="Arial" w:hAnsi="Arial"/>
                <w:rtl/>
              </w:rPr>
              <w:t xml:space="preserve">מתסמיני </w:t>
            </w:r>
            <w:r w:rsidRPr="00DC28FC" w:rsidR="00116E72">
              <w:rPr>
                <w:rFonts w:hint="cs" w:ascii="Arial" w:hAnsi="Arial"/>
                <w:rtl/>
              </w:rPr>
              <w:t>המחלה המתוארים במסמך נ/5</w:t>
            </w:r>
            <w:r w:rsidRPr="00DC28FC">
              <w:rPr>
                <w:rFonts w:hint="cs" w:ascii="Arial" w:hAnsi="Arial"/>
                <w:rtl/>
              </w:rPr>
              <w:t>. נתו</w:t>
            </w:r>
            <w:r w:rsidRPr="00DC28FC" w:rsidR="00116E72">
              <w:rPr>
                <w:rFonts w:hint="cs" w:ascii="Arial" w:hAnsi="Arial"/>
                <w:rtl/>
              </w:rPr>
              <w:t>ן נוסף המובא שם הוא כי מדובר במחלה כרונית, שסיבוכיה עלולים לכלול דיכאון ושינויים במצב הרוח, קשיי שינה וירידה קוגנטיבית (עמ' 3). כל אלה מאפשרים את תזת ההגנה ומספקים לה תמיכה מסוימת.</w:t>
            </w:r>
          </w:p>
          <w:p w:rsidR="00B60FA4" w:rsidP="009E6707" w:rsidRDefault="00A25B20" w14:paraId="30E64D6B" w14:textId="77777777">
            <w:pPr>
              <w:pStyle w:val="ab"/>
              <w:numPr>
                <w:ilvl w:val="0"/>
                <w:numId w:val="7"/>
              </w:numPr>
              <w:spacing w:before="120" w:after="120" w:line="360" w:lineRule="auto"/>
              <w:contextualSpacing w:val="0"/>
              <w:jc w:val="both"/>
              <w:rPr>
                <w:rFonts w:ascii="Arial" w:hAnsi="Arial"/>
              </w:rPr>
            </w:pPr>
            <w:r w:rsidRPr="00B60FA4">
              <w:rPr>
                <w:rFonts w:hint="cs" w:ascii="Arial" w:hAnsi="Arial"/>
                <w:rtl/>
              </w:rPr>
              <w:t xml:space="preserve">מכאן </w:t>
            </w:r>
            <w:r w:rsidRPr="00B60FA4" w:rsidR="00395B89">
              <w:rPr>
                <w:rFonts w:hint="cs" w:ascii="Arial" w:hAnsi="Arial"/>
                <w:rtl/>
              </w:rPr>
              <w:t xml:space="preserve">לטענה נוספת של הנאשם, לפיה </w:t>
            </w:r>
            <w:r w:rsidR="00B60FA4">
              <w:rPr>
                <w:rFonts w:hint="cs" w:ascii="Arial" w:hAnsi="Arial"/>
                <w:rtl/>
              </w:rPr>
              <w:t>לא נמנע מדיווח מתוך רצון להתחמק מתשלום מס שכן דיווח לא היה מוביל לתשלום שכזה. לפי טענה זו, ה</w:t>
            </w:r>
            <w:r w:rsidRPr="00B60FA4" w:rsidR="00F32174">
              <w:rPr>
                <w:rFonts w:hint="cs" w:ascii="Arial" w:hAnsi="Arial"/>
                <w:rtl/>
              </w:rPr>
              <w:t xml:space="preserve">עסק </w:t>
            </w:r>
            <w:r w:rsidR="00B60FA4">
              <w:rPr>
                <w:rFonts w:hint="cs" w:ascii="Arial" w:hAnsi="Arial"/>
                <w:rtl/>
              </w:rPr>
              <w:t>הנדון כלל לא היה ר</w:t>
            </w:r>
            <w:r w:rsidR="00E9447D">
              <w:rPr>
                <w:rFonts w:hint="cs" w:ascii="Arial" w:hAnsi="Arial"/>
                <w:rtl/>
              </w:rPr>
              <w:t>י</w:t>
            </w:r>
            <w:r w:rsidR="00B60FA4">
              <w:rPr>
                <w:rFonts w:hint="cs" w:ascii="Arial" w:hAnsi="Arial"/>
                <w:rtl/>
              </w:rPr>
              <w:t xml:space="preserve">ווחי, ולו הוגשו הדוחות </w:t>
            </w:r>
            <w:r w:rsidRPr="00B60FA4" w:rsidR="009D0203">
              <w:rPr>
                <w:rFonts w:hint="cs" w:ascii="Arial" w:hAnsi="Arial"/>
                <w:rtl/>
              </w:rPr>
              <w:t>לא רק ש</w:t>
            </w:r>
            <w:r w:rsidR="00B60FA4">
              <w:rPr>
                <w:rFonts w:hint="cs" w:ascii="Arial" w:hAnsi="Arial"/>
                <w:rtl/>
              </w:rPr>
              <w:t>הנאשמ</w:t>
            </w:r>
            <w:r w:rsidR="009E6707">
              <w:rPr>
                <w:rFonts w:hint="cs" w:ascii="Arial" w:hAnsi="Arial"/>
                <w:rtl/>
              </w:rPr>
              <w:t>ים</w:t>
            </w:r>
            <w:r w:rsidR="00B60FA4">
              <w:rPr>
                <w:rFonts w:hint="cs" w:ascii="Arial" w:hAnsi="Arial"/>
                <w:rtl/>
              </w:rPr>
              <w:t xml:space="preserve"> </w:t>
            </w:r>
            <w:r w:rsidRPr="00B60FA4" w:rsidR="009D0203">
              <w:rPr>
                <w:rFonts w:hint="cs" w:ascii="Arial" w:hAnsi="Arial"/>
                <w:rtl/>
              </w:rPr>
              <w:t xml:space="preserve">לא </w:t>
            </w:r>
            <w:r w:rsidR="009E6707">
              <w:rPr>
                <w:rFonts w:hint="cs" w:ascii="Arial" w:hAnsi="Arial"/>
                <w:rtl/>
              </w:rPr>
              <w:t xml:space="preserve">היו מחויבים </w:t>
            </w:r>
            <w:r w:rsidRPr="00B60FA4" w:rsidR="00BB6AE0">
              <w:rPr>
                <w:rFonts w:hint="cs" w:ascii="Arial" w:hAnsi="Arial"/>
                <w:rtl/>
              </w:rPr>
              <w:t>במס, אלא זכאי</w:t>
            </w:r>
            <w:r w:rsidR="009E6707">
              <w:rPr>
                <w:rFonts w:hint="cs" w:ascii="Arial" w:hAnsi="Arial"/>
                <w:rtl/>
              </w:rPr>
              <w:t>ם</w:t>
            </w:r>
            <w:r w:rsidRPr="00B60FA4" w:rsidR="00BB6AE0">
              <w:rPr>
                <w:rFonts w:hint="cs" w:ascii="Arial" w:hAnsi="Arial"/>
                <w:rtl/>
              </w:rPr>
              <w:t xml:space="preserve"> להחזר</w:t>
            </w:r>
            <w:r w:rsidR="00B60FA4">
              <w:rPr>
                <w:rFonts w:hint="cs" w:ascii="Arial" w:hAnsi="Arial"/>
                <w:rtl/>
              </w:rPr>
              <w:t xml:space="preserve">. </w:t>
            </w:r>
          </w:p>
          <w:p w:rsidR="005D571D" w:rsidP="005D571D" w:rsidRDefault="00B60FA4" w14:paraId="0E34CF5A" w14:textId="77777777">
            <w:pPr>
              <w:pStyle w:val="ab"/>
              <w:spacing w:before="120" w:after="120" w:line="360" w:lineRule="auto"/>
              <w:contextualSpacing w:val="0"/>
              <w:jc w:val="both"/>
              <w:rPr>
                <w:rFonts w:ascii="Arial" w:hAnsi="Arial"/>
                <w:rtl/>
              </w:rPr>
            </w:pPr>
            <w:r>
              <w:rPr>
                <w:rFonts w:hint="cs" w:ascii="Arial" w:hAnsi="Arial"/>
                <w:rtl/>
              </w:rPr>
              <w:t>כך העיד הנאשם</w:t>
            </w:r>
            <w:r w:rsidRPr="00B60FA4" w:rsidR="00F32174">
              <w:rPr>
                <w:rFonts w:hint="cs" w:ascii="Arial" w:hAnsi="Arial"/>
                <w:rtl/>
              </w:rPr>
              <w:t xml:space="preserve"> (פ/48 ש' 11)</w:t>
            </w:r>
            <w:r w:rsidRPr="00B60FA4" w:rsidR="00BB6AE0">
              <w:rPr>
                <w:rFonts w:hint="cs" w:ascii="Arial" w:hAnsi="Arial"/>
                <w:rtl/>
              </w:rPr>
              <w:t xml:space="preserve">. </w:t>
            </w:r>
            <w:r>
              <w:rPr>
                <w:rFonts w:hint="cs" w:ascii="Arial" w:hAnsi="Arial"/>
                <w:rtl/>
              </w:rPr>
              <w:t xml:space="preserve">טענתו </w:t>
            </w:r>
            <w:r w:rsidRPr="00DC28FC" w:rsidR="00F32174">
              <w:rPr>
                <w:rFonts w:hint="cs" w:ascii="Arial" w:hAnsi="Arial"/>
                <w:rtl/>
              </w:rPr>
              <w:t>מתחזקת נוכח עדותה של עדת התביעה, נאוה. זו</w:t>
            </w:r>
            <w:r>
              <w:rPr>
                <w:rFonts w:hint="cs" w:ascii="Arial" w:hAnsi="Arial"/>
                <w:rtl/>
              </w:rPr>
              <w:t xml:space="preserve">, כאמור, ניהלה בפועל את פעילות העסק </w:t>
            </w:r>
            <w:r w:rsidRPr="00DC28FC" w:rsidR="00F32174">
              <w:rPr>
                <w:rFonts w:hint="cs" w:ascii="Arial" w:hAnsi="Arial"/>
                <w:rtl/>
              </w:rPr>
              <w:t xml:space="preserve"> </w:t>
            </w:r>
            <w:r>
              <w:rPr>
                <w:rFonts w:hint="cs" w:ascii="Arial" w:hAnsi="Arial"/>
                <w:rtl/>
              </w:rPr>
              <w:t xml:space="preserve">ובכלל זה את חשבונותיו. היא מסרה שדובר בעסק קטן </w:t>
            </w:r>
            <w:r w:rsidRPr="00DC28FC" w:rsidR="00781A32">
              <w:rPr>
                <w:rFonts w:hint="cs" w:ascii="Arial" w:hAnsi="Arial"/>
                <w:rtl/>
              </w:rPr>
              <w:t xml:space="preserve">וכן מסרה </w:t>
            </w:r>
            <w:r>
              <w:rPr>
                <w:rFonts w:hint="cs" w:ascii="Arial" w:hAnsi="Arial"/>
                <w:rtl/>
              </w:rPr>
              <w:t xml:space="preserve">פירוט </w:t>
            </w:r>
            <w:r w:rsidRPr="00DC28FC" w:rsidR="00F32174">
              <w:rPr>
                <w:rFonts w:hint="cs" w:ascii="Arial" w:hAnsi="Arial"/>
                <w:rtl/>
              </w:rPr>
              <w:t xml:space="preserve">של הוצאות והכנסות העסק, </w:t>
            </w:r>
            <w:r>
              <w:rPr>
                <w:rFonts w:hint="cs" w:ascii="Arial" w:hAnsi="Arial"/>
                <w:rtl/>
              </w:rPr>
              <w:t xml:space="preserve">אשר הובא </w:t>
            </w:r>
            <w:r w:rsidRPr="00DC28FC" w:rsidR="00F32174">
              <w:rPr>
                <w:rFonts w:hint="cs" w:ascii="Arial" w:hAnsi="Arial"/>
                <w:rtl/>
              </w:rPr>
              <w:t>לעיל</w:t>
            </w:r>
            <w:r>
              <w:rPr>
                <w:rFonts w:hint="cs" w:ascii="Arial" w:hAnsi="Arial"/>
                <w:rtl/>
              </w:rPr>
              <w:t xml:space="preserve"> בסקירת עדותה</w:t>
            </w:r>
            <w:r w:rsidRPr="00DC28FC" w:rsidR="00F32174">
              <w:rPr>
                <w:rFonts w:hint="cs" w:ascii="Arial" w:hAnsi="Arial"/>
                <w:rtl/>
              </w:rPr>
              <w:t xml:space="preserve">. </w:t>
            </w:r>
            <w:r>
              <w:rPr>
                <w:rFonts w:hint="cs" w:ascii="Arial" w:hAnsi="Arial"/>
                <w:rtl/>
              </w:rPr>
              <w:t xml:space="preserve">דבריה הציגו </w:t>
            </w:r>
            <w:r w:rsidRPr="00DC28FC" w:rsidR="00F32174">
              <w:rPr>
                <w:rFonts w:hint="cs" w:ascii="Arial" w:hAnsi="Arial"/>
                <w:rtl/>
              </w:rPr>
              <w:t xml:space="preserve">עסק עם רווחיות נמוכה מאוד, אם בכלל, </w:t>
            </w:r>
            <w:r>
              <w:rPr>
                <w:rFonts w:hint="cs" w:ascii="Arial" w:hAnsi="Arial"/>
                <w:rtl/>
              </w:rPr>
              <w:t xml:space="preserve">שהכנסותיו היו קרובות מאוד להוצאות השוטפות ואשר הכניס לבעליו, הוא הנאשם, </w:t>
            </w:r>
            <w:r w:rsidRPr="00DC28FC" w:rsidR="00F32174">
              <w:rPr>
                <w:rFonts w:hint="cs" w:ascii="Arial" w:hAnsi="Arial"/>
                <w:rtl/>
              </w:rPr>
              <w:t>סכום שבין אלפיים לארבעת אלפים ₪ בחודש</w:t>
            </w:r>
            <w:r>
              <w:rPr>
                <w:rFonts w:hint="cs" w:ascii="Arial" w:hAnsi="Arial"/>
                <w:rtl/>
              </w:rPr>
              <w:t xml:space="preserve"> בלבד</w:t>
            </w:r>
            <w:r w:rsidRPr="00DC28FC" w:rsidR="00A25B20">
              <w:rPr>
                <w:rFonts w:hint="cs" w:ascii="Arial" w:hAnsi="Arial"/>
                <w:rtl/>
              </w:rPr>
              <w:t xml:space="preserve">. הנאשם אשרר את טענותיה הגם שמסר שאינו זוכר </w:t>
            </w:r>
            <w:r>
              <w:rPr>
                <w:rFonts w:hint="cs" w:ascii="Arial" w:hAnsi="Arial"/>
                <w:rtl/>
              </w:rPr>
              <w:t xml:space="preserve">את הסכומים </w:t>
            </w:r>
            <w:r w:rsidRPr="00DC28FC" w:rsidR="00A25B20">
              <w:rPr>
                <w:rFonts w:hint="cs" w:ascii="Arial" w:hAnsi="Arial"/>
                <w:rtl/>
              </w:rPr>
              <w:t>במדויק (פ/43 ש' 13)</w:t>
            </w:r>
            <w:r w:rsidRPr="00DC28FC" w:rsidR="00F32174">
              <w:rPr>
                <w:rFonts w:hint="cs" w:ascii="Arial" w:hAnsi="Arial"/>
                <w:rtl/>
              </w:rPr>
              <w:t xml:space="preserve">. </w:t>
            </w:r>
          </w:p>
          <w:p w:rsidRPr="00DC28FC" w:rsidR="00F32174" w:rsidP="009E6707" w:rsidRDefault="00F32174" w14:paraId="1B037322" w14:textId="77777777">
            <w:pPr>
              <w:pStyle w:val="ab"/>
              <w:spacing w:before="120" w:after="120" w:line="360" w:lineRule="auto"/>
              <w:contextualSpacing w:val="0"/>
              <w:jc w:val="both"/>
              <w:rPr>
                <w:rFonts w:ascii="Arial" w:hAnsi="Arial"/>
                <w:rtl/>
              </w:rPr>
            </w:pPr>
            <w:r w:rsidRPr="00DC28FC">
              <w:rPr>
                <w:rFonts w:hint="cs" w:ascii="Arial" w:hAnsi="Arial"/>
                <w:rtl/>
              </w:rPr>
              <w:t xml:space="preserve">לכך יש להוסיף </w:t>
            </w:r>
            <w:r w:rsidR="00B60FA4">
              <w:rPr>
                <w:rFonts w:hint="cs" w:ascii="Arial" w:hAnsi="Arial"/>
                <w:rtl/>
              </w:rPr>
              <w:t xml:space="preserve">כי נאוה לא כללה בפירוט שהציגה הוצאות נקודתיות, הגם שאישרה אותן ובכלל זה הזכירה </w:t>
            </w:r>
            <w:r w:rsidRPr="00DC28FC">
              <w:rPr>
                <w:rFonts w:hint="cs" w:ascii="Arial" w:hAnsi="Arial"/>
                <w:rtl/>
              </w:rPr>
              <w:t xml:space="preserve">הוצאות </w:t>
            </w:r>
            <w:r w:rsidR="00B60FA4">
              <w:rPr>
                <w:rFonts w:hint="cs" w:ascii="Arial" w:hAnsi="Arial"/>
                <w:rtl/>
              </w:rPr>
              <w:t>לצרכים כגון רישוי העסק, שלדבריה היו משמעותיות</w:t>
            </w:r>
            <w:r w:rsidR="009E6707">
              <w:rPr>
                <w:rFonts w:hint="cs" w:ascii="Arial" w:hAnsi="Arial"/>
                <w:rtl/>
              </w:rPr>
              <w:t xml:space="preserve">. מכאן היתכנות טענת הנאשם כי בחישוב כולל דובר בעסק מפסיד, ולמצער רווחי באופן </w:t>
            </w:r>
            <w:r w:rsidR="00B60FA4">
              <w:rPr>
                <w:rFonts w:hint="cs" w:ascii="Arial" w:hAnsi="Arial"/>
                <w:rtl/>
              </w:rPr>
              <w:t>מזערי</w:t>
            </w:r>
            <w:r w:rsidRPr="00DC28FC">
              <w:rPr>
                <w:rFonts w:hint="cs" w:ascii="Arial" w:hAnsi="Arial"/>
                <w:rtl/>
              </w:rPr>
              <w:t xml:space="preserve">. </w:t>
            </w:r>
          </w:p>
          <w:p w:rsidRPr="00DC28FC" w:rsidR="00F018C8" w:rsidP="00076F66" w:rsidRDefault="00F018C8" w14:paraId="6E64A51B" w14:textId="571AE127">
            <w:pPr>
              <w:pStyle w:val="ab"/>
              <w:spacing w:before="120" w:after="120" w:line="360" w:lineRule="auto"/>
              <w:contextualSpacing w:val="0"/>
              <w:jc w:val="both"/>
              <w:rPr>
                <w:rFonts w:ascii="Arial" w:hAnsi="Arial"/>
                <w:rtl/>
              </w:rPr>
            </w:pPr>
            <w:r w:rsidRPr="00DC28FC">
              <w:rPr>
                <w:rFonts w:hint="cs" w:ascii="Arial" w:hAnsi="Arial"/>
                <w:rtl/>
              </w:rPr>
              <w:t xml:space="preserve">האפשרות כי לו הוגשו הדוחות כלל לא היה חיוב במס מתחזקת </w:t>
            </w:r>
            <w:r w:rsidR="00076F66">
              <w:rPr>
                <w:rFonts w:hint="cs" w:ascii="Arial" w:hAnsi="Arial"/>
                <w:rtl/>
              </w:rPr>
              <w:t xml:space="preserve">במידת מה </w:t>
            </w:r>
            <w:r w:rsidRPr="00DC28FC">
              <w:rPr>
                <w:rFonts w:hint="cs" w:ascii="Arial" w:hAnsi="Arial"/>
                <w:rtl/>
              </w:rPr>
              <w:t xml:space="preserve">נוכח דוחות שהוגשו בדיעבד ותוך-כדי ניהול ההליך, ואשר הוצגו כנ/1. הנאשם העיד, ועדותו לא נסתרה, כי דובר בדוחות שנערכו בידי רואה חשבון על סמך </w:t>
            </w:r>
            <w:r w:rsidR="005D571D">
              <w:rPr>
                <w:rFonts w:hint="cs" w:ascii="Arial" w:hAnsi="Arial"/>
                <w:rtl/>
              </w:rPr>
              <w:t xml:space="preserve">הנתונים הקיימים </w:t>
            </w:r>
            <w:r w:rsidRPr="00076F66" w:rsidR="005D571D">
              <w:rPr>
                <w:rFonts w:hint="cs" w:ascii="Arial" w:hAnsi="Arial"/>
                <w:rtl/>
              </w:rPr>
              <w:t>שעיקרם ב</w:t>
            </w:r>
            <w:r w:rsidRPr="00076F66">
              <w:rPr>
                <w:rFonts w:hint="cs" w:ascii="Arial" w:hAnsi="Arial"/>
                <w:rtl/>
              </w:rPr>
              <w:t>רישומיה של נאוה, וכי טרם התקבלה החלטה בעניין הדוחות הללו אצל רשויות המס (פ/44-45). הדוחות</w:t>
            </w:r>
            <w:r w:rsidRPr="00076F66" w:rsidR="00C12FBB">
              <w:rPr>
                <w:rFonts w:hint="cs" w:ascii="Arial" w:hAnsi="Arial"/>
                <w:rtl/>
              </w:rPr>
              <w:t xml:space="preserve"> נ/1</w:t>
            </w:r>
            <w:r w:rsidRPr="00076F66">
              <w:rPr>
                <w:rFonts w:hint="cs" w:ascii="Arial" w:hAnsi="Arial"/>
                <w:rtl/>
              </w:rPr>
              <w:t xml:space="preserve">, שכמובן יש להתייחס אליהם בזהירות היות שמדובר בדוחות מטעמו של הנאשם </w:t>
            </w:r>
            <w:r w:rsidRPr="00076F66" w:rsidR="00802D64">
              <w:rPr>
                <w:rFonts w:hint="cs" w:ascii="Arial" w:hAnsi="Arial"/>
                <w:rtl/>
              </w:rPr>
              <w:t>ש</w:t>
            </w:r>
            <w:r w:rsidRPr="00076F66" w:rsidR="005D571D">
              <w:rPr>
                <w:rFonts w:hint="cs" w:ascii="Arial" w:hAnsi="Arial"/>
                <w:rtl/>
              </w:rPr>
              <w:t xml:space="preserve">טרם התקבלה החלטה לגביהם בידי הרשויות, </w:t>
            </w:r>
            <w:r w:rsidRPr="00076F66" w:rsidR="00C12FBB">
              <w:rPr>
                <w:rFonts w:hint="cs" w:ascii="Arial" w:hAnsi="Arial"/>
                <w:rtl/>
              </w:rPr>
              <w:t>עוסקים בשנים 2005-2</w:t>
            </w:r>
            <w:r w:rsidRPr="00076F66" w:rsidR="00076F66">
              <w:rPr>
                <w:rFonts w:hint="cs" w:ascii="Arial" w:hAnsi="Arial"/>
                <w:rtl/>
              </w:rPr>
              <w:t xml:space="preserve">012, </w:t>
            </w:r>
            <w:r w:rsidR="00076F66">
              <w:rPr>
                <w:rFonts w:hint="cs" w:ascii="Arial" w:hAnsi="Arial"/>
                <w:rtl/>
              </w:rPr>
              <w:t>ו</w:t>
            </w:r>
            <w:r w:rsidRPr="00076F66" w:rsidR="005D571D">
              <w:rPr>
                <w:rFonts w:hint="cs" w:ascii="Arial" w:hAnsi="Arial"/>
                <w:rtl/>
              </w:rPr>
              <w:t xml:space="preserve">מציגים </w:t>
            </w:r>
            <w:r w:rsidRPr="00076F66">
              <w:rPr>
                <w:rFonts w:hint="cs" w:ascii="Arial" w:hAnsi="Arial"/>
                <w:rtl/>
              </w:rPr>
              <w:t>הפסדים</w:t>
            </w:r>
            <w:r w:rsidRPr="00076F66" w:rsidR="00076F66">
              <w:rPr>
                <w:rFonts w:hint="cs" w:ascii="Arial" w:hAnsi="Arial"/>
                <w:rtl/>
              </w:rPr>
              <w:t xml:space="preserve"> ניכרים</w:t>
            </w:r>
            <w:r w:rsidR="00076F66">
              <w:rPr>
                <w:rFonts w:hint="cs" w:ascii="Arial" w:hAnsi="Arial"/>
                <w:rtl/>
              </w:rPr>
              <w:t xml:space="preserve"> (הנעים סביב 130-170 אלף ₪ לשנה, ובסך הכל גרעון  של למעלה ממיליון ₪)</w:t>
            </w:r>
            <w:r w:rsidRPr="00DC28FC">
              <w:rPr>
                <w:rFonts w:hint="cs" w:ascii="Arial" w:hAnsi="Arial"/>
                <w:rtl/>
              </w:rPr>
              <w:t xml:space="preserve">. </w:t>
            </w:r>
          </w:p>
          <w:p w:rsidRPr="00DC28FC" w:rsidR="00395B89" w:rsidP="009E6707" w:rsidRDefault="00395B89" w14:paraId="261F0122" w14:textId="643F6080">
            <w:pPr>
              <w:pStyle w:val="ab"/>
              <w:spacing w:before="120" w:after="120" w:line="360" w:lineRule="auto"/>
              <w:contextualSpacing w:val="0"/>
              <w:jc w:val="both"/>
              <w:rPr>
                <w:rFonts w:ascii="Arial" w:hAnsi="Arial"/>
                <w:rtl/>
              </w:rPr>
            </w:pPr>
            <w:r w:rsidRPr="00DC28FC">
              <w:rPr>
                <w:rFonts w:hint="cs" w:ascii="Arial" w:hAnsi="Arial"/>
                <w:rtl/>
              </w:rPr>
              <w:t xml:space="preserve">עוד אציין שמעדויות הנאשם ונאוה עלה שהנאשם הציע </w:t>
            </w:r>
            <w:r w:rsidR="009E6707">
              <w:rPr>
                <w:rFonts w:hint="cs" w:ascii="Arial" w:hAnsi="Arial"/>
                <w:rtl/>
              </w:rPr>
              <w:t xml:space="preserve">בזמן </w:t>
            </w:r>
            <w:r w:rsidR="00076F66">
              <w:rPr>
                <w:rFonts w:hint="cs" w:ascii="Arial" w:hAnsi="Arial"/>
                <w:rtl/>
              </w:rPr>
              <w:t xml:space="preserve">אמת </w:t>
            </w:r>
            <w:r w:rsidRPr="00DC28FC">
              <w:rPr>
                <w:rFonts w:hint="cs" w:ascii="Arial" w:hAnsi="Arial"/>
                <w:rtl/>
              </w:rPr>
              <w:t>למסור את העסק לנאוה ולאחרים</w:t>
            </w:r>
            <w:r w:rsidRPr="00DC28FC" w:rsidR="003F66C3">
              <w:rPr>
                <w:rFonts w:hint="cs" w:ascii="Arial" w:hAnsi="Arial"/>
                <w:rtl/>
              </w:rPr>
              <w:t xml:space="preserve"> (פ/29 ש' 17),</w:t>
            </w:r>
            <w:r w:rsidR="009E6707">
              <w:rPr>
                <w:rFonts w:hint="cs" w:ascii="Arial" w:hAnsi="Arial"/>
                <w:rtl/>
              </w:rPr>
              <w:t xml:space="preserve"> ללא הצלחה. זו</w:t>
            </w:r>
            <w:r w:rsidRPr="00DC28FC" w:rsidR="003F66C3">
              <w:rPr>
                <w:rFonts w:hint="cs" w:ascii="Arial" w:hAnsi="Arial"/>
                <w:rtl/>
              </w:rPr>
              <w:t xml:space="preserve"> אינדיקציה נוספת להעדר רווחיותו. </w:t>
            </w:r>
            <w:r w:rsidR="009E6707">
              <w:rPr>
                <w:rFonts w:hint="cs" w:ascii="Arial" w:hAnsi="Arial"/>
                <w:rtl/>
              </w:rPr>
              <w:t xml:space="preserve"> </w:t>
            </w:r>
          </w:p>
          <w:p w:rsidRPr="00DC28FC" w:rsidR="007E1332" w:rsidP="009E6707" w:rsidRDefault="007E1332" w14:paraId="0E7B46CD" w14:textId="77777777">
            <w:pPr>
              <w:pStyle w:val="ab"/>
              <w:spacing w:before="120" w:after="120" w:line="360" w:lineRule="auto"/>
              <w:contextualSpacing w:val="0"/>
              <w:jc w:val="both"/>
              <w:rPr>
                <w:rFonts w:ascii="Arial" w:hAnsi="Arial"/>
                <w:rtl/>
              </w:rPr>
            </w:pPr>
            <w:r w:rsidRPr="00DC28FC">
              <w:rPr>
                <w:rFonts w:hint="cs" w:ascii="Arial" w:hAnsi="Arial"/>
                <w:rtl/>
              </w:rPr>
              <w:lastRenderedPageBreak/>
              <w:t xml:space="preserve">נתונים אלה אינם "הוכחה ניצחת" להעדר מוחלט של חיוב אפשרי במס או להעדרה של כוונה להתחמק מתשלום מס. </w:t>
            </w:r>
            <w:r w:rsidR="005D571D">
              <w:rPr>
                <w:rFonts w:hint="cs" w:ascii="Arial" w:hAnsi="Arial"/>
                <w:rtl/>
              </w:rPr>
              <w:t xml:space="preserve">גם אם רווחי העסק היו נמוכים, עדיין יתכן שהנאשמים ביקשו להתחמק מתשלום מס בגינם. </w:t>
            </w:r>
            <w:r w:rsidRPr="00DC28FC">
              <w:rPr>
                <w:rFonts w:hint="cs" w:ascii="Arial" w:hAnsi="Arial"/>
                <w:rtl/>
              </w:rPr>
              <w:t xml:space="preserve">ועם זאת, </w:t>
            </w:r>
            <w:r w:rsidR="00F972A2">
              <w:rPr>
                <w:rFonts w:hint="cs" w:ascii="Arial" w:hAnsi="Arial"/>
                <w:rtl/>
              </w:rPr>
              <w:t xml:space="preserve">הנתונים הללו תומכים </w:t>
            </w:r>
            <w:r w:rsidRPr="00DC28FC">
              <w:rPr>
                <w:rFonts w:hint="cs" w:ascii="Arial" w:hAnsi="Arial"/>
                <w:rtl/>
              </w:rPr>
              <w:t xml:space="preserve">באפשרות כי הנאשם לא נמנע מדיווח </w:t>
            </w:r>
            <w:r w:rsidRPr="00DC28FC" w:rsidR="00A25B20">
              <w:rPr>
                <w:rFonts w:hint="cs" w:ascii="Arial" w:hAnsi="Arial"/>
                <w:rtl/>
              </w:rPr>
              <w:t xml:space="preserve">מתוך </w:t>
            </w:r>
            <w:r w:rsidRPr="00DC28FC">
              <w:rPr>
                <w:rFonts w:hint="cs" w:ascii="Arial" w:hAnsi="Arial"/>
                <w:rtl/>
              </w:rPr>
              <w:t>רצון להתחמק מתשלום מס</w:t>
            </w:r>
            <w:r w:rsidRPr="00DC28FC" w:rsidR="00A25B20">
              <w:rPr>
                <w:rFonts w:hint="cs" w:ascii="Arial" w:hAnsi="Arial"/>
                <w:rtl/>
              </w:rPr>
              <w:t xml:space="preserve">. </w:t>
            </w:r>
            <w:r w:rsidRPr="00DC28FC" w:rsidR="00781A32">
              <w:rPr>
                <w:rFonts w:hint="cs" w:ascii="Arial" w:hAnsi="Arial"/>
                <w:rtl/>
              </w:rPr>
              <w:t xml:space="preserve">לא עבור החברה, וגם לא עבור עצמו </w:t>
            </w:r>
            <w:r w:rsidRPr="00DC28FC" w:rsidR="00781A32">
              <w:rPr>
                <w:rFonts w:ascii="Arial" w:hAnsi="Arial"/>
                <w:rtl/>
              </w:rPr>
              <w:t>–</w:t>
            </w:r>
            <w:r w:rsidRPr="00DC28FC" w:rsidR="00781A32">
              <w:rPr>
                <w:rFonts w:hint="cs" w:ascii="Arial" w:hAnsi="Arial"/>
                <w:rtl/>
              </w:rPr>
              <w:t xml:space="preserve"> משלא נטען או בוסס כי היו לו הכנסות נוספות באותה תקופה.</w:t>
            </w:r>
            <w:r w:rsidRPr="00DC28FC" w:rsidR="00694C1C">
              <w:rPr>
                <w:rFonts w:hint="cs" w:ascii="Arial" w:hAnsi="Arial"/>
                <w:rtl/>
              </w:rPr>
              <w:t xml:space="preserve"> בנוסף, </w:t>
            </w:r>
            <w:r w:rsidR="009E6707">
              <w:rPr>
                <w:rFonts w:hint="cs" w:ascii="Arial" w:hAnsi="Arial"/>
                <w:rtl/>
              </w:rPr>
              <w:t xml:space="preserve">הנתונים הללו </w:t>
            </w:r>
            <w:r w:rsidRPr="00DC28FC" w:rsidR="00694C1C">
              <w:rPr>
                <w:rFonts w:hint="cs" w:ascii="Arial" w:hAnsi="Arial"/>
                <w:rtl/>
              </w:rPr>
              <w:t>מתיישבים עם טענת ההגנה בדבר חוסר יכולת לממן רואה-חשבון שיגיש דוחות מבוקרים, ולעניין זה אזכיר את עדותה של נאוה לפיה בשלב מסוים הוגבל חשבון הב</w:t>
            </w:r>
            <w:r w:rsidRPr="00DC28FC" w:rsidR="00000102">
              <w:rPr>
                <w:rFonts w:hint="cs" w:ascii="Arial" w:hAnsi="Arial"/>
                <w:rtl/>
              </w:rPr>
              <w:t>נק של הנאשם והוא הורה לה להשתמש במזומנים שבקופת העסק לצורך כל ההוצאות כולל תשלום לספקים ולמשכורות.</w:t>
            </w:r>
          </w:p>
          <w:p w:rsidRPr="00DC28FC" w:rsidR="00F32174" w:rsidP="009E6707" w:rsidRDefault="009E6707" w14:paraId="2A57EAF5" w14:textId="77777777">
            <w:pPr>
              <w:pStyle w:val="ab"/>
              <w:numPr>
                <w:ilvl w:val="0"/>
                <w:numId w:val="7"/>
              </w:numPr>
              <w:spacing w:before="120" w:after="120" w:line="360" w:lineRule="auto"/>
              <w:contextualSpacing w:val="0"/>
              <w:jc w:val="both"/>
              <w:rPr>
                <w:rFonts w:ascii="Arial" w:hAnsi="Arial"/>
              </w:rPr>
            </w:pPr>
            <w:r>
              <w:rPr>
                <w:rFonts w:hint="cs" w:ascii="Arial" w:hAnsi="Arial"/>
                <w:rtl/>
              </w:rPr>
              <w:t xml:space="preserve">לאלה מתווספת טענת </w:t>
            </w:r>
            <w:r w:rsidRPr="00DC28FC" w:rsidR="00781A32">
              <w:rPr>
                <w:rFonts w:hint="cs" w:ascii="Arial" w:hAnsi="Arial"/>
                <w:rtl/>
              </w:rPr>
              <w:t xml:space="preserve"> ההגנה </w:t>
            </w:r>
            <w:r w:rsidR="001C0D3E">
              <w:rPr>
                <w:rFonts w:hint="cs" w:ascii="Arial" w:hAnsi="Arial"/>
                <w:rtl/>
              </w:rPr>
              <w:t xml:space="preserve">לפיה, </w:t>
            </w:r>
            <w:r w:rsidRPr="00DC28FC" w:rsidR="00781A32">
              <w:rPr>
                <w:rFonts w:hint="cs" w:ascii="Arial" w:hAnsi="Arial"/>
                <w:rtl/>
              </w:rPr>
              <w:t>בזמן אמת</w:t>
            </w:r>
            <w:r w:rsidR="001C0D3E">
              <w:rPr>
                <w:rFonts w:hint="cs" w:ascii="Arial" w:hAnsi="Arial"/>
                <w:rtl/>
              </w:rPr>
              <w:t xml:space="preserve"> ולאורך התקופה מושא האישום,</w:t>
            </w:r>
            <w:r w:rsidRPr="00DC28FC" w:rsidR="00781A32">
              <w:rPr>
                <w:rFonts w:hint="cs" w:ascii="Arial" w:hAnsi="Arial"/>
                <w:rtl/>
              </w:rPr>
              <w:t xml:space="preserve"> דיווח הנאשם לרשויות מס ערך מוסף על הכנסות החברה ושילם מע"מ. כאמור, נאוה מסרה כי מדי חודש נהגה לחשב את הוצאות והכנסות החברה ואת חבות המע"מ, ולהעבירה לנאשם. הנאשם העיד כי את דוחות המע"מ הגיש (פ/42). </w:t>
            </w:r>
            <w:r w:rsidRPr="00DC28FC" w:rsidR="007208DC">
              <w:rPr>
                <w:rFonts w:hint="cs" w:ascii="Arial" w:hAnsi="Arial"/>
                <w:rtl/>
              </w:rPr>
              <w:t>טענה זו לא הופרכה בידי המאשימה</w:t>
            </w:r>
            <w:r w:rsidRPr="00DC28FC" w:rsidR="004B69B7">
              <w:rPr>
                <w:rFonts w:hint="cs" w:ascii="Arial" w:hAnsi="Arial"/>
                <w:rtl/>
              </w:rPr>
              <w:t xml:space="preserve">, שאף התייחסה לתשלומי מע"מ בסיכומיה (פסקאות 9,16, 18). בראיות </w:t>
            </w:r>
            <w:r w:rsidR="001C0D3E">
              <w:rPr>
                <w:rFonts w:hint="cs" w:ascii="Arial" w:hAnsi="Arial"/>
                <w:rtl/>
              </w:rPr>
              <w:t xml:space="preserve">ישנה </w:t>
            </w:r>
            <w:r w:rsidRPr="00DC28FC" w:rsidR="004B69B7">
              <w:rPr>
                <w:rFonts w:hint="cs" w:ascii="Arial" w:hAnsi="Arial"/>
                <w:rtl/>
              </w:rPr>
              <w:t>אף אינדיקציה לדיווחי המע"מ: ה</w:t>
            </w:r>
            <w:r w:rsidRPr="00DC28FC" w:rsidR="007208DC">
              <w:rPr>
                <w:rFonts w:hint="cs" w:ascii="Arial" w:hAnsi="Arial"/>
                <w:rtl/>
              </w:rPr>
              <w:t>עד</w:t>
            </w:r>
            <w:r w:rsidR="001C0D3E">
              <w:rPr>
                <w:rFonts w:hint="cs" w:ascii="Arial" w:hAnsi="Arial"/>
                <w:rtl/>
              </w:rPr>
              <w:t>ה</w:t>
            </w:r>
            <w:r w:rsidRPr="00DC28FC" w:rsidR="007208DC">
              <w:rPr>
                <w:rFonts w:hint="cs" w:ascii="Arial" w:hAnsi="Arial"/>
                <w:rtl/>
              </w:rPr>
              <w:t xml:space="preserve"> גב' שרית פרסי מרשות המיסים הציגה, על סמך מסמכים שהיו בפניה, השערה לפיה נתוני הכנסות הנאשמת </w:t>
            </w:r>
            <w:r>
              <w:rPr>
                <w:rFonts w:hint="cs" w:ascii="Arial" w:hAnsi="Arial"/>
                <w:rtl/>
              </w:rPr>
              <w:t xml:space="preserve">שהם הבסיס לכתב האישום </w:t>
            </w:r>
            <w:r w:rsidRPr="00DC28FC" w:rsidR="007208DC">
              <w:rPr>
                <w:rFonts w:hint="cs" w:ascii="Arial" w:hAnsi="Arial"/>
                <w:rtl/>
              </w:rPr>
              <w:t xml:space="preserve">התקבלו באמצעות דיווח רשויות מע"מ לרשויות מס הכנסה (פ/36 ש' 2). </w:t>
            </w:r>
          </w:p>
          <w:p w:rsidRPr="00DC28FC" w:rsidR="00F53B25" w:rsidP="001C0D3E" w:rsidRDefault="008418DD" w14:paraId="09DD9399" w14:textId="32417F43">
            <w:pPr>
              <w:pStyle w:val="ab"/>
              <w:spacing w:before="120" w:after="120" w:line="360" w:lineRule="auto"/>
              <w:contextualSpacing w:val="0"/>
              <w:jc w:val="both"/>
              <w:rPr>
                <w:rFonts w:ascii="Arial" w:hAnsi="Arial"/>
                <w:rtl/>
              </w:rPr>
            </w:pPr>
            <w:r w:rsidRPr="00DC28FC">
              <w:rPr>
                <w:rFonts w:hint="cs" w:ascii="Arial" w:hAnsi="Arial"/>
                <w:rtl/>
              </w:rPr>
              <w:t>ברי כי דיווח למע"מ ולא לפקיד השומה אינו שולל בהכרח את תזת התביעה</w:t>
            </w:r>
            <w:r w:rsidRPr="00DC28FC" w:rsidR="00EC0FC0">
              <w:rPr>
                <w:rFonts w:hint="cs" w:ascii="Arial" w:hAnsi="Arial"/>
                <w:rtl/>
              </w:rPr>
              <w:t xml:space="preserve">. </w:t>
            </w:r>
            <w:r w:rsidRPr="00DC28FC">
              <w:rPr>
                <w:rFonts w:hint="cs" w:ascii="Arial" w:hAnsi="Arial"/>
                <w:rtl/>
              </w:rPr>
              <w:t>ועם זאת, עסקינן ב</w:t>
            </w:r>
            <w:r w:rsidR="001C0D3E">
              <w:rPr>
                <w:rFonts w:hint="cs" w:ascii="Arial" w:hAnsi="Arial"/>
                <w:rtl/>
              </w:rPr>
              <w:t>שאלה האם יש בו להתיישב גם עם תזת ההגנה. בהקשר זה יש לזכור כי הנאשמים לא דיווחו על הכנסותיה</w:t>
            </w:r>
            <w:r w:rsidR="009E6707">
              <w:rPr>
                <w:rFonts w:hint="cs" w:ascii="Arial" w:hAnsi="Arial"/>
                <w:rtl/>
              </w:rPr>
              <w:t>ם</w:t>
            </w:r>
            <w:r w:rsidR="001C0D3E">
              <w:rPr>
                <w:rFonts w:hint="cs" w:ascii="Arial" w:hAnsi="Arial"/>
                <w:rtl/>
              </w:rPr>
              <w:t xml:space="preserve"> בחסר לפקיד השומה אלא נמנעו כליל מדיווחים אלה. </w:t>
            </w:r>
            <w:r w:rsidRPr="00DC28FC">
              <w:rPr>
                <w:rFonts w:hint="cs" w:ascii="Arial" w:hAnsi="Arial"/>
                <w:rtl/>
              </w:rPr>
              <w:t xml:space="preserve">הדיווח למע"מ אודות הכנסות הנאשמת, והימנעות מוחלטת מדיווח מקביל לפקיד השומה, הקים </w:t>
            </w:r>
            <w:r w:rsidR="001C0D3E">
              <w:rPr>
                <w:rFonts w:hint="cs" w:ascii="Arial" w:hAnsi="Arial"/>
                <w:rtl/>
              </w:rPr>
              <w:t xml:space="preserve">להם </w:t>
            </w:r>
            <w:r w:rsidRPr="00DC28FC">
              <w:rPr>
                <w:rFonts w:hint="cs" w:ascii="Arial" w:hAnsi="Arial"/>
                <w:rtl/>
              </w:rPr>
              <w:t xml:space="preserve">סיכון ברור של תפיסה. </w:t>
            </w:r>
            <w:r w:rsidRPr="00DC28FC" w:rsidR="00802D64">
              <w:rPr>
                <w:rFonts w:hint="cs" w:ascii="Arial" w:hAnsi="Arial"/>
                <w:rtl/>
              </w:rPr>
              <w:t xml:space="preserve">אזכיר גם כי הנאשם ידע </w:t>
            </w:r>
            <w:r w:rsidR="00076F66">
              <w:rPr>
                <w:rFonts w:hint="cs" w:ascii="Arial" w:hAnsi="Arial"/>
                <w:rtl/>
              </w:rPr>
              <w:t xml:space="preserve">בזמן אמת </w:t>
            </w:r>
            <w:r w:rsidRPr="00DC28FC" w:rsidR="00802D64">
              <w:rPr>
                <w:rFonts w:hint="cs" w:ascii="Arial" w:hAnsi="Arial"/>
                <w:rtl/>
              </w:rPr>
              <w:t xml:space="preserve">את משמעות </w:t>
            </w:r>
            <w:r w:rsidR="001C0D3E">
              <w:rPr>
                <w:rFonts w:hint="cs" w:ascii="Arial" w:hAnsi="Arial"/>
                <w:rtl/>
              </w:rPr>
              <w:t>הסיכון</w:t>
            </w:r>
            <w:r w:rsidR="002D4191">
              <w:rPr>
                <w:rFonts w:hint="cs" w:ascii="Arial" w:hAnsi="Arial"/>
                <w:rtl/>
              </w:rPr>
              <w:t xml:space="preserve"> </w:t>
            </w:r>
            <w:r w:rsidRPr="00DC28FC" w:rsidR="00802D64">
              <w:rPr>
                <w:rFonts w:ascii="Arial" w:hAnsi="Arial"/>
                <w:rtl/>
              </w:rPr>
              <w:t>–</w:t>
            </w:r>
            <w:r w:rsidRPr="00DC28FC" w:rsidR="00802D64">
              <w:rPr>
                <w:rFonts w:hint="cs" w:ascii="Arial" w:hAnsi="Arial"/>
                <w:rtl/>
              </w:rPr>
              <w:t xml:space="preserve"> שהרי באותה תקופה ממש ריצה מאסר בעבודות שירות בגין הרשעתו הקודמת</w:t>
            </w:r>
            <w:r w:rsidR="001C0D3E">
              <w:rPr>
                <w:rFonts w:hint="cs" w:ascii="Arial" w:hAnsi="Arial"/>
                <w:rtl/>
              </w:rPr>
              <w:t xml:space="preserve">, ואף </w:t>
            </w:r>
            <w:r w:rsidRPr="00DC28FC" w:rsidR="00395B89">
              <w:rPr>
                <w:rFonts w:hint="cs" w:ascii="Arial" w:hAnsi="Arial"/>
                <w:rtl/>
              </w:rPr>
              <w:t xml:space="preserve">היה כפוף לסיכון </w:t>
            </w:r>
            <w:r w:rsidR="001C0D3E">
              <w:rPr>
                <w:rFonts w:hint="cs" w:ascii="Arial" w:hAnsi="Arial"/>
                <w:rtl/>
              </w:rPr>
              <w:t xml:space="preserve">מוגבר </w:t>
            </w:r>
            <w:r w:rsidRPr="00DC28FC" w:rsidR="00395B89">
              <w:rPr>
                <w:rFonts w:hint="cs" w:ascii="Arial" w:hAnsi="Arial"/>
                <w:rtl/>
              </w:rPr>
              <w:t>הכרוך במאסר המותנה שנגזר באותו הליך</w:t>
            </w:r>
            <w:r w:rsidRPr="00DC28FC" w:rsidR="00802D64">
              <w:rPr>
                <w:rFonts w:hint="cs" w:ascii="Arial" w:hAnsi="Arial"/>
                <w:rtl/>
              </w:rPr>
              <w:t xml:space="preserve">. </w:t>
            </w:r>
          </w:p>
          <w:p w:rsidR="00DC28FC" w:rsidP="009E6707" w:rsidRDefault="001C0D3E" w14:paraId="1473F8DA" w14:textId="77777777">
            <w:pPr>
              <w:pStyle w:val="ab"/>
              <w:spacing w:before="120" w:after="120" w:line="360" w:lineRule="auto"/>
              <w:contextualSpacing w:val="0"/>
              <w:jc w:val="both"/>
              <w:rPr>
                <w:rFonts w:ascii="Arial" w:hAnsi="Arial"/>
                <w:rtl/>
              </w:rPr>
            </w:pPr>
            <w:r>
              <w:rPr>
                <w:rFonts w:hint="cs" w:ascii="Arial" w:hAnsi="Arial"/>
                <w:rtl/>
              </w:rPr>
              <w:t xml:space="preserve">עוד </w:t>
            </w:r>
            <w:r w:rsidRPr="00DC28FC" w:rsidR="00F53B25">
              <w:rPr>
                <w:rFonts w:hint="cs" w:ascii="Arial" w:hAnsi="Arial"/>
                <w:rtl/>
              </w:rPr>
              <w:t xml:space="preserve">אוסיף שקיום </w:t>
            </w:r>
            <w:r w:rsidRPr="00DC28FC" w:rsidR="00DC28FC">
              <w:rPr>
                <w:rFonts w:hint="cs" w:ascii="Arial" w:hAnsi="Arial"/>
                <w:rtl/>
              </w:rPr>
              <w:t xml:space="preserve">ההליך הקודם מרחיק </w:t>
            </w:r>
            <w:r w:rsidRPr="00DC28FC" w:rsidR="00F53B25">
              <w:rPr>
                <w:rFonts w:hint="cs" w:ascii="Arial" w:hAnsi="Arial"/>
                <w:rtl/>
              </w:rPr>
              <w:t xml:space="preserve">את ה"הגיון" שבניסיון להעלים </w:t>
            </w:r>
            <w:r w:rsidRPr="00DC28FC" w:rsidR="00F53B25">
              <w:rPr>
                <w:rFonts w:hint="cs" w:ascii="Arial" w:hAnsi="Arial" w:cs="Miriam"/>
                <w:rtl/>
              </w:rPr>
              <w:t>לחלוטין</w:t>
            </w:r>
            <w:r w:rsidRPr="00DC28FC" w:rsidR="00F53B25">
              <w:rPr>
                <w:rFonts w:hint="cs" w:ascii="Arial" w:hAnsi="Arial"/>
                <w:rtl/>
              </w:rPr>
              <w:t xml:space="preserve"> את הכנסות העסק מעיני הרשויות</w:t>
            </w:r>
            <w:r>
              <w:rPr>
                <w:rFonts w:hint="cs" w:ascii="Arial" w:hAnsi="Arial"/>
                <w:rtl/>
              </w:rPr>
              <w:t xml:space="preserve">. שהרי, הרשויות היו בעיצומו של הליך אכיפתי נגד הנאשם - </w:t>
            </w:r>
            <w:r w:rsidRPr="00DC28FC" w:rsidR="00DC28FC">
              <w:rPr>
                <w:rFonts w:hint="cs" w:ascii="Arial" w:hAnsi="Arial"/>
                <w:rtl/>
              </w:rPr>
              <w:t>ו</w:t>
            </w:r>
            <w:r w:rsidRPr="00DC28FC" w:rsidR="00F53B25">
              <w:rPr>
                <w:rFonts w:hint="cs" w:ascii="Arial" w:hAnsi="Arial"/>
                <w:rtl/>
              </w:rPr>
              <w:t xml:space="preserve">אזכיר כי תקופת ההימנעות מדיווח בה עוסק הליך זה החלה </w:t>
            </w:r>
            <w:r w:rsidRPr="00DC28FC" w:rsidR="00DC28FC">
              <w:rPr>
                <w:rFonts w:hint="cs" w:ascii="Arial" w:hAnsi="Arial"/>
                <w:rtl/>
              </w:rPr>
              <w:t xml:space="preserve">בעיצומו של </w:t>
            </w:r>
            <w:r w:rsidRPr="00DC28FC" w:rsidR="00F53B25">
              <w:rPr>
                <w:rFonts w:hint="cs" w:ascii="Arial" w:hAnsi="Arial"/>
                <w:rtl/>
              </w:rPr>
              <w:t>ההליך הקודם והמשיכה לאחריו</w:t>
            </w:r>
            <w:r w:rsidRPr="00DC28FC" w:rsidR="00DC28FC">
              <w:rPr>
                <w:rFonts w:hint="cs" w:ascii="Arial" w:hAnsi="Arial"/>
                <w:rtl/>
              </w:rPr>
              <w:t xml:space="preserve">. </w:t>
            </w:r>
            <w:r>
              <w:rPr>
                <w:rFonts w:hint="cs" w:ascii="Arial" w:hAnsi="Arial"/>
                <w:rtl/>
              </w:rPr>
              <w:t>במצב דברים זה,</w:t>
            </w:r>
            <w:r w:rsidR="00F3545F">
              <w:rPr>
                <w:rFonts w:hint="cs" w:ascii="Arial" w:hAnsi="Arial"/>
                <w:rtl/>
              </w:rPr>
              <w:t xml:space="preserve"> </w:t>
            </w:r>
            <w:r>
              <w:rPr>
                <w:rFonts w:hint="cs" w:ascii="Arial" w:hAnsi="Arial"/>
                <w:rtl/>
              </w:rPr>
              <w:t>הסיכו</w:t>
            </w:r>
            <w:r w:rsidR="00F3545F">
              <w:rPr>
                <w:rFonts w:hint="cs" w:ascii="Arial" w:hAnsi="Arial"/>
                <w:rtl/>
              </w:rPr>
              <w:t xml:space="preserve">י </w:t>
            </w:r>
            <w:r w:rsidR="009E6707">
              <w:rPr>
                <w:rFonts w:hint="cs" w:ascii="Arial" w:hAnsi="Arial"/>
                <w:rtl/>
              </w:rPr>
              <w:t>"</w:t>
            </w:r>
            <w:r w:rsidR="00F3545F">
              <w:rPr>
                <w:rFonts w:hint="cs" w:ascii="Arial" w:hAnsi="Arial"/>
                <w:rtl/>
              </w:rPr>
              <w:t>להצליח</w:t>
            </w:r>
            <w:r w:rsidR="009E6707">
              <w:rPr>
                <w:rFonts w:hint="cs" w:ascii="Arial" w:hAnsi="Arial"/>
                <w:rtl/>
              </w:rPr>
              <w:t>" להעלים לחלוטין את פעילות הנאשמת</w:t>
            </w:r>
            <w:r w:rsidR="00F3545F">
              <w:rPr>
                <w:rFonts w:hint="cs" w:ascii="Arial" w:hAnsi="Arial"/>
                <w:rtl/>
              </w:rPr>
              <w:t xml:space="preserve"> מעיני פקיד השומה נראה רחוק.</w:t>
            </w:r>
          </w:p>
          <w:p w:rsidRPr="00DC28FC" w:rsidR="00F3545F" w:rsidP="009E6707" w:rsidRDefault="00F3545F" w14:paraId="401E7360" w14:textId="77777777">
            <w:pPr>
              <w:pStyle w:val="ab"/>
              <w:spacing w:before="120" w:after="120" w:line="360" w:lineRule="auto"/>
              <w:contextualSpacing w:val="0"/>
              <w:jc w:val="both"/>
              <w:rPr>
                <w:rFonts w:ascii="Arial" w:hAnsi="Arial"/>
                <w:rtl/>
              </w:rPr>
            </w:pPr>
            <w:r>
              <w:rPr>
                <w:rFonts w:hint="cs" w:ascii="Arial" w:hAnsi="Arial"/>
                <w:rtl/>
              </w:rPr>
              <w:t xml:space="preserve">בהקשר זה </w:t>
            </w:r>
            <w:r w:rsidR="009E6707">
              <w:rPr>
                <w:rFonts w:hint="cs" w:ascii="Arial" w:hAnsi="Arial"/>
                <w:rtl/>
              </w:rPr>
              <w:t xml:space="preserve">אף אחזור ואזכיר </w:t>
            </w:r>
            <w:r>
              <w:rPr>
                <w:rFonts w:hint="cs" w:ascii="Arial" w:hAnsi="Arial"/>
                <w:rtl/>
              </w:rPr>
              <w:t xml:space="preserve">את הדיון </w:t>
            </w:r>
            <w:r w:rsidR="009E6707">
              <w:rPr>
                <w:rFonts w:hint="cs" w:ascii="Arial" w:hAnsi="Arial"/>
                <w:rtl/>
              </w:rPr>
              <w:t xml:space="preserve">שנערך </w:t>
            </w:r>
            <w:r>
              <w:rPr>
                <w:rFonts w:hint="cs" w:ascii="Arial" w:hAnsi="Arial"/>
                <w:rtl/>
              </w:rPr>
              <w:t>בפ</w:t>
            </w:r>
            <w:r w:rsidR="009E6707">
              <w:rPr>
                <w:rFonts w:hint="cs" w:ascii="Arial" w:hAnsi="Arial"/>
                <w:rtl/>
              </w:rPr>
              <w:t>י</w:t>
            </w:r>
            <w:r>
              <w:rPr>
                <w:rFonts w:hint="cs" w:ascii="Arial" w:hAnsi="Arial"/>
                <w:rtl/>
              </w:rPr>
              <w:t xml:space="preserve">סקה הקודמת: אל מול הסיכון הכבד ניצב העדרו של חיוב במס, ולכל היותר חיוב בסכומים נמוכים. </w:t>
            </w:r>
          </w:p>
          <w:p w:rsidRPr="00DC28FC" w:rsidR="00F53B25" w:rsidP="00F3545F" w:rsidRDefault="00F3545F" w14:paraId="6B3CFBD8" w14:textId="77777777">
            <w:pPr>
              <w:pStyle w:val="ab"/>
              <w:spacing w:before="120" w:after="120" w:line="360" w:lineRule="auto"/>
              <w:contextualSpacing w:val="0"/>
              <w:jc w:val="both"/>
              <w:rPr>
                <w:rFonts w:ascii="Arial" w:hAnsi="Arial"/>
                <w:rtl/>
              </w:rPr>
            </w:pPr>
            <w:r>
              <w:rPr>
                <w:rFonts w:hint="cs" w:ascii="Arial" w:hAnsi="Arial"/>
                <w:rtl/>
              </w:rPr>
              <w:lastRenderedPageBreak/>
              <w:t xml:space="preserve">כל אלה תומכים בטענת ההגנה. </w:t>
            </w:r>
            <w:r w:rsidRPr="00DC28FC" w:rsidR="00EC0FC0">
              <w:rPr>
                <w:rFonts w:hint="cs" w:ascii="Arial" w:hAnsi="Arial"/>
                <w:rtl/>
              </w:rPr>
              <w:t xml:space="preserve">בנסיבות הליך זה והעסק הנדון כאן, אין בבחירה </w:t>
            </w:r>
            <w:r w:rsidRPr="00DC28FC" w:rsidR="00802D64">
              <w:rPr>
                <w:rFonts w:hint="cs" w:ascii="Arial" w:hAnsi="Arial"/>
                <w:rtl/>
              </w:rPr>
              <w:t xml:space="preserve">לדווח למע"מ </w:t>
            </w:r>
            <w:r w:rsidRPr="00DC28FC" w:rsidR="00DC28FC">
              <w:rPr>
                <w:rFonts w:hint="cs" w:ascii="Arial" w:hAnsi="Arial"/>
                <w:rtl/>
              </w:rPr>
              <w:t xml:space="preserve">על הכנסות העסק </w:t>
            </w:r>
            <w:r>
              <w:rPr>
                <w:rFonts w:hint="cs" w:ascii="Arial" w:hAnsi="Arial"/>
                <w:rtl/>
              </w:rPr>
              <w:t xml:space="preserve">ובמקביל להימנע לחלוטין </w:t>
            </w:r>
            <w:r w:rsidRPr="00DC28FC" w:rsidR="00DC28FC">
              <w:rPr>
                <w:rFonts w:hint="cs" w:ascii="Arial" w:hAnsi="Arial"/>
                <w:rtl/>
              </w:rPr>
              <w:t xml:space="preserve">מדיווח לפקיד השומה </w:t>
            </w:r>
            <w:r w:rsidRPr="00DC28FC" w:rsidR="00EC0FC0">
              <w:rPr>
                <w:rFonts w:hint="cs" w:ascii="Arial" w:hAnsi="Arial"/>
                <w:rtl/>
              </w:rPr>
              <w:t>"ה</w:t>
            </w:r>
            <w:r w:rsidR="009E6707">
              <w:rPr>
                <w:rFonts w:hint="cs" w:ascii="Arial" w:hAnsi="Arial"/>
                <w:rtl/>
              </w:rPr>
              <w:t>י</w:t>
            </w:r>
            <w:r w:rsidRPr="00DC28FC" w:rsidR="00EC0FC0">
              <w:rPr>
                <w:rFonts w:hint="cs" w:ascii="Arial" w:hAnsi="Arial"/>
                <w:rtl/>
              </w:rPr>
              <w:t>גיון עברייני"</w:t>
            </w:r>
            <w:r>
              <w:rPr>
                <w:rFonts w:hint="cs" w:ascii="Arial" w:hAnsi="Arial"/>
                <w:rtl/>
              </w:rPr>
              <w:t>,</w:t>
            </w:r>
            <w:r w:rsidRPr="00DC28FC" w:rsidR="00EC0FC0">
              <w:rPr>
                <w:rFonts w:hint="cs" w:ascii="Arial" w:hAnsi="Arial"/>
                <w:rtl/>
              </w:rPr>
              <w:t xml:space="preserve"> המתיישב עם תכנית להתחמק מתשלום מס</w:t>
            </w:r>
            <w:r w:rsidRPr="00DC28FC" w:rsidR="00DC28FC">
              <w:rPr>
                <w:rFonts w:hint="cs" w:ascii="Arial" w:hAnsi="Arial"/>
                <w:rtl/>
              </w:rPr>
              <w:t xml:space="preserve">. </w:t>
            </w:r>
            <w:r w:rsidRPr="00DC28FC" w:rsidR="00EC0FC0">
              <w:rPr>
                <w:rFonts w:hint="cs" w:ascii="Arial" w:hAnsi="Arial"/>
                <w:rtl/>
              </w:rPr>
              <w:t xml:space="preserve">להצלחתה </w:t>
            </w:r>
            <w:r w:rsidRPr="00DC28FC" w:rsidR="00DC28FC">
              <w:rPr>
                <w:rFonts w:hint="cs" w:ascii="Arial" w:hAnsi="Arial"/>
                <w:rtl/>
              </w:rPr>
              <w:t xml:space="preserve">של תכנית שכזו, </w:t>
            </w:r>
            <w:r w:rsidRPr="00DC28FC" w:rsidR="00EC0FC0">
              <w:rPr>
                <w:rFonts w:hint="cs" w:ascii="Arial" w:hAnsi="Arial"/>
                <w:rtl/>
              </w:rPr>
              <w:t>"מוטב" היה להעלים כליל את ההכנסות מעיני הרשויות</w:t>
            </w:r>
            <w:r>
              <w:rPr>
                <w:rFonts w:hint="cs" w:ascii="Arial" w:hAnsi="Arial"/>
                <w:rtl/>
              </w:rPr>
              <w:t xml:space="preserve">. כאמור, </w:t>
            </w:r>
            <w:r w:rsidRPr="00DC28FC" w:rsidR="00DC28FC">
              <w:rPr>
                <w:rFonts w:hint="cs" w:ascii="Arial" w:hAnsi="Arial"/>
                <w:rtl/>
              </w:rPr>
              <w:t>ספק רב אם ניתן היה לעשות כן בעיצומו של הליך המתנהל כנגד הנאשמים בגין אותו עסק ממש</w:t>
            </w:r>
            <w:r>
              <w:rPr>
                <w:rFonts w:hint="cs" w:ascii="Arial" w:hAnsi="Arial"/>
                <w:rtl/>
              </w:rPr>
              <w:t>, וממילא דובר בסיכון משמעותי מאוד לתפיסה אל מול "פיתוי" כספי נמוך או אפסי</w:t>
            </w:r>
            <w:r w:rsidRPr="00DC28FC" w:rsidR="00DC28FC">
              <w:rPr>
                <w:rFonts w:hint="cs" w:ascii="Arial" w:hAnsi="Arial"/>
                <w:rtl/>
              </w:rPr>
              <w:t>.</w:t>
            </w:r>
            <w:r>
              <w:rPr>
                <w:rFonts w:hint="cs" w:ascii="Arial" w:hAnsi="Arial"/>
                <w:rtl/>
              </w:rPr>
              <w:t xml:space="preserve"> </w:t>
            </w:r>
          </w:p>
          <w:p w:rsidRPr="00DC28FC" w:rsidR="004B69B7" w:rsidP="00DC28FC" w:rsidRDefault="00EC0FC0" w14:paraId="1D9682BC" w14:textId="77777777">
            <w:pPr>
              <w:pStyle w:val="ab"/>
              <w:spacing w:before="120" w:after="120" w:line="360" w:lineRule="auto"/>
              <w:contextualSpacing w:val="0"/>
              <w:jc w:val="both"/>
              <w:rPr>
                <w:rFonts w:ascii="Arial" w:hAnsi="Arial"/>
              </w:rPr>
            </w:pPr>
            <w:r w:rsidRPr="00DC28FC">
              <w:rPr>
                <w:rFonts w:hint="cs" w:ascii="Arial" w:hAnsi="Arial"/>
                <w:rtl/>
              </w:rPr>
              <w:t>לכן, והגם שאין בכך הוכחה מוחלטת לחפות</w:t>
            </w:r>
            <w:r w:rsidR="00F3545F">
              <w:rPr>
                <w:rFonts w:hint="cs" w:ascii="Arial" w:hAnsi="Arial"/>
                <w:rtl/>
              </w:rPr>
              <w:t xml:space="preserve"> ועדיין ייתכן שהנאשמים לקחו את הסיכון בשל בצע כסף וקיוו שלא להיתפס</w:t>
            </w:r>
            <w:r w:rsidRPr="00DC28FC">
              <w:rPr>
                <w:rFonts w:hint="cs" w:ascii="Arial" w:hAnsi="Arial"/>
                <w:rtl/>
              </w:rPr>
              <w:t xml:space="preserve">, </w:t>
            </w:r>
            <w:r w:rsidR="00F3545F">
              <w:rPr>
                <w:rFonts w:hint="cs" w:ascii="Arial" w:hAnsi="Arial"/>
                <w:rtl/>
              </w:rPr>
              <w:t>הרי ש</w:t>
            </w:r>
            <w:r w:rsidRPr="00DC28FC">
              <w:rPr>
                <w:rFonts w:hint="cs" w:ascii="Arial" w:hAnsi="Arial"/>
                <w:rtl/>
              </w:rPr>
              <w:t>מדובר בנדבך נוסף במארג האלמנטים המקימים את הספק הסביר.</w:t>
            </w:r>
          </w:p>
          <w:p w:rsidRPr="00DC28FC" w:rsidR="007208DC" w:rsidP="00B45F9B" w:rsidRDefault="00B45F9B" w14:paraId="3222241D" w14:textId="77777777">
            <w:pPr>
              <w:pStyle w:val="ab"/>
              <w:numPr>
                <w:ilvl w:val="0"/>
                <w:numId w:val="7"/>
              </w:numPr>
              <w:spacing w:before="120" w:after="120" w:line="360" w:lineRule="auto"/>
              <w:contextualSpacing w:val="0"/>
              <w:jc w:val="both"/>
              <w:rPr>
                <w:rFonts w:ascii="Arial" w:hAnsi="Arial"/>
              </w:rPr>
            </w:pPr>
            <w:r>
              <w:rPr>
                <w:rFonts w:hint="cs" w:ascii="Arial" w:hAnsi="Arial"/>
                <w:rtl/>
              </w:rPr>
              <w:t xml:space="preserve">כל אלה משתלבים זה בזה, ומבססים את הספק. מנגד, קיימים אלמנטים </w:t>
            </w:r>
            <w:r w:rsidRPr="00DC28FC" w:rsidR="008B1B48">
              <w:rPr>
                <w:rFonts w:hint="cs" w:ascii="Arial" w:hAnsi="Arial"/>
                <w:rtl/>
              </w:rPr>
              <w:t xml:space="preserve">הפועלים </w:t>
            </w:r>
            <w:r w:rsidR="00F3545F">
              <w:rPr>
                <w:rFonts w:hint="cs" w:ascii="Arial" w:hAnsi="Arial"/>
                <w:rtl/>
              </w:rPr>
              <w:t>לחובת הנאשמים</w:t>
            </w:r>
            <w:r w:rsidRPr="00DC28FC" w:rsidR="00274198">
              <w:rPr>
                <w:rFonts w:hint="cs" w:ascii="Arial" w:hAnsi="Arial"/>
                <w:rtl/>
              </w:rPr>
              <w:t xml:space="preserve">, </w:t>
            </w:r>
            <w:r w:rsidRPr="00DC28FC" w:rsidR="008B1B48">
              <w:rPr>
                <w:rFonts w:hint="cs" w:ascii="Arial" w:hAnsi="Arial"/>
                <w:rtl/>
              </w:rPr>
              <w:t xml:space="preserve">שעל חלקם </w:t>
            </w:r>
            <w:r w:rsidRPr="00DC28FC" w:rsidR="00274198">
              <w:rPr>
                <w:rFonts w:hint="cs" w:ascii="Arial" w:hAnsi="Arial"/>
                <w:rtl/>
              </w:rPr>
              <w:t xml:space="preserve">הצביעה המאשימה בסיכומיה. אדון בהם עתה, אך בפתיח אזכיר כי מסקנתי מבוססת על ספק, ולא על הוכחה </w:t>
            </w:r>
            <w:r w:rsidR="00F3545F">
              <w:rPr>
                <w:rFonts w:hint="cs" w:ascii="Arial" w:hAnsi="Arial"/>
                <w:rtl/>
              </w:rPr>
              <w:t xml:space="preserve">מלאה </w:t>
            </w:r>
            <w:r w:rsidRPr="00DC28FC" w:rsidR="00274198">
              <w:rPr>
                <w:rFonts w:hint="cs" w:ascii="Arial" w:hAnsi="Arial"/>
                <w:rtl/>
              </w:rPr>
              <w:t xml:space="preserve">של חפות. קיומם של האלמנטים </w:t>
            </w:r>
            <w:r w:rsidR="00F3545F">
              <w:rPr>
                <w:rFonts w:hint="cs" w:ascii="Arial" w:hAnsi="Arial"/>
                <w:rtl/>
              </w:rPr>
              <w:t>שיידונו כעת</w:t>
            </w:r>
            <w:r w:rsidRPr="00DC28FC" w:rsidR="00274198">
              <w:rPr>
                <w:rFonts w:hint="cs" w:ascii="Arial" w:hAnsi="Arial"/>
                <w:rtl/>
              </w:rPr>
              <w:t>, גם אם הוא תומך בתזת התביעה</w:t>
            </w:r>
            <w:r w:rsidRPr="00DC28FC" w:rsidR="008B1B48">
              <w:rPr>
                <w:rFonts w:hint="cs" w:ascii="Arial" w:hAnsi="Arial"/>
                <w:rtl/>
              </w:rPr>
              <w:t>,</w:t>
            </w:r>
            <w:r w:rsidRPr="00DC28FC" w:rsidR="00274198">
              <w:rPr>
                <w:rFonts w:hint="cs" w:ascii="Arial" w:hAnsi="Arial"/>
                <w:rtl/>
              </w:rPr>
              <w:t xml:space="preserve"> אינו מאיין את </w:t>
            </w:r>
            <w:r w:rsidR="00F3545F">
              <w:rPr>
                <w:rFonts w:hint="cs" w:ascii="Arial" w:hAnsi="Arial"/>
                <w:rtl/>
              </w:rPr>
              <w:t>הנימוקים שהובאו לעיל ואשר מבססים</w:t>
            </w:r>
            <w:r w:rsidRPr="00DC28FC" w:rsidR="00274198">
              <w:rPr>
                <w:rFonts w:hint="cs" w:ascii="Arial" w:hAnsi="Arial"/>
                <w:rtl/>
              </w:rPr>
              <w:t xml:space="preserve"> את </w:t>
            </w:r>
            <w:r w:rsidR="00F3545F">
              <w:rPr>
                <w:rFonts w:hint="cs" w:ascii="Arial" w:hAnsi="Arial"/>
                <w:rtl/>
              </w:rPr>
              <w:t xml:space="preserve">סבירותו של </w:t>
            </w:r>
            <w:r w:rsidRPr="00DC28FC" w:rsidR="00274198">
              <w:rPr>
                <w:rFonts w:hint="cs" w:ascii="Arial" w:hAnsi="Arial"/>
                <w:rtl/>
              </w:rPr>
              <w:t>הספק.</w:t>
            </w:r>
          </w:p>
          <w:p w:rsidRPr="00DC28FC" w:rsidR="008B1B48" w:rsidP="00DC28FC" w:rsidRDefault="00274198" w14:paraId="62D040C1"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הדבר אמור ראשית </w:t>
            </w:r>
            <w:r w:rsidRPr="00DC28FC" w:rsidR="00D96B54">
              <w:rPr>
                <w:rFonts w:hint="cs" w:ascii="Arial" w:hAnsi="Arial"/>
                <w:rtl/>
              </w:rPr>
              <w:t>בחקירותיו של הנאשם</w:t>
            </w:r>
            <w:r w:rsidRPr="00DC28FC">
              <w:rPr>
                <w:rFonts w:hint="cs" w:ascii="Arial" w:hAnsi="Arial"/>
                <w:rtl/>
              </w:rPr>
              <w:t xml:space="preserve">. </w:t>
            </w:r>
            <w:r w:rsidRPr="00DC28FC" w:rsidR="008B1B48">
              <w:rPr>
                <w:rFonts w:hint="cs" w:ascii="Arial" w:hAnsi="Arial"/>
                <w:rtl/>
              </w:rPr>
              <w:t xml:space="preserve">בחקירתו ת/1 טען שמאז 2003 ועד למועד החקירה (באוקטובר 2012) </w:t>
            </w:r>
            <w:r w:rsidR="00F3545F">
              <w:rPr>
                <w:rFonts w:hint="cs" w:ascii="Arial" w:hAnsi="Arial"/>
                <w:rtl/>
              </w:rPr>
              <w:t xml:space="preserve">הוא </w:t>
            </w:r>
            <w:r w:rsidRPr="00DC28FC" w:rsidR="008B1B48">
              <w:rPr>
                <w:rFonts w:hint="cs" w:ascii="Arial" w:hAnsi="Arial"/>
                <w:rtl/>
              </w:rPr>
              <w:t>אינו מעורב בחברה-הנאשמת, אינו פועל במסגרתה או עבורה ואינו יודע על המתרחש בה. על חלק מהשאלות סירב להשיב. בחקירה נוספת, ת/2, נשאל מדוע לא הגיש את הדוחות מושא האישום והשיב שאין לו תשובה לכך, סיפר כי לאחר החקירה הקודמת התייעץ עם סנגורו ובעצתו הגיש את הדוחות החסרים משום שהבין שהוא במצב "של הפרה", והתקשה לספק הסבר לסכומים שרשם באותם דוחות</w:t>
            </w:r>
            <w:r w:rsidRPr="00DC28FC" w:rsidR="00D96B54">
              <w:rPr>
                <w:rFonts w:hint="cs" w:ascii="Arial" w:hAnsi="Arial"/>
                <w:rtl/>
              </w:rPr>
              <w:t xml:space="preserve"> או להסביר נתונים חסרים בהם (כגון העדר הוצאות או העדר הכנסות בשנים 2006-2011</w:t>
            </w:r>
            <w:r w:rsidR="00F3545F">
              <w:rPr>
                <w:rFonts w:hint="cs" w:ascii="Arial" w:hAnsi="Arial"/>
                <w:rtl/>
              </w:rPr>
              <w:t>. המדובר כזכור בדוחות "הסתמיים" הנזכרים בכתב האישום</w:t>
            </w:r>
            <w:r w:rsidRPr="00DC28FC" w:rsidR="00D96B54">
              <w:rPr>
                <w:rFonts w:hint="cs" w:ascii="Arial" w:hAnsi="Arial"/>
                <w:rtl/>
              </w:rPr>
              <w:t xml:space="preserve">). משלב מסוים של החקירה </w:t>
            </w:r>
            <w:r w:rsidR="00B45F9B">
              <w:rPr>
                <w:rFonts w:hint="cs" w:ascii="Arial" w:hAnsi="Arial"/>
                <w:rtl/>
              </w:rPr>
              <w:t xml:space="preserve">ת/2 </w:t>
            </w:r>
            <w:r w:rsidRPr="00DC28FC" w:rsidR="00D96B54">
              <w:rPr>
                <w:rFonts w:hint="cs" w:ascii="Arial" w:hAnsi="Arial"/>
                <w:rtl/>
              </w:rPr>
              <w:t>נמנע הנאשם מלענות על השאלות, בטענה שהחוקר הרגיז אותו. גם בחקירה ת/3 נמנע מלהשיב.</w:t>
            </w:r>
          </w:p>
          <w:p w:rsidRPr="00DC28FC" w:rsidR="00D96B54" w:rsidP="00B45F9B" w:rsidRDefault="00D96B54" w14:paraId="6A510C3E" w14:textId="77777777">
            <w:pPr>
              <w:pStyle w:val="ab"/>
              <w:spacing w:before="120" w:after="120" w:line="360" w:lineRule="auto"/>
              <w:contextualSpacing w:val="0"/>
              <w:jc w:val="both"/>
              <w:rPr>
                <w:rFonts w:ascii="Arial" w:hAnsi="Arial"/>
              </w:rPr>
            </w:pPr>
            <w:r w:rsidRPr="00DC28FC">
              <w:rPr>
                <w:rFonts w:hint="cs" w:ascii="Arial" w:hAnsi="Arial"/>
                <w:rtl/>
              </w:rPr>
              <w:t xml:space="preserve">השמירה על זכות השתיקה </w:t>
            </w:r>
            <w:r w:rsidR="00B45F9B">
              <w:rPr>
                <w:rFonts w:hint="cs" w:ascii="Arial" w:hAnsi="Arial"/>
                <w:rtl/>
              </w:rPr>
              <w:t xml:space="preserve">בחלק מחקירותיו </w:t>
            </w:r>
            <w:r w:rsidRPr="00DC28FC">
              <w:rPr>
                <w:rFonts w:hint="cs" w:ascii="Arial" w:hAnsi="Arial"/>
                <w:rtl/>
              </w:rPr>
              <w:t>פועלת לחובת הנאשם. כך גם הפערים בין הגרסה בת/1 ובין גרסתו בעדות, בדגש על הכחשת קשר ל</w:t>
            </w:r>
            <w:r w:rsidR="00B45F9B">
              <w:rPr>
                <w:rFonts w:hint="cs" w:ascii="Arial" w:hAnsi="Arial"/>
                <w:rtl/>
              </w:rPr>
              <w:t>פעילות ה</w:t>
            </w:r>
            <w:r w:rsidRPr="00DC28FC">
              <w:rPr>
                <w:rFonts w:hint="cs" w:ascii="Arial" w:hAnsi="Arial"/>
                <w:rtl/>
              </w:rPr>
              <w:t xml:space="preserve">חברה מאז 2003. </w:t>
            </w:r>
            <w:r w:rsidR="00294C35">
              <w:rPr>
                <w:rFonts w:hint="cs" w:ascii="Arial" w:hAnsi="Arial"/>
                <w:rtl/>
              </w:rPr>
              <w:t xml:space="preserve">עוד קיימות נקודות בעייתיות בעדות עצמה, כגון ניסיונו להסביר את בחירתו לדווח למע"מ אך לא למס ההכנסה בכך שהראשונה הייתה דחופה. </w:t>
            </w:r>
            <w:r w:rsidRPr="00DC28FC">
              <w:rPr>
                <w:rFonts w:hint="cs" w:ascii="Arial" w:hAnsi="Arial"/>
                <w:rtl/>
              </w:rPr>
              <w:t>אציין</w:t>
            </w:r>
            <w:r w:rsidR="00B45F9B">
              <w:rPr>
                <w:rFonts w:hint="cs" w:ascii="Arial" w:hAnsi="Arial"/>
                <w:rtl/>
              </w:rPr>
              <w:t>,</w:t>
            </w:r>
            <w:r w:rsidRPr="00DC28FC">
              <w:rPr>
                <w:rFonts w:hint="cs" w:ascii="Arial" w:hAnsi="Arial"/>
                <w:rtl/>
              </w:rPr>
              <w:t xml:space="preserve"> עם זאת</w:t>
            </w:r>
            <w:r w:rsidR="00294C35">
              <w:rPr>
                <w:rFonts w:hint="cs" w:ascii="Arial" w:hAnsi="Arial"/>
                <w:rtl/>
              </w:rPr>
              <w:t>,</w:t>
            </w:r>
            <w:r w:rsidRPr="00DC28FC">
              <w:rPr>
                <w:rFonts w:hint="cs" w:ascii="Arial" w:hAnsi="Arial"/>
                <w:rtl/>
              </w:rPr>
              <w:t xml:space="preserve"> כי יש לאמוד את משקל</w:t>
            </w:r>
            <w:r w:rsidR="00294C35">
              <w:rPr>
                <w:rFonts w:hint="cs" w:ascii="Arial" w:hAnsi="Arial"/>
                <w:rtl/>
              </w:rPr>
              <w:t xml:space="preserve">ם של פערים אלה </w:t>
            </w:r>
            <w:r w:rsidRPr="00DC28FC">
              <w:rPr>
                <w:rFonts w:hint="cs" w:ascii="Arial" w:hAnsi="Arial"/>
                <w:rtl/>
              </w:rPr>
              <w:t>כמדוד</w:t>
            </w:r>
            <w:r w:rsidR="00294C35">
              <w:rPr>
                <w:rFonts w:hint="cs" w:ascii="Arial" w:hAnsi="Arial"/>
                <w:rtl/>
              </w:rPr>
              <w:t xml:space="preserve">. </w:t>
            </w:r>
            <w:r w:rsidRPr="00DC28FC">
              <w:rPr>
                <w:rFonts w:hint="cs" w:ascii="Arial" w:hAnsi="Arial"/>
                <w:rtl/>
              </w:rPr>
              <w:t xml:space="preserve">החקירות בוצעו בסוף 2012 </w:t>
            </w:r>
            <w:r w:rsidRPr="00DC28FC">
              <w:rPr>
                <w:rFonts w:ascii="Arial" w:hAnsi="Arial"/>
                <w:rtl/>
              </w:rPr>
              <w:t>–</w:t>
            </w:r>
            <w:r w:rsidRPr="00DC28FC">
              <w:rPr>
                <w:rFonts w:hint="cs" w:ascii="Arial" w:hAnsi="Arial"/>
                <w:rtl/>
              </w:rPr>
              <w:t xml:space="preserve"> תחילת 2013, עיתוי סמוך לאבחון הנאשם כסובל מפרקינסון</w:t>
            </w:r>
            <w:r w:rsidR="00294C35">
              <w:rPr>
                <w:rFonts w:hint="cs" w:ascii="Arial" w:hAnsi="Arial"/>
                <w:rtl/>
              </w:rPr>
              <w:t xml:space="preserve">. השפעת המחלה הייתה קיימת אפוא גם בזמן החקירות </w:t>
            </w:r>
            <w:r w:rsidRPr="00DC28FC" w:rsidR="00E32160">
              <w:rPr>
                <w:rFonts w:hint="cs" w:ascii="Arial" w:hAnsi="Arial"/>
                <w:rtl/>
              </w:rPr>
              <w:t>(בת/1 מסר הנאשם לחוקר כי התקשה להגיע למשרדי החקירות שכן "</w:t>
            </w:r>
            <w:r w:rsidRPr="00DC28FC" w:rsidR="00E32160">
              <w:rPr>
                <w:rFonts w:hint="cs" w:ascii="Arial" w:hAnsi="Arial" w:cs="FrankRuehl"/>
                <w:rtl/>
              </w:rPr>
              <w:t>כשאני מגיע למשרדי הממשלה או לרשויות קשה לי לתפקד</w:t>
            </w:r>
            <w:r w:rsidRPr="00DC28FC" w:rsidR="00E32160">
              <w:rPr>
                <w:rFonts w:hint="cs" w:ascii="Arial" w:hAnsi="Arial"/>
                <w:rtl/>
              </w:rPr>
              <w:t>")</w:t>
            </w:r>
            <w:r w:rsidRPr="00DC28FC">
              <w:rPr>
                <w:rFonts w:hint="cs" w:ascii="Arial" w:hAnsi="Arial"/>
                <w:rtl/>
              </w:rPr>
              <w:t xml:space="preserve">, </w:t>
            </w:r>
            <w:r w:rsidR="00294C35">
              <w:rPr>
                <w:rFonts w:hint="cs" w:ascii="Arial" w:hAnsi="Arial"/>
                <w:rtl/>
              </w:rPr>
              <w:t xml:space="preserve">וכך גם </w:t>
            </w:r>
            <w:r w:rsidRPr="00DC28FC" w:rsidR="00E32160">
              <w:rPr>
                <w:rFonts w:hint="cs" w:ascii="Arial" w:hAnsi="Arial"/>
                <w:rtl/>
              </w:rPr>
              <w:t xml:space="preserve">נטייתו </w:t>
            </w:r>
            <w:r w:rsidR="00294C35">
              <w:rPr>
                <w:rFonts w:hint="cs" w:ascii="Arial" w:hAnsi="Arial"/>
                <w:rtl/>
              </w:rPr>
              <w:t xml:space="preserve">של הנאשם </w:t>
            </w:r>
            <w:r w:rsidRPr="00DC28FC" w:rsidR="00E32160">
              <w:rPr>
                <w:rFonts w:hint="cs" w:ascii="Arial" w:hAnsi="Arial"/>
                <w:rtl/>
              </w:rPr>
              <w:t>לרגוז שבאה לידי ביטוי כאמור בחקירה</w:t>
            </w:r>
            <w:r w:rsidR="000F12D0">
              <w:rPr>
                <w:rFonts w:hint="cs" w:ascii="Arial" w:hAnsi="Arial"/>
                <w:rtl/>
              </w:rPr>
              <w:t xml:space="preserve">. לאלה אוסיף את </w:t>
            </w:r>
            <w:r w:rsidRPr="00DC28FC">
              <w:rPr>
                <w:rFonts w:hint="cs" w:ascii="Arial" w:hAnsi="Arial"/>
                <w:rtl/>
              </w:rPr>
              <w:lastRenderedPageBreak/>
              <w:t>קשיי הז</w:t>
            </w:r>
            <w:r w:rsidR="000F12D0">
              <w:rPr>
                <w:rFonts w:hint="cs" w:ascii="Arial" w:hAnsi="Arial"/>
                <w:rtl/>
              </w:rPr>
              <w:t>י</w:t>
            </w:r>
            <w:r w:rsidRPr="00DC28FC">
              <w:rPr>
                <w:rFonts w:hint="cs" w:ascii="Arial" w:hAnsi="Arial"/>
                <w:rtl/>
              </w:rPr>
              <w:t>כרון הבולטים שלו בעדותו בבית המשפט</w:t>
            </w:r>
            <w:r w:rsidR="000F12D0">
              <w:rPr>
                <w:rFonts w:hint="cs" w:ascii="Arial" w:hAnsi="Arial"/>
                <w:rtl/>
              </w:rPr>
              <w:t>, כשבין היתר לא זכר את החקירות והתקשה לכן להתייחס לתכנים שמסר בשעתו בחקירה</w:t>
            </w:r>
            <w:r w:rsidR="00294C35">
              <w:rPr>
                <w:rFonts w:hint="cs" w:ascii="Arial" w:hAnsi="Arial"/>
                <w:rtl/>
              </w:rPr>
              <w:t>, דבר המשליך על העדרו של הסבר הולם להתנהלות בחקירה</w:t>
            </w:r>
            <w:r w:rsidR="000F12D0">
              <w:rPr>
                <w:rFonts w:hint="cs" w:ascii="Arial" w:hAnsi="Arial"/>
                <w:rtl/>
              </w:rPr>
              <w:t>.</w:t>
            </w:r>
            <w:r w:rsidR="00294C35">
              <w:rPr>
                <w:rFonts w:hint="cs" w:ascii="Arial" w:hAnsi="Arial"/>
                <w:rtl/>
              </w:rPr>
              <w:t xml:space="preserve"> גם קשייו להסביר את התנהלותו בזמן אמת צריכים להיבחן לאור נתוניו. </w:t>
            </w:r>
            <w:r w:rsidRPr="00DC28FC" w:rsidR="00E32160">
              <w:rPr>
                <w:rFonts w:hint="cs" w:ascii="Arial" w:hAnsi="Arial"/>
                <w:rtl/>
              </w:rPr>
              <w:t xml:space="preserve">למרות </w:t>
            </w:r>
            <w:r w:rsidR="000F12D0">
              <w:rPr>
                <w:rFonts w:hint="cs" w:ascii="Arial" w:hAnsi="Arial"/>
                <w:rtl/>
              </w:rPr>
              <w:t xml:space="preserve">כל </w:t>
            </w:r>
            <w:r w:rsidRPr="00DC28FC" w:rsidR="00E32160">
              <w:rPr>
                <w:rFonts w:hint="cs" w:ascii="Arial" w:hAnsi="Arial"/>
                <w:rtl/>
              </w:rPr>
              <w:t>אלה, לא הוצג בפני הסבר שלם לגרסאות הנאשם בחקירותיו</w:t>
            </w:r>
            <w:r w:rsidR="00294C35">
              <w:rPr>
                <w:rFonts w:hint="cs" w:ascii="Arial" w:hAnsi="Arial"/>
                <w:rtl/>
              </w:rPr>
              <w:t xml:space="preserve"> או לפערים שנפלו בדבריו</w:t>
            </w:r>
            <w:r w:rsidRPr="00DC28FC" w:rsidR="00E32160">
              <w:rPr>
                <w:rFonts w:hint="cs" w:ascii="Arial" w:hAnsi="Arial"/>
                <w:rtl/>
              </w:rPr>
              <w:t>, והדבר פועל לחובתו.</w:t>
            </w:r>
          </w:p>
          <w:p w:rsidRPr="00DC28FC" w:rsidR="00E32160" w:rsidP="00B45F9B" w:rsidRDefault="00E32160" w14:paraId="424FA873" w14:textId="77777777">
            <w:pPr>
              <w:pStyle w:val="ab"/>
              <w:numPr>
                <w:ilvl w:val="0"/>
                <w:numId w:val="7"/>
              </w:numPr>
              <w:spacing w:before="120" w:after="120" w:line="360" w:lineRule="auto"/>
              <w:contextualSpacing w:val="0"/>
              <w:jc w:val="both"/>
              <w:rPr>
                <w:rFonts w:ascii="Arial" w:hAnsi="Arial"/>
              </w:rPr>
            </w:pPr>
            <w:r w:rsidRPr="00DC28FC">
              <w:rPr>
                <w:rFonts w:hint="cs" w:ascii="Arial" w:hAnsi="Arial"/>
                <w:rtl/>
              </w:rPr>
              <w:t xml:space="preserve">בהקשר זה אציין שאני ער </w:t>
            </w:r>
            <w:r w:rsidRPr="00DC28FC" w:rsidR="001F4651">
              <w:rPr>
                <w:rFonts w:hint="cs" w:ascii="Arial" w:hAnsi="Arial"/>
                <w:rtl/>
              </w:rPr>
              <w:t xml:space="preserve">לניסיון </w:t>
            </w:r>
            <w:r w:rsidRPr="00DC28FC">
              <w:rPr>
                <w:rFonts w:hint="cs" w:ascii="Arial" w:hAnsi="Arial"/>
                <w:rtl/>
              </w:rPr>
              <w:t>הנאשם בעדותו להסביר את גרסתו בת/1 בכך שגורם מסוים</w:t>
            </w:r>
            <w:r w:rsidR="000F12D0">
              <w:rPr>
                <w:rFonts w:hint="cs" w:ascii="Arial" w:hAnsi="Arial"/>
                <w:rtl/>
              </w:rPr>
              <w:t xml:space="preserve">, לגביו הסכים לספק רק רמזים ולא לחשוף את זהותו או פרטים נוספים, </w:t>
            </w:r>
            <w:r w:rsidRPr="00DC28FC">
              <w:rPr>
                <w:rFonts w:hint="cs" w:ascii="Arial" w:hAnsi="Arial"/>
                <w:rtl/>
              </w:rPr>
              <w:t>השתלט על החברה</w:t>
            </w:r>
            <w:r w:rsidR="000F12D0">
              <w:rPr>
                <w:rFonts w:hint="cs" w:ascii="Arial" w:hAnsi="Arial"/>
                <w:rtl/>
              </w:rPr>
              <w:t>-הנאשמת</w:t>
            </w:r>
            <w:r w:rsidRPr="00DC28FC">
              <w:rPr>
                <w:rFonts w:hint="cs" w:ascii="Arial" w:hAnsi="Arial"/>
                <w:rtl/>
              </w:rPr>
              <w:t xml:space="preserve"> משום שסבר שהיא רווחית</w:t>
            </w:r>
            <w:r w:rsidR="00B12189">
              <w:rPr>
                <w:rFonts w:hint="cs" w:ascii="Arial" w:hAnsi="Arial"/>
                <w:rtl/>
              </w:rPr>
              <w:t xml:space="preserve"> ואילץ את </w:t>
            </w:r>
            <w:r w:rsidRPr="00DC28FC">
              <w:rPr>
                <w:rFonts w:hint="cs" w:ascii="Arial" w:hAnsi="Arial"/>
                <w:rtl/>
              </w:rPr>
              <w:t xml:space="preserve">הנאשם </w:t>
            </w:r>
            <w:r w:rsidR="00B45F9B">
              <w:rPr>
                <w:rFonts w:hint="cs" w:ascii="Arial" w:hAnsi="Arial"/>
                <w:rtl/>
              </w:rPr>
              <w:t xml:space="preserve">"לזוז הצידה" וכן </w:t>
            </w:r>
            <w:r w:rsidR="00B12189">
              <w:rPr>
                <w:rFonts w:hint="cs" w:ascii="Arial" w:hAnsi="Arial"/>
                <w:rtl/>
              </w:rPr>
              <w:t xml:space="preserve">להמשיך ולחתום על מסמכים בשמה של החברה ובהוראתו של אותו גורם (המדובר במוצגים ת/15-ת/24 שנזכרו לעיל ומציגים חתימות של הנאשם ואיזכור שמו בפעולות שונות בשם הנאשמת </w:t>
            </w:r>
            <w:r w:rsidR="00F71F51">
              <w:rPr>
                <w:rFonts w:hint="cs" w:ascii="Arial" w:hAnsi="Arial"/>
                <w:rtl/>
              </w:rPr>
              <w:t>ובנושאי החנות)</w:t>
            </w:r>
            <w:r w:rsidR="00B12189">
              <w:rPr>
                <w:rFonts w:hint="cs" w:ascii="Arial" w:hAnsi="Arial"/>
                <w:rtl/>
              </w:rPr>
              <w:t>.</w:t>
            </w:r>
            <w:r w:rsidRPr="00DC28FC">
              <w:rPr>
                <w:rFonts w:hint="cs" w:ascii="Arial" w:hAnsi="Arial"/>
                <w:rtl/>
              </w:rPr>
              <w:t xml:space="preserve"> הנאשם סירב למסור פרטים </w:t>
            </w:r>
            <w:r w:rsidRPr="00DC28FC" w:rsidR="001F4651">
              <w:rPr>
                <w:rFonts w:hint="cs" w:ascii="Arial" w:hAnsi="Arial"/>
                <w:rtl/>
              </w:rPr>
              <w:t xml:space="preserve">ורמז כי הוא </w:t>
            </w:r>
            <w:r w:rsidRPr="00DC28FC">
              <w:rPr>
                <w:rFonts w:hint="cs" w:ascii="Arial" w:hAnsi="Arial"/>
                <w:rtl/>
              </w:rPr>
              <w:t>ח</w:t>
            </w:r>
            <w:r w:rsidRPr="00DC28FC" w:rsidR="001F4651">
              <w:rPr>
                <w:rFonts w:hint="cs" w:ascii="Arial" w:hAnsi="Arial"/>
                <w:rtl/>
              </w:rPr>
              <w:t>ו</w:t>
            </w:r>
            <w:r w:rsidRPr="00DC28FC">
              <w:rPr>
                <w:rFonts w:hint="cs" w:ascii="Arial" w:hAnsi="Arial"/>
                <w:rtl/>
              </w:rPr>
              <w:t>שש מאותו גורם</w:t>
            </w:r>
            <w:r w:rsidRPr="00DC28FC" w:rsidR="001F4651">
              <w:rPr>
                <w:rFonts w:hint="cs" w:ascii="Arial" w:hAnsi="Arial"/>
                <w:rtl/>
              </w:rPr>
              <w:t xml:space="preserve"> (פ/55, פ/57)</w:t>
            </w:r>
            <w:r w:rsidRPr="00DC28FC">
              <w:rPr>
                <w:rFonts w:hint="cs" w:ascii="Arial" w:hAnsi="Arial"/>
                <w:rtl/>
              </w:rPr>
              <w:t xml:space="preserve">. </w:t>
            </w:r>
            <w:r w:rsidRPr="00DC28FC" w:rsidR="001F4651">
              <w:rPr>
                <w:rFonts w:hint="cs" w:ascii="Arial" w:hAnsi="Arial"/>
                <w:rtl/>
              </w:rPr>
              <w:t>בהעדר פירוט או תימוכין</w:t>
            </w:r>
            <w:r w:rsidR="002908E5">
              <w:rPr>
                <w:rFonts w:hint="cs" w:ascii="Arial" w:hAnsi="Arial"/>
                <w:rtl/>
              </w:rPr>
              <w:t>,</w:t>
            </w:r>
            <w:r w:rsidRPr="00DC28FC" w:rsidR="001F4651">
              <w:rPr>
                <w:rFonts w:hint="cs" w:ascii="Arial" w:hAnsi="Arial"/>
                <w:rtl/>
              </w:rPr>
              <w:t xml:space="preserve"> ל</w:t>
            </w:r>
            <w:r w:rsidR="002908E5">
              <w:rPr>
                <w:rFonts w:hint="cs" w:ascii="Arial" w:hAnsi="Arial"/>
                <w:rtl/>
              </w:rPr>
              <w:t>א ניתן לקבל הסברים אלה ועל כן הפערים בגרסאות הנאשם והמסמכים שפורטו לעיל פועלים לחובתו.</w:t>
            </w:r>
          </w:p>
          <w:p w:rsidRPr="002908E5" w:rsidR="00274198" w:rsidP="00CE5D0E" w:rsidRDefault="00694C1C" w14:paraId="04FE1C46" w14:textId="77777777">
            <w:pPr>
              <w:pStyle w:val="ab"/>
              <w:numPr>
                <w:ilvl w:val="0"/>
                <w:numId w:val="7"/>
              </w:numPr>
              <w:spacing w:before="120" w:after="120" w:line="360" w:lineRule="auto"/>
              <w:contextualSpacing w:val="0"/>
              <w:jc w:val="both"/>
              <w:rPr>
                <w:rFonts w:ascii="Arial" w:hAnsi="Arial"/>
              </w:rPr>
            </w:pPr>
            <w:r w:rsidRPr="002908E5">
              <w:rPr>
                <w:rFonts w:hint="cs" w:ascii="Arial" w:hAnsi="Arial"/>
                <w:rtl/>
              </w:rPr>
              <w:t xml:space="preserve">אני ער גם לכך שלאחר חקירתו </w:t>
            </w:r>
            <w:r w:rsidRPr="002908E5" w:rsidR="00E32160">
              <w:rPr>
                <w:rFonts w:hint="cs" w:ascii="Arial" w:hAnsi="Arial"/>
                <w:rtl/>
              </w:rPr>
              <w:t xml:space="preserve">הראשונה </w:t>
            </w:r>
            <w:r w:rsidRPr="002908E5">
              <w:rPr>
                <w:rFonts w:hint="cs" w:ascii="Arial" w:hAnsi="Arial"/>
                <w:rtl/>
              </w:rPr>
              <w:t xml:space="preserve">הגיש הנאשם דוחות "סתמיים". הוא סיפר כי דובר בדוחות שמילא במספרים חסרי משמעות והגישם </w:t>
            </w:r>
            <w:r w:rsidR="00B45F9B">
              <w:rPr>
                <w:rFonts w:hint="cs" w:ascii="Arial" w:hAnsi="Arial"/>
                <w:rtl/>
              </w:rPr>
              <w:t xml:space="preserve">אך </w:t>
            </w:r>
            <w:r w:rsidRPr="002908E5">
              <w:rPr>
                <w:rFonts w:hint="cs" w:ascii="Arial" w:hAnsi="Arial"/>
                <w:rtl/>
              </w:rPr>
              <w:t>על מנת לעמוד בדרישת הדיווח. המאשימה הצביעה</w:t>
            </w:r>
            <w:r w:rsidRPr="002908E5" w:rsidR="002908E5">
              <w:rPr>
                <w:rFonts w:hint="cs" w:ascii="Arial" w:hAnsi="Arial"/>
                <w:rtl/>
              </w:rPr>
              <w:t xml:space="preserve"> בסיכומיה</w:t>
            </w:r>
            <w:r w:rsidRPr="002908E5">
              <w:rPr>
                <w:rFonts w:hint="cs" w:ascii="Arial" w:hAnsi="Arial"/>
                <w:rtl/>
              </w:rPr>
              <w:t xml:space="preserve"> על פער בין הסברו בבית המשפט, בו טען כי עשה כן בלחץ החוקר, ובין טענתו בחקירה כי הגישם בעצת עורך דינו. </w:t>
            </w:r>
            <w:r w:rsidRPr="002908E5" w:rsidR="002908E5">
              <w:rPr>
                <w:rFonts w:hint="cs" w:ascii="Arial" w:hAnsi="Arial"/>
                <w:rtl/>
              </w:rPr>
              <w:t xml:space="preserve">שקלתי נקודה זו, אך איני סבור שניתן לייחס לה משקל של ממש לחובת הנאשם. כך בשל </w:t>
            </w:r>
            <w:r w:rsidRPr="002908E5">
              <w:rPr>
                <w:rFonts w:hint="cs" w:ascii="Arial" w:hAnsi="Arial"/>
                <w:rtl/>
              </w:rPr>
              <w:t>התרשמותי מקשיי זכרונו</w:t>
            </w:r>
            <w:r w:rsidR="002908E5">
              <w:rPr>
                <w:rFonts w:hint="cs" w:ascii="Arial" w:hAnsi="Arial"/>
                <w:rtl/>
              </w:rPr>
              <w:t xml:space="preserve"> בשל בעיותיו הבריאותיות כמפורט לעיל, ובפרט מהעדר זיכרון של ממש אודות שלבי החקירה</w:t>
            </w:r>
            <w:r w:rsidRPr="002908E5">
              <w:rPr>
                <w:rFonts w:hint="cs" w:ascii="Arial" w:hAnsi="Arial"/>
                <w:rtl/>
              </w:rPr>
              <w:t xml:space="preserve">. לגוף </w:t>
            </w:r>
            <w:r w:rsidR="002908E5">
              <w:rPr>
                <w:rFonts w:hint="cs" w:ascii="Arial" w:hAnsi="Arial"/>
                <w:rtl/>
              </w:rPr>
              <w:t>העובדה של הגשת הדוחות</w:t>
            </w:r>
            <w:r w:rsidRPr="002908E5">
              <w:rPr>
                <w:rFonts w:hint="cs" w:ascii="Arial" w:hAnsi="Arial"/>
                <w:rtl/>
              </w:rPr>
              <w:t xml:space="preserve">, בין אם </w:t>
            </w:r>
            <w:r w:rsidRPr="002908E5" w:rsidR="00E32160">
              <w:rPr>
                <w:rFonts w:hint="cs" w:ascii="Arial" w:hAnsi="Arial"/>
                <w:rtl/>
              </w:rPr>
              <w:t xml:space="preserve">הוגשו </w:t>
            </w:r>
            <w:r w:rsidRPr="002908E5">
              <w:rPr>
                <w:rFonts w:hint="cs" w:ascii="Arial" w:hAnsi="Arial"/>
                <w:rtl/>
              </w:rPr>
              <w:t>בעצת החוקר או בעצת עורך הדין, איני סבור שהגשת</w:t>
            </w:r>
            <w:r w:rsidR="002908E5">
              <w:rPr>
                <w:rFonts w:hint="cs" w:ascii="Arial" w:hAnsi="Arial"/>
                <w:rtl/>
              </w:rPr>
              <w:t xml:space="preserve">ם בצורה "סתמית" </w:t>
            </w:r>
            <w:r w:rsidRPr="002908E5">
              <w:rPr>
                <w:rFonts w:hint="cs" w:ascii="Arial" w:hAnsi="Arial"/>
                <w:rtl/>
              </w:rPr>
              <w:t>מעידה בהכרח כי קודם לכן נמנע הנאשם מדיווח מתוך ניסיון להתחמק מתשלום מס.</w:t>
            </w:r>
            <w:r w:rsidR="002908E5">
              <w:rPr>
                <w:rFonts w:hint="cs" w:ascii="Arial" w:hAnsi="Arial"/>
                <w:rtl/>
              </w:rPr>
              <w:t xml:space="preserve"> הצורה האגבית והחסרה באופן בולט בה בחר הנאשם להגיש לרשויות דוחות כשהוא בעיצומה של חקירה פלילית</w:t>
            </w:r>
            <w:r w:rsidR="005C023B">
              <w:rPr>
                <w:rFonts w:hint="cs" w:ascii="Arial" w:hAnsi="Arial"/>
                <w:rtl/>
              </w:rPr>
              <w:t xml:space="preserve">, </w:t>
            </w:r>
            <w:r w:rsidR="00CE5D0E">
              <w:rPr>
                <w:rFonts w:hint="cs" w:ascii="Arial" w:hAnsi="Arial"/>
                <w:rtl/>
              </w:rPr>
              <w:t xml:space="preserve">צורה </w:t>
            </w:r>
            <w:r w:rsidR="005C023B">
              <w:rPr>
                <w:rFonts w:hint="cs" w:ascii="Arial" w:hAnsi="Arial"/>
                <w:rtl/>
              </w:rPr>
              <w:t>שברי כי לא יכולה הייתה לסייע להסיר מעליו את עננת החקירה והעבירה,</w:t>
            </w:r>
            <w:r w:rsidR="002908E5">
              <w:rPr>
                <w:rFonts w:hint="cs" w:ascii="Arial" w:hAnsi="Arial"/>
                <w:rtl/>
              </w:rPr>
              <w:t xml:space="preserve"> עשויה גם להתיישב עם </w:t>
            </w:r>
            <w:r w:rsidR="005C023B">
              <w:rPr>
                <w:rFonts w:hint="cs" w:ascii="Arial" w:hAnsi="Arial"/>
                <w:rtl/>
              </w:rPr>
              <w:t>טענת ההגנה לאדם שהיה ממוקד בקשייו הבריאותיים והתקשה להשלים משימות</w:t>
            </w:r>
            <w:r w:rsidR="00CE5D0E">
              <w:rPr>
                <w:rFonts w:hint="cs" w:ascii="Arial" w:hAnsi="Arial"/>
                <w:rtl/>
              </w:rPr>
              <w:t>,</w:t>
            </w:r>
            <w:r w:rsidR="005C023B">
              <w:rPr>
                <w:rFonts w:hint="cs" w:ascii="Arial" w:hAnsi="Arial"/>
                <w:rtl/>
              </w:rPr>
              <w:t xml:space="preserve"> </w:t>
            </w:r>
            <w:r w:rsidR="00CE5D0E">
              <w:rPr>
                <w:rFonts w:hint="cs" w:ascii="Arial" w:hAnsi="Arial"/>
                <w:rtl/>
              </w:rPr>
              <w:t>לרבות משימות שביצוען היה מועיל לו</w:t>
            </w:r>
            <w:r w:rsidR="005C023B">
              <w:rPr>
                <w:rFonts w:hint="cs" w:ascii="Arial" w:hAnsi="Arial"/>
                <w:rtl/>
              </w:rPr>
              <w:t>.</w:t>
            </w:r>
          </w:p>
          <w:p w:rsidR="005C023B" w:rsidP="005C023B" w:rsidRDefault="001E59EA" w14:paraId="238F4A66" w14:textId="77777777">
            <w:pPr>
              <w:pStyle w:val="ab"/>
              <w:numPr>
                <w:ilvl w:val="0"/>
                <w:numId w:val="7"/>
              </w:numPr>
              <w:spacing w:before="120" w:after="120" w:line="360" w:lineRule="auto"/>
              <w:contextualSpacing w:val="0"/>
              <w:jc w:val="both"/>
              <w:rPr>
                <w:rFonts w:ascii="Arial" w:hAnsi="Arial"/>
              </w:rPr>
            </w:pPr>
            <w:r w:rsidRPr="005C023B">
              <w:rPr>
                <w:rFonts w:hint="cs" w:ascii="Arial" w:hAnsi="Arial"/>
                <w:rtl/>
              </w:rPr>
              <w:t>התביעה הצביעה בסיכומיה על ריבוי התשובות החסרות של הנאשם בחקירתו</w:t>
            </w:r>
            <w:r w:rsidRPr="005C023B" w:rsidR="00811346">
              <w:rPr>
                <w:rFonts w:hint="cs" w:ascii="Arial" w:hAnsi="Arial"/>
                <w:rtl/>
              </w:rPr>
              <w:t xml:space="preserve"> (</w:t>
            </w:r>
            <w:r w:rsidRPr="005C023B" w:rsidR="00F27C5B">
              <w:rPr>
                <w:rFonts w:hint="cs" w:ascii="Arial" w:hAnsi="Arial"/>
                <w:rtl/>
              </w:rPr>
              <w:t xml:space="preserve">למשל </w:t>
            </w:r>
            <w:r w:rsidRPr="005C023B" w:rsidR="00811346">
              <w:rPr>
                <w:rFonts w:hint="cs" w:ascii="Arial" w:hAnsi="Arial"/>
                <w:rtl/>
              </w:rPr>
              <w:t>פסקה 27 לסיכומי</w:t>
            </w:r>
            <w:r w:rsidRPr="005C023B" w:rsidR="00F27C5B">
              <w:rPr>
                <w:rFonts w:hint="cs" w:ascii="Arial" w:hAnsi="Arial"/>
                <w:rtl/>
              </w:rPr>
              <w:t>ה</w:t>
            </w:r>
            <w:r w:rsidRPr="005C023B" w:rsidR="00811346">
              <w:rPr>
                <w:rFonts w:hint="cs" w:ascii="Arial" w:hAnsi="Arial"/>
                <w:rtl/>
              </w:rPr>
              <w:t>)</w:t>
            </w:r>
            <w:r w:rsidRPr="005C023B">
              <w:rPr>
                <w:rFonts w:hint="cs" w:ascii="Arial" w:hAnsi="Arial"/>
                <w:rtl/>
              </w:rPr>
              <w:t xml:space="preserve">. </w:t>
            </w:r>
            <w:r w:rsidRPr="005C023B" w:rsidR="005C023B">
              <w:rPr>
                <w:rFonts w:hint="cs" w:ascii="Arial" w:hAnsi="Arial"/>
                <w:rtl/>
              </w:rPr>
              <w:t xml:space="preserve">אכן, דרך כלל וכשמדובר בנאשמים בריאים, תשובות מעין אלה יפגמו באמינותם. אלא שעניינו של הנאשם אינו שגרתי. </w:t>
            </w:r>
            <w:r w:rsidRPr="005C023B">
              <w:rPr>
                <w:rFonts w:hint="cs" w:ascii="Arial" w:hAnsi="Arial"/>
                <w:rtl/>
              </w:rPr>
              <w:t xml:space="preserve">כפי שציינתי לעיל, התרשמתי כי </w:t>
            </w:r>
            <w:r w:rsidR="005C023B">
              <w:rPr>
                <w:rFonts w:hint="cs" w:ascii="Arial" w:hAnsi="Arial"/>
                <w:rtl/>
              </w:rPr>
              <w:t xml:space="preserve">מאפיינים אלה של עדותו </w:t>
            </w:r>
            <w:r w:rsidRPr="005C023B">
              <w:rPr>
                <w:rFonts w:hint="cs" w:ascii="Arial" w:hAnsi="Arial"/>
                <w:rtl/>
              </w:rPr>
              <w:t>לא נבעו מרצון לכזב או מ</w:t>
            </w:r>
            <w:r w:rsidRPr="005C023B" w:rsidR="00811346">
              <w:rPr>
                <w:rFonts w:hint="cs" w:ascii="Arial" w:hAnsi="Arial"/>
                <w:rtl/>
              </w:rPr>
              <w:t xml:space="preserve">תחושת אשם, אלא </w:t>
            </w:r>
            <w:r w:rsidR="005C023B">
              <w:rPr>
                <w:rFonts w:hint="cs" w:ascii="Arial" w:hAnsi="Arial"/>
                <w:rtl/>
              </w:rPr>
              <w:t>מ</w:t>
            </w:r>
            <w:r w:rsidRPr="005C023B" w:rsidR="005C023B">
              <w:rPr>
                <w:rFonts w:hint="cs" w:ascii="Arial" w:hAnsi="Arial"/>
                <w:rtl/>
              </w:rPr>
              <w:t>מצבו</w:t>
            </w:r>
            <w:r w:rsidR="005C023B">
              <w:rPr>
                <w:rFonts w:hint="cs" w:ascii="Arial" w:hAnsi="Arial"/>
                <w:rtl/>
              </w:rPr>
              <w:t xml:space="preserve"> הנובע מליקויי הבריאות</w:t>
            </w:r>
            <w:r w:rsidRPr="005C023B" w:rsidR="005C023B">
              <w:rPr>
                <w:rFonts w:hint="cs" w:ascii="Arial" w:hAnsi="Arial"/>
                <w:rtl/>
              </w:rPr>
              <w:t xml:space="preserve">, </w:t>
            </w:r>
            <w:r w:rsidRPr="005C023B" w:rsidR="00811346">
              <w:rPr>
                <w:rFonts w:hint="cs" w:ascii="Arial" w:hAnsi="Arial"/>
                <w:rtl/>
              </w:rPr>
              <w:t xml:space="preserve">בדגש על </w:t>
            </w:r>
            <w:r w:rsidR="005C023B">
              <w:rPr>
                <w:rFonts w:hint="cs" w:ascii="Arial" w:hAnsi="Arial"/>
                <w:rtl/>
              </w:rPr>
              <w:t xml:space="preserve">קשיי </w:t>
            </w:r>
            <w:r w:rsidRPr="005C023B" w:rsidR="00811346">
              <w:rPr>
                <w:rFonts w:hint="cs" w:ascii="Arial" w:hAnsi="Arial"/>
                <w:rtl/>
              </w:rPr>
              <w:t>הז</w:t>
            </w:r>
            <w:r w:rsidRPr="005C023B" w:rsidR="005C023B">
              <w:rPr>
                <w:rFonts w:hint="cs" w:ascii="Arial" w:hAnsi="Arial"/>
                <w:rtl/>
              </w:rPr>
              <w:t>י</w:t>
            </w:r>
            <w:r w:rsidRPr="005C023B" w:rsidR="00811346">
              <w:rPr>
                <w:rFonts w:hint="cs" w:ascii="Arial" w:hAnsi="Arial"/>
                <w:rtl/>
              </w:rPr>
              <w:t xml:space="preserve">כרון </w:t>
            </w:r>
            <w:r w:rsidR="00CE5D0E">
              <w:rPr>
                <w:rFonts w:hint="cs" w:ascii="Arial" w:hAnsi="Arial"/>
                <w:rtl/>
              </w:rPr>
              <w:t xml:space="preserve">והקוגניציה </w:t>
            </w:r>
            <w:r w:rsidRPr="005C023B" w:rsidR="00811346">
              <w:rPr>
                <w:rFonts w:hint="cs" w:ascii="Arial" w:hAnsi="Arial"/>
                <w:rtl/>
              </w:rPr>
              <w:t>שלו והנט</w:t>
            </w:r>
            <w:r w:rsidR="00CE5D0E">
              <w:rPr>
                <w:rFonts w:hint="cs" w:ascii="Arial" w:hAnsi="Arial"/>
                <w:rtl/>
              </w:rPr>
              <w:t>י</w:t>
            </w:r>
            <w:r w:rsidRPr="005C023B" w:rsidR="00811346">
              <w:rPr>
                <w:rFonts w:hint="cs" w:ascii="Arial" w:hAnsi="Arial"/>
                <w:rtl/>
              </w:rPr>
              <w:t xml:space="preserve">יה לרגזנות ולחוסר סבלנות. </w:t>
            </w:r>
          </w:p>
          <w:p w:rsidRPr="005C023B" w:rsidR="001E59EA" w:rsidP="005C023B" w:rsidRDefault="00F27C5B" w14:paraId="4B2601E5" w14:textId="77777777">
            <w:pPr>
              <w:pStyle w:val="ab"/>
              <w:spacing w:before="120" w:after="120" w:line="360" w:lineRule="auto"/>
              <w:contextualSpacing w:val="0"/>
              <w:jc w:val="both"/>
              <w:rPr>
                <w:rFonts w:ascii="Arial" w:hAnsi="Arial"/>
              </w:rPr>
            </w:pPr>
            <w:r w:rsidRPr="005C023B">
              <w:rPr>
                <w:rFonts w:hint="cs" w:ascii="Arial" w:hAnsi="Arial"/>
                <w:rtl/>
              </w:rPr>
              <w:lastRenderedPageBreak/>
              <w:t xml:space="preserve">עוד איני יכול לקבל טענתה </w:t>
            </w:r>
            <w:r w:rsidR="005C023B">
              <w:rPr>
                <w:rFonts w:hint="cs" w:ascii="Arial" w:hAnsi="Arial"/>
                <w:rtl/>
              </w:rPr>
              <w:t xml:space="preserve">של המאשימה בסיכומיה, </w:t>
            </w:r>
            <w:r w:rsidRPr="005C023B">
              <w:rPr>
                <w:rFonts w:hint="cs" w:ascii="Arial" w:hAnsi="Arial"/>
                <w:rtl/>
              </w:rPr>
              <w:t xml:space="preserve">כי מתן אורכות לנאשם להגשת הדוחות </w:t>
            </w:r>
            <w:r w:rsidR="005C023B">
              <w:rPr>
                <w:rFonts w:hint="cs" w:ascii="Arial" w:hAnsi="Arial"/>
                <w:rtl/>
              </w:rPr>
              <w:t xml:space="preserve">בידי רשויות המס </w:t>
            </w:r>
            <w:r w:rsidR="00CE5D0E">
              <w:rPr>
                <w:rFonts w:hint="cs" w:ascii="Arial" w:hAnsi="Arial"/>
                <w:rtl/>
              </w:rPr>
              <w:t>מעיד על כוונתו</w:t>
            </w:r>
            <w:r w:rsidRPr="005C023B">
              <w:rPr>
                <w:rFonts w:hint="cs" w:ascii="Arial" w:hAnsi="Arial"/>
                <w:rtl/>
              </w:rPr>
              <w:t xml:space="preserve"> להתחמק ממס.</w:t>
            </w:r>
          </w:p>
          <w:p w:rsidRPr="00DC28FC" w:rsidR="00F27C5B" w:rsidP="00CE5D0E" w:rsidRDefault="005C023B" w14:paraId="0C239C0A" w14:textId="77777777">
            <w:pPr>
              <w:pStyle w:val="ab"/>
              <w:numPr>
                <w:ilvl w:val="0"/>
                <w:numId w:val="7"/>
              </w:numPr>
              <w:spacing w:before="120" w:after="120" w:line="360" w:lineRule="auto"/>
              <w:contextualSpacing w:val="0"/>
              <w:jc w:val="both"/>
              <w:rPr>
                <w:rFonts w:ascii="Arial" w:hAnsi="Arial"/>
              </w:rPr>
            </w:pPr>
            <w:r>
              <w:rPr>
                <w:rFonts w:hint="cs" w:ascii="Arial" w:hAnsi="Arial"/>
                <w:rtl/>
              </w:rPr>
              <w:t xml:space="preserve">לסיכום דיון זה, </w:t>
            </w:r>
            <w:r w:rsidRPr="00DC28FC" w:rsidR="00F27C5B">
              <w:rPr>
                <w:rFonts w:hint="cs" w:ascii="Arial" w:hAnsi="Arial"/>
                <w:rtl/>
              </w:rPr>
              <w:t>גרסת הנאשם והתנהלותו אינן נקיות מקושי, וקיימים אלמנטים התומכים בתזת התביעה. ועם זאת, איני ס</w:t>
            </w:r>
            <w:r w:rsidRPr="00DC28FC" w:rsidR="00F53B25">
              <w:rPr>
                <w:rFonts w:hint="cs" w:ascii="Arial" w:hAnsi="Arial"/>
                <w:rtl/>
              </w:rPr>
              <w:t xml:space="preserve">בור כי די </w:t>
            </w:r>
            <w:r>
              <w:rPr>
                <w:rFonts w:hint="cs" w:ascii="Arial" w:hAnsi="Arial"/>
                <w:rtl/>
              </w:rPr>
              <w:t xml:space="preserve">בהם </w:t>
            </w:r>
            <w:r w:rsidRPr="00DC28FC" w:rsidR="00F53B25">
              <w:rPr>
                <w:rFonts w:hint="cs" w:ascii="Arial" w:hAnsi="Arial"/>
                <w:rtl/>
              </w:rPr>
              <w:t xml:space="preserve">כדי לאיין את הנימוקים שהובאו לעיל ואשר מבססים את הספק הסביר באשר </w:t>
            </w:r>
            <w:r w:rsidR="00CE5D0E">
              <w:rPr>
                <w:rFonts w:hint="cs" w:ascii="Arial" w:hAnsi="Arial"/>
                <w:rtl/>
              </w:rPr>
              <w:t xml:space="preserve">למטרה </w:t>
            </w:r>
            <w:r w:rsidRPr="00DC28FC" w:rsidR="00F53B25">
              <w:rPr>
                <w:rFonts w:hint="cs" w:ascii="Arial" w:hAnsi="Arial"/>
                <w:rtl/>
              </w:rPr>
              <w:t>שבבסיס אי-הדיווח.</w:t>
            </w:r>
          </w:p>
          <w:p w:rsidR="005C023B" w:rsidP="00DC28FC" w:rsidRDefault="00CE5D0E" w14:paraId="4D25EA0C" w14:textId="77777777">
            <w:pPr>
              <w:pStyle w:val="ab"/>
              <w:numPr>
                <w:ilvl w:val="0"/>
                <w:numId w:val="7"/>
              </w:numPr>
              <w:spacing w:before="120" w:after="120" w:line="360" w:lineRule="auto"/>
              <w:contextualSpacing w:val="0"/>
              <w:jc w:val="both"/>
              <w:rPr>
                <w:rFonts w:ascii="Arial" w:hAnsi="Arial"/>
              </w:rPr>
            </w:pPr>
            <w:r>
              <w:rPr>
                <w:rFonts w:hint="cs" w:ascii="Arial" w:hAnsi="Arial"/>
                <w:rtl/>
              </w:rPr>
              <w:t>בהינתן ספק זה</w:t>
            </w:r>
            <w:r w:rsidR="005C023B">
              <w:rPr>
                <w:rFonts w:hint="cs" w:ascii="Arial" w:hAnsi="Arial"/>
                <w:rtl/>
              </w:rPr>
              <w:t xml:space="preserve">, יש להורות על זיכויים של הנאשמים מן העבירות לפי סעיף 220 לפקודת מס הכנסה. </w:t>
            </w:r>
          </w:p>
          <w:p w:rsidR="00635A88" w:rsidP="00E871E4" w:rsidRDefault="00635A88" w14:paraId="4290B3F6" w14:textId="77777777">
            <w:pPr>
              <w:spacing w:before="120" w:after="120"/>
              <w:jc w:val="both"/>
              <w:rPr>
                <w:rFonts w:ascii="Arial" w:hAnsi="Arial"/>
                <w:rtl/>
              </w:rPr>
            </w:pPr>
          </w:p>
          <w:p w:rsidRPr="00635A88" w:rsidR="00635A88" w:rsidP="00AF6ACE" w:rsidRDefault="00635A88" w14:paraId="4454C9E5" w14:textId="77777777">
            <w:pPr>
              <w:spacing w:before="120" w:after="120" w:line="360" w:lineRule="auto"/>
              <w:jc w:val="both"/>
              <w:rPr>
                <w:rFonts w:ascii="Arial" w:hAnsi="Arial"/>
                <w:b/>
                <w:bCs/>
              </w:rPr>
            </w:pPr>
            <w:r w:rsidRPr="00635A88">
              <w:rPr>
                <w:rFonts w:hint="cs" w:ascii="Arial" w:hAnsi="Arial"/>
                <w:b/>
                <w:bCs/>
                <w:rtl/>
              </w:rPr>
              <w:t xml:space="preserve">סוגיות נוספות </w:t>
            </w:r>
          </w:p>
          <w:p w:rsidR="00AF6ACE" w:rsidP="00F72AE3" w:rsidRDefault="007C27F6" w14:paraId="03D234C1" w14:textId="77777777">
            <w:pPr>
              <w:pStyle w:val="ab"/>
              <w:numPr>
                <w:ilvl w:val="0"/>
                <w:numId w:val="7"/>
              </w:numPr>
              <w:spacing w:before="120" w:after="120" w:line="360" w:lineRule="auto"/>
              <w:contextualSpacing w:val="0"/>
              <w:jc w:val="both"/>
              <w:rPr>
                <w:rFonts w:ascii="Arial" w:hAnsi="Arial"/>
              </w:rPr>
            </w:pPr>
            <w:r>
              <w:rPr>
                <w:rFonts w:hint="cs" w:ascii="Arial" w:hAnsi="Arial"/>
                <w:rtl/>
              </w:rPr>
              <w:t xml:space="preserve">לבית המשפט סמכות </w:t>
            </w:r>
            <w:r w:rsidRPr="00AF6ACE" w:rsidR="005C023B">
              <w:rPr>
                <w:rFonts w:hint="cs" w:ascii="Arial" w:hAnsi="Arial"/>
                <w:rtl/>
              </w:rPr>
              <w:t>להרשיע את הנאשמים בעבירות חלופיות</w:t>
            </w:r>
            <w:r w:rsidR="00F72AE3">
              <w:rPr>
                <w:rFonts w:hint="cs" w:ascii="Arial" w:hAnsi="Arial"/>
                <w:rtl/>
              </w:rPr>
              <w:t>,</w:t>
            </w:r>
            <w:r w:rsidRPr="00AF6ACE" w:rsidR="005C023B">
              <w:rPr>
                <w:rFonts w:hint="cs" w:ascii="Arial" w:hAnsi="Arial"/>
                <w:rtl/>
              </w:rPr>
              <w:t xml:space="preserve"> שאינן דורשות כוונה</w:t>
            </w:r>
            <w:r>
              <w:rPr>
                <w:rFonts w:hint="cs" w:ascii="Arial" w:hAnsi="Arial"/>
                <w:rtl/>
              </w:rPr>
              <w:t xml:space="preserve">. עבירות שכאלה קיימות </w:t>
            </w:r>
            <w:r w:rsidRPr="00AF6ACE" w:rsidR="005C023B">
              <w:rPr>
                <w:rFonts w:hint="cs" w:ascii="Arial" w:hAnsi="Arial"/>
                <w:rtl/>
              </w:rPr>
              <w:t xml:space="preserve">בפקודת מס הכנסה. עם זאת, </w:t>
            </w:r>
            <w:r w:rsidRPr="00AF6ACE" w:rsidR="00635A88">
              <w:rPr>
                <w:rFonts w:hint="cs" w:ascii="Arial" w:hAnsi="Arial"/>
                <w:rtl/>
              </w:rPr>
              <w:t xml:space="preserve">המדובר בסמכות שברשות, המגלמת שיקול דעת. </w:t>
            </w:r>
            <w:r w:rsidRPr="00AF6ACE" w:rsidR="005C023B">
              <w:rPr>
                <w:rFonts w:hint="cs" w:ascii="Arial" w:hAnsi="Arial"/>
                <w:rtl/>
              </w:rPr>
              <w:t xml:space="preserve">בנסיבות העניין </w:t>
            </w:r>
            <w:r w:rsidRPr="00AF6ACE" w:rsidR="00635A88">
              <w:rPr>
                <w:rFonts w:hint="cs" w:ascii="Arial" w:hAnsi="Arial"/>
                <w:rtl/>
              </w:rPr>
              <w:t xml:space="preserve">איני סבור שיש ליישם את הסמכות האמורה. </w:t>
            </w:r>
          </w:p>
          <w:p w:rsidR="00AF6ACE" w:rsidP="00CE5D0E" w:rsidRDefault="00AF6ACE" w14:paraId="323E8C6F" w14:textId="77777777">
            <w:pPr>
              <w:pStyle w:val="ab"/>
              <w:spacing w:before="120" w:after="120" w:line="360" w:lineRule="auto"/>
              <w:contextualSpacing w:val="0"/>
              <w:jc w:val="both"/>
              <w:rPr>
                <w:rFonts w:ascii="Arial" w:hAnsi="Arial"/>
                <w:rtl/>
              </w:rPr>
            </w:pPr>
            <w:r>
              <w:rPr>
                <w:rFonts w:hint="cs" w:ascii="Arial" w:hAnsi="Arial"/>
                <w:rtl/>
              </w:rPr>
              <w:t xml:space="preserve">ראשית, </w:t>
            </w:r>
            <w:r w:rsidRPr="00AF6ACE" w:rsidR="00635A88">
              <w:rPr>
                <w:rFonts w:hint="cs" w:ascii="Arial" w:hAnsi="Arial"/>
                <w:rtl/>
              </w:rPr>
              <w:t xml:space="preserve">המאשימה </w:t>
            </w:r>
            <w:r w:rsidRPr="00AF6ACE" w:rsidR="005C023B">
              <w:rPr>
                <w:rFonts w:hint="cs" w:ascii="Arial" w:hAnsi="Arial"/>
                <w:rtl/>
              </w:rPr>
              <w:t xml:space="preserve">לא עתרה </w:t>
            </w:r>
            <w:r w:rsidRPr="00AF6ACE" w:rsidR="00635A88">
              <w:rPr>
                <w:rFonts w:hint="cs" w:ascii="Arial" w:hAnsi="Arial"/>
                <w:rtl/>
              </w:rPr>
              <w:t xml:space="preserve">ליישומה. </w:t>
            </w:r>
            <w:r>
              <w:rPr>
                <w:rFonts w:hint="cs" w:ascii="Arial" w:hAnsi="Arial"/>
                <w:rtl/>
              </w:rPr>
              <w:t>שנית</w:t>
            </w:r>
            <w:r w:rsidRPr="00AF6ACE" w:rsidR="00635A88">
              <w:rPr>
                <w:rFonts w:hint="cs" w:ascii="Arial" w:hAnsi="Arial"/>
                <w:rtl/>
              </w:rPr>
              <w:t xml:space="preserve">, לצד העבירות לפי סעיף 220, </w:t>
            </w:r>
            <w:r w:rsidRPr="00AF6ACE" w:rsidR="005C023B">
              <w:rPr>
                <w:rFonts w:hint="cs" w:ascii="Arial" w:hAnsi="Arial"/>
                <w:rtl/>
              </w:rPr>
              <w:t xml:space="preserve">בחרה </w:t>
            </w:r>
            <w:r w:rsidRPr="00AF6ACE" w:rsidR="00635A88">
              <w:rPr>
                <w:rFonts w:hint="cs" w:ascii="Arial" w:hAnsi="Arial"/>
                <w:rtl/>
              </w:rPr>
              <w:t xml:space="preserve">המאשימה </w:t>
            </w:r>
            <w:r w:rsidRPr="00AF6ACE" w:rsidR="005C023B">
              <w:rPr>
                <w:rFonts w:hint="cs" w:ascii="Arial" w:hAnsi="Arial"/>
                <w:rtl/>
              </w:rPr>
              <w:t xml:space="preserve">לייחס </w:t>
            </w:r>
            <w:r w:rsidRPr="00AF6ACE" w:rsidR="00635A88">
              <w:rPr>
                <w:rFonts w:hint="cs" w:ascii="Arial" w:hAnsi="Arial"/>
                <w:rtl/>
              </w:rPr>
              <w:t xml:space="preserve">בכתב האישום </w:t>
            </w:r>
            <w:r w:rsidRPr="00AF6ACE" w:rsidR="005C023B">
              <w:rPr>
                <w:rFonts w:hint="cs" w:ascii="Arial" w:hAnsi="Arial"/>
                <w:rtl/>
              </w:rPr>
              <w:t>לנאשם לבדו</w:t>
            </w:r>
            <w:r w:rsidRPr="00AF6ACE" w:rsidR="00635A88">
              <w:rPr>
                <w:rFonts w:hint="cs" w:ascii="Arial" w:hAnsi="Arial"/>
                <w:rtl/>
              </w:rPr>
              <w:t xml:space="preserve"> את אחת מאותן עבירות חלופיות, לפי סעיף 216(4) לפקודת מס הכנסה. זאת, </w:t>
            </w:r>
            <w:r w:rsidRPr="00AF6ACE" w:rsidR="005C023B">
              <w:rPr>
                <w:rFonts w:hint="cs" w:ascii="Arial" w:hAnsi="Arial"/>
                <w:rtl/>
              </w:rPr>
              <w:t xml:space="preserve">בהתייחס לדיווחי הכנסותיו </w:t>
            </w:r>
            <w:r w:rsidR="00F72AE3">
              <w:rPr>
                <w:rFonts w:hint="cs" w:ascii="Arial" w:hAnsi="Arial"/>
                <w:rtl/>
              </w:rPr>
              <w:t xml:space="preserve">האישיות, </w:t>
            </w:r>
            <w:r w:rsidRPr="00AF6ACE" w:rsidR="00635A88">
              <w:rPr>
                <w:rFonts w:hint="cs" w:ascii="Arial" w:hAnsi="Arial"/>
                <w:rtl/>
              </w:rPr>
              <w:t xml:space="preserve">ולא בהתייחס לדיווחי הכנסות הנאשמת. כתב האישום יצר אפוא מדרג </w:t>
            </w:r>
            <w:r>
              <w:rPr>
                <w:rFonts w:hint="cs" w:ascii="Arial" w:hAnsi="Arial"/>
                <w:rtl/>
              </w:rPr>
              <w:t xml:space="preserve">של </w:t>
            </w:r>
            <w:r w:rsidRPr="00AF6ACE" w:rsidR="00635A88">
              <w:rPr>
                <w:rFonts w:hint="cs" w:ascii="Arial" w:hAnsi="Arial"/>
                <w:rtl/>
              </w:rPr>
              <w:t>עבירות</w:t>
            </w:r>
            <w:r>
              <w:rPr>
                <w:rFonts w:hint="cs" w:ascii="Arial" w:hAnsi="Arial"/>
                <w:rtl/>
              </w:rPr>
              <w:t xml:space="preserve"> תוך הבדלה בין הכנסות הנאשם כאדם פרטי </w:t>
            </w:r>
            <w:r w:rsidR="00CE5D0E">
              <w:rPr>
                <w:rFonts w:hint="cs" w:ascii="Arial" w:hAnsi="Arial"/>
                <w:rtl/>
              </w:rPr>
              <w:t xml:space="preserve">לבין </w:t>
            </w:r>
            <w:r>
              <w:rPr>
                <w:rFonts w:hint="cs" w:ascii="Arial" w:hAnsi="Arial"/>
                <w:rtl/>
              </w:rPr>
              <w:t xml:space="preserve">הכנסות הנאשמת. </w:t>
            </w:r>
            <w:r w:rsidRPr="00AF6ACE" w:rsidR="00635A88">
              <w:rPr>
                <w:rFonts w:hint="cs" w:ascii="Arial" w:hAnsi="Arial"/>
                <w:rtl/>
              </w:rPr>
              <w:t xml:space="preserve">איני סבור שהולם כי בית המשפט ישנה </w:t>
            </w:r>
            <w:r>
              <w:rPr>
                <w:rFonts w:hint="cs" w:ascii="Arial" w:hAnsi="Arial"/>
                <w:rtl/>
              </w:rPr>
              <w:t xml:space="preserve">מדרג </w:t>
            </w:r>
            <w:r w:rsidR="00F72AE3">
              <w:rPr>
                <w:rFonts w:hint="cs" w:ascii="Arial" w:hAnsi="Arial"/>
                <w:rtl/>
              </w:rPr>
              <w:t xml:space="preserve">זה </w:t>
            </w:r>
            <w:r w:rsidRPr="00AF6ACE" w:rsidR="00635A88">
              <w:rPr>
                <w:rFonts w:hint="cs" w:ascii="Arial" w:hAnsi="Arial"/>
                <w:rtl/>
              </w:rPr>
              <w:t xml:space="preserve">בדיעבד, בסופו של הליך. </w:t>
            </w:r>
          </w:p>
          <w:p w:rsidRPr="00AF6ACE" w:rsidR="00635A88" w:rsidP="00F72AE3" w:rsidRDefault="00F72AE3" w14:paraId="249E3A45" w14:textId="77777777">
            <w:pPr>
              <w:pStyle w:val="ab"/>
              <w:spacing w:before="120" w:after="120" w:line="360" w:lineRule="auto"/>
              <w:contextualSpacing w:val="0"/>
              <w:jc w:val="both"/>
              <w:rPr>
                <w:rFonts w:ascii="Arial" w:hAnsi="Arial"/>
                <w:rtl/>
              </w:rPr>
            </w:pPr>
            <w:r>
              <w:rPr>
                <w:rFonts w:hint="cs" w:ascii="Arial" w:hAnsi="Arial"/>
                <w:rtl/>
              </w:rPr>
              <w:t>שלישית</w:t>
            </w:r>
            <w:r w:rsidRPr="00AF6ACE" w:rsidR="00635A88">
              <w:rPr>
                <w:rFonts w:hint="cs" w:ascii="Arial" w:hAnsi="Arial"/>
                <w:rtl/>
              </w:rPr>
              <w:t xml:space="preserve">, </w:t>
            </w:r>
            <w:r>
              <w:rPr>
                <w:rFonts w:hint="cs" w:ascii="Arial" w:hAnsi="Arial"/>
                <w:rtl/>
              </w:rPr>
              <w:t xml:space="preserve">אזכיר </w:t>
            </w:r>
            <w:r w:rsidRPr="00AF6ACE" w:rsidR="00635A88">
              <w:rPr>
                <w:rFonts w:hint="cs" w:ascii="Arial" w:hAnsi="Arial"/>
                <w:rtl/>
              </w:rPr>
              <w:t xml:space="preserve">כי הדיון בהכרעת הדין מבוצע בהתאם למתווה שגיבשו הצדדים, בהסכמה הדדית שהותירה מחלוקת </w:t>
            </w:r>
            <w:r w:rsidR="00AF6ACE">
              <w:rPr>
                <w:rFonts w:hint="cs" w:ascii="Arial" w:hAnsi="Arial"/>
                <w:rtl/>
              </w:rPr>
              <w:t xml:space="preserve">נקודתית </w:t>
            </w:r>
            <w:r w:rsidRPr="00AF6ACE" w:rsidR="00635A88">
              <w:rPr>
                <w:rFonts w:hint="cs" w:ascii="Arial" w:hAnsi="Arial"/>
                <w:rtl/>
              </w:rPr>
              <w:t>להכרעת בית המשפט. העובדה כי בהסכמות אלה לא נכללה או נזכרה אפשרות של הרשעה חלופית פועלת כנגד יישום אפשרות שכזו ביזמת בית המשפט</w:t>
            </w:r>
            <w:r w:rsidR="00AF6ACE">
              <w:rPr>
                <w:rFonts w:hint="cs" w:ascii="Arial" w:hAnsi="Arial"/>
                <w:rtl/>
              </w:rPr>
              <w:t>, וזאת גם אם קיימת סמכות לעשות כן</w:t>
            </w:r>
            <w:r w:rsidRPr="00AF6ACE" w:rsidR="00635A88">
              <w:rPr>
                <w:rFonts w:hint="cs" w:ascii="Arial" w:hAnsi="Arial"/>
                <w:rtl/>
              </w:rPr>
              <w:t xml:space="preserve">. </w:t>
            </w:r>
          </w:p>
          <w:p w:rsidRPr="00DC28FC" w:rsidR="00AF6ACE" w:rsidP="00CE5D0E" w:rsidRDefault="007C27F6" w14:paraId="652E2887" w14:textId="77777777">
            <w:pPr>
              <w:pStyle w:val="ab"/>
              <w:numPr>
                <w:ilvl w:val="0"/>
                <w:numId w:val="7"/>
              </w:numPr>
              <w:spacing w:before="120" w:after="120" w:line="360" w:lineRule="auto"/>
              <w:contextualSpacing w:val="0"/>
              <w:jc w:val="both"/>
              <w:rPr>
                <w:rFonts w:ascii="Arial" w:hAnsi="Arial"/>
              </w:rPr>
            </w:pPr>
            <w:r>
              <w:rPr>
                <w:rFonts w:hint="cs" w:ascii="Arial" w:hAnsi="Arial"/>
                <w:rtl/>
              </w:rPr>
              <w:t xml:space="preserve">בסוף סיכומיה ביקשה המאשימה, במילים ספורות, כי אם יגיע בית המשפט למסקנה </w:t>
            </w:r>
            <w:r w:rsidR="00F72AE3">
              <w:rPr>
                <w:rFonts w:hint="cs" w:ascii="Arial" w:hAnsi="Arial"/>
                <w:rtl/>
              </w:rPr>
              <w:t>לפיה</w:t>
            </w:r>
            <w:r>
              <w:rPr>
                <w:rFonts w:hint="cs" w:ascii="Arial" w:hAnsi="Arial"/>
                <w:rtl/>
              </w:rPr>
              <w:t xml:space="preserve"> </w:t>
            </w:r>
            <w:r w:rsidR="00CE5D0E">
              <w:rPr>
                <w:rFonts w:hint="cs" w:ascii="Arial" w:hAnsi="Arial"/>
                <w:rtl/>
              </w:rPr>
              <w:t xml:space="preserve">המטרה </w:t>
            </w:r>
            <w:r>
              <w:rPr>
                <w:rFonts w:hint="cs" w:ascii="Arial" w:hAnsi="Arial"/>
                <w:rtl/>
              </w:rPr>
              <w:t xml:space="preserve">להתחמק ממס לא </w:t>
            </w:r>
            <w:r w:rsidR="00F72AE3">
              <w:rPr>
                <w:rFonts w:hint="cs" w:ascii="Arial" w:hAnsi="Arial"/>
                <w:rtl/>
              </w:rPr>
              <w:t>התקיימה</w:t>
            </w:r>
            <w:r>
              <w:rPr>
                <w:rFonts w:hint="cs" w:ascii="Arial" w:hAnsi="Arial"/>
                <w:rtl/>
              </w:rPr>
              <w:t>,</w:t>
            </w:r>
            <w:r w:rsidR="00F72AE3">
              <w:rPr>
                <w:rFonts w:hint="cs" w:ascii="Arial" w:hAnsi="Arial"/>
                <w:rtl/>
              </w:rPr>
              <w:t xml:space="preserve"> יורשעו</w:t>
            </w:r>
            <w:r>
              <w:rPr>
                <w:rFonts w:hint="cs" w:ascii="Arial" w:hAnsi="Arial"/>
                <w:rtl/>
              </w:rPr>
              <w:t xml:space="preserve"> הנאשמים </w:t>
            </w:r>
            <w:r w:rsidRPr="00DC28FC" w:rsidR="00AF6ACE">
              <w:rPr>
                <w:rFonts w:hint="cs" w:ascii="Arial" w:hAnsi="Arial"/>
                <w:rtl/>
              </w:rPr>
              <w:t>"</w:t>
            </w:r>
            <w:r w:rsidRPr="007C27F6" w:rsidR="00AF6ACE">
              <w:rPr>
                <w:rFonts w:hint="cs" w:ascii="Arial" w:hAnsi="Arial" w:cs="FrankRuehl"/>
                <w:rtl/>
              </w:rPr>
              <w:t>על פי החזקה הק</w:t>
            </w:r>
            <w:r w:rsidRPr="007C27F6">
              <w:rPr>
                <w:rFonts w:hint="cs" w:ascii="Arial" w:hAnsi="Arial" w:cs="FrankRuehl"/>
                <w:rtl/>
              </w:rPr>
              <w:t>בועה בסעיף 20(ב) לחוק העונשין</w:t>
            </w:r>
            <w:r>
              <w:rPr>
                <w:rFonts w:hint="cs" w:ascii="Arial" w:hAnsi="Arial"/>
                <w:rtl/>
              </w:rPr>
              <w:t xml:space="preserve">". </w:t>
            </w:r>
          </w:p>
          <w:p w:rsidR="00A1724A" w:rsidP="00F72AE3" w:rsidRDefault="00AF6ACE" w14:paraId="36D5BD7A" w14:textId="77777777">
            <w:pPr>
              <w:pStyle w:val="ab"/>
              <w:spacing w:before="120" w:after="120" w:line="360" w:lineRule="auto"/>
              <w:contextualSpacing w:val="0"/>
              <w:jc w:val="both"/>
              <w:rPr>
                <w:rFonts w:ascii="Arial" w:hAnsi="Arial"/>
                <w:rtl/>
              </w:rPr>
            </w:pPr>
            <w:r w:rsidRPr="00DC28FC">
              <w:rPr>
                <w:rFonts w:hint="cs" w:ascii="Arial" w:hAnsi="Arial"/>
                <w:rtl/>
              </w:rPr>
              <w:t>בסעיף זה עוגנה "הלכת הצפיות" שאינה בגדר חזקה אלא תחליף-כוונה</w:t>
            </w:r>
            <w:r w:rsidR="007C27F6">
              <w:rPr>
                <w:rFonts w:hint="cs" w:ascii="Arial" w:hAnsi="Arial"/>
                <w:rtl/>
              </w:rPr>
              <w:t>,</w:t>
            </w:r>
            <w:r w:rsidRPr="00DC28FC">
              <w:rPr>
                <w:rFonts w:hint="cs" w:ascii="Arial" w:hAnsi="Arial"/>
                <w:rtl/>
              </w:rPr>
              <w:t xml:space="preserve"> החל במצבים בהם </w:t>
            </w:r>
            <w:r w:rsidR="007C27F6">
              <w:rPr>
                <w:rFonts w:hint="cs" w:ascii="Arial" w:hAnsi="Arial"/>
                <w:rtl/>
              </w:rPr>
              <w:t xml:space="preserve">נאשם </w:t>
            </w:r>
            <w:r w:rsidRPr="00DC28FC">
              <w:rPr>
                <w:rFonts w:hint="cs" w:ascii="Arial" w:hAnsi="Arial"/>
                <w:rtl/>
              </w:rPr>
              <w:t>צפה את אפשרות התרחשות התוצאות "</w:t>
            </w:r>
            <w:r w:rsidRPr="007C27F6">
              <w:rPr>
                <w:rFonts w:hint="cs" w:ascii="Arial" w:hAnsi="Arial" w:cs="FrankRuehl"/>
                <w:rtl/>
              </w:rPr>
              <w:t>כאפשרות קרובה לוודאי</w:t>
            </w:r>
            <w:r w:rsidRPr="00DC28FC">
              <w:rPr>
                <w:rFonts w:hint="cs" w:ascii="Arial" w:hAnsi="Arial"/>
                <w:rtl/>
              </w:rPr>
              <w:t xml:space="preserve">". </w:t>
            </w:r>
            <w:r w:rsidR="00F72AE3">
              <w:rPr>
                <w:rFonts w:hint="cs" w:ascii="Arial" w:hAnsi="Arial"/>
                <w:rtl/>
              </w:rPr>
              <w:t xml:space="preserve">התחליף </w:t>
            </w:r>
            <w:r w:rsidRPr="00DC28FC">
              <w:rPr>
                <w:rFonts w:hint="cs" w:ascii="Arial" w:hAnsi="Arial"/>
                <w:rtl/>
              </w:rPr>
              <w:t xml:space="preserve">חל על עבירות תוצאה, והורחב בפסיקה </w:t>
            </w:r>
            <w:r w:rsidR="00F72AE3">
              <w:rPr>
                <w:rFonts w:hint="cs" w:ascii="Arial" w:hAnsi="Arial"/>
                <w:rtl/>
              </w:rPr>
              <w:t xml:space="preserve">לחול </w:t>
            </w:r>
            <w:r w:rsidRPr="00DC28FC">
              <w:rPr>
                <w:rFonts w:hint="cs" w:ascii="Arial" w:hAnsi="Arial"/>
                <w:rtl/>
              </w:rPr>
              <w:t xml:space="preserve">גם </w:t>
            </w:r>
            <w:r w:rsidR="00F72AE3">
              <w:rPr>
                <w:rFonts w:hint="cs" w:ascii="Arial" w:hAnsi="Arial"/>
                <w:rtl/>
              </w:rPr>
              <w:t xml:space="preserve">על </w:t>
            </w:r>
            <w:r w:rsidRPr="00DC28FC">
              <w:rPr>
                <w:rFonts w:hint="cs" w:ascii="Arial" w:hAnsi="Arial"/>
                <w:rtl/>
              </w:rPr>
              <w:t>עבירות מטרה אך תוך קביעה לפיה יש לבחון כל עבירה בהתאם לתכליותיה ואופי</w:t>
            </w:r>
            <w:r w:rsidR="00CE5D0E">
              <w:rPr>
                <w:rFonts w:hint="cs" w:ascii="Arial" w:hAnsi="Arial"/>
                <w:rtl/>
              </w:rPr>
              <w:t>י</w:t>
            </w:r>
            <w:r w:rsidRPr="00DC28FC">
              <w:rPr>
                <w:rFonts w:hint="cs" w:ascii="Arial" w:hAnsi="Arial"/>
                <w:rtl/>
              </w:rPr>
              <w:t xml:space="preserve">ה על מנת להכריע האם להחיל עליה את התחליף. </w:t>
            </w:r>
          </w:p>
          <w:p w:rsidR="00AF6ACE" w:rsidP="00F72AE3" w:rsidRDefault="00A1724A" w14:paraId="40D2C384" w14:textId="77777777">
            <w:pPr>
              <w:pStyle w:val="ab"/>
              <w:spacing w:before="120" w:after="120" w:line="360" w:lineRule="auto"/>
              <w:contextualSpacing w:val="0"/>
              <w:jc w:val="both"/>
              <w:rPr>
                <w:rFonts w:ascii="Arial" w:hAnsi="Arial"/>
                <w:rtl/>
              </w:rPr>
            </w:pPr>
            <w:r>
              <w:rPr>
                <w:rFonts w:hint="cs" w:ascii="Arial" w:hAnsi="Arial"/>
                <w:rtl/>
              </w:rPr>
              <w:lastRenderedPageBreak/>
              <w:t xml:space="preserve">לצורך הדיון כאן אניח כי ניתן להחיל את התחליף </w:t>
            </w:r>
            <w:r w:rsidR="007C27F6">
              <w:rPr>
                <w:rFonts w:hint="cs" w:ascii="Arial" w:hAnsi="Arial"/>
                <w:rtl/>
              </w:rPr>
              <w:t>על היסוד הנפשי-חפצי הנדרש בסעיף 220 לפקודת מס הכנסה</w:t>
            </w:r>
            <w:r>
              <w:rPr>
                <w:rFonts w:hint="cs" w:ascii="Arial" w:hAnsi="Arial"/>
                <w:rtl/>
              </w:rPr>
              <w:t>. אציין ש</w:t>
            </w:r>
            <w:r w:rsidRPr="00DC28FC" w:rsidR="00AF6ACE">
              <w:rPr>
                <w:rFonts w:hint="cs" w:ascii="Arial" w:hAnsi="Arial"/>
                <w:rtl/>
              </w:rPr>
              <w:t xml:space="preserve">בעניין </w:t>
            </w:r>
            <w:r w:rsidRPr="00DC28FC" w:rsidR="00AF6ACE">
              <w:rPr>
                <w:rFonts w:hint="cs" w:ascii="Arial" w:hAnsi="Arial"/>
                <w:b/>
                <w:bCs/>
                <w:rtl/>
              </w:rPr>
              <w:t>אוהב ציון</w:t>
            </w:r>
            <w:r w:rsidRPr="00DC28FC" w:rsidR="00AF6ACE">
              <w:rPr>
                <w:rFonts w:hint="cs" w:ascii="Arial" w:hAnsi="Arial"/>
                <w:rtl/>
              </w:rPr>
              <w:t xml:space="preserve"> הנזכר לעיל נמנע בית המשפט העליון מלהכריע ב</w:t>
            </w:r>
            <w:r w:rsidR="007C27F6">
              <w:rPr>
                <w:rFonts w:hint="cs" w:ascii="Arial" w:hAnsi="Arial"/>
                <w:rtl/>
              </w:rPr>
              <w:t xml:space="preserve">שאלה </w:t>
            </w:r>
            <w:r w:rsidRPr="00DC28FC" w:rsidR="00AF6ACE">
              <w:rPr>
                <w:rFonts w:hint="cs" w:ascii="Arial" w:hAnsi="Arial"/>
                <w:rtl/>
              </w:rPr>
              <w:t>(שם, פיס' 23 לפסק דינו של השופט דנציגר)</w:t>
            </w:r>
            <w:r>
              <w:rPr>
                <w:rFonts w:hint="cs" w:ascii="Arial" w:hAnsi="Arial"/>
                <w:rtl/>
              </w:rPr>
              <w:t xml:space="preserve">. </w:t>
            </w:r>
            <w:r w:rsidR="00306594">
              <w:rPr>
                <w:rFonts w:hint="cs" w:ascii="Arial" w:hAnsi="Arial"/>
                <w:rtl/>
              </w:rPr>
              <w:t xml:space="preserve">ברע"פ 74/13 </w:t>
            </w:r>
            <w:r w:rsidR="00306594">
              <w:rPr>
                <w:rFonts w:hint="cs" w:ascii="Arial" w:hAnsi="Arial"/>
                <w:b/>
                <w:bCs/>
                <w:rtl/>
              </w:rPr>
              <w:t>חלידו נ' מדינת ישראל</w:t>
            </w:r>
            <w:r w:rsidR="00306594">
              <w:rPr>
                <w:rFonts w:hint="cs" w:ascii="Arial" w:hAnsi="Arial"/>
                <w:rtl/>
              </w:rPr>
              <w:t xml:space="preserve"> (17.3.1</w:t>
            </w:r>
            <w:r>
              <w:rPr>
                <w:rFonts w:hint="cs" w:ascii="Arial" w:hAnsi="Arial"/>
                <w:rtl/>
              </w:rPr>
              <w:t xml:space="preserve">3) ניתנה תשובה חיובית לשאלה, בדן יחיד (וראו את פסק הדין </w:t>
            </w:r>
            <w:r w:rsidR="00793C8B">
              <w:rPr>
                <w:rFonts w:hint="cs" w:ascii="Arial" w:hAnsi="Arial"/>
                <w:rtl/>
              </w:rPr>
              <w:t>ב</w:t>
            </w:r>
            <w:r w:rsidRPr="00DC28FC" w:rsidR="00AF6ACE">
              <w:rPr>
                <w:rFonts w:hint="cs" w:ascii="Arial" w:hAnsi="Arial"/>
                <w:rtl/>
              </w:rPr>
              <w:t xml:space="preserve">ע"פ (חי') 43765-05-12 </w:t>
            </w:r>
            <w:r w:rsidRPr="00DC28FC" w:rsidR="00AF6ACE">
              <w:rPr>
                <w:rFonts w:hint="cs" w:ascii="Arial" w:hAnsi="Arial"/>
                <w:b/>
                <w:bCs/>
                <w:rtl/>
              </w:rPr>
              <w:t>חלידו נ' מדינת ישראל</w:t>
            </w:r>
            <w:r w:rsidR="007C27F6">
              <w:rPr>
                <w:rFonts w:hint="cs" w:ascii="Arial" w:hAnsi="Arial"/>
                <w:rtl/>
              </w:rPr>
              <w:t xml:space="preserve">, </w:t>
            </w:r>
            <w:r w:rsidR="00E12596">
              <w:rPr>
                <w:rFonts w:hint="cs" w:ascii="Arial" w:hAnsi="Arial"/>
                <w:rtl/>
              </w:rPr>
              <w:t>ב</w:t>
            </w:r>
            <w:r w:rsidR="007C27F6">
              <w:rPr>
                <w:rFonts w:hint="cs" w:ascii="Arial" w:hAnsi="Arial"/>
                <w:rtl/>
              </w:rPr>
              <w:t>פ</w:t>
            </w:r>
            <w:r w:rsidR="00E12596">
              <w:rPr>
                <w:rFonts w:hint="cs" w:ascii="Arial" w:hAnsi="Arial"/>
                <w:rtl/>
              </w:rPr>
              <w:t>י</w:t>
            </w:r>
            <w:r w:rsidR="007C27F6">
              <w:rPr>
                <w:rFonts w:hint="cs" w:ascii="Arial" w:hAnsi="Arial"/>
                <w:rtl/>
              </w:rPr>
              <w:t>ס' קנ"ו (6.12.12)</w:t>
            </w:r>
            <w:r>
              <w:rPr>
                <w:rFonts w:hint="cs" w:ascii="Arial" w:hAnsi="Arial"/>
                <w:rtl/>
              </w:rPr>
              <w:t xml:space="preserve">). </w:t>
            </w:r>
            <w:r w:rsidR="00E12596">
              <w:rPr>
                <w:rFonts w:hint="cs" w:ascii="Arial" w:hAnsi="Arial"/>
                <w:rtl/>
              </w:rPr>
              <w:t>ב</w:t>
            </w:r>
            <w:r>
              <w:rPr>
                <w:rFonts w:hint="cs" w:ascii="Arial" w:hAnsi="Arial"/>
                <w:rtl/>
              </w:rPr>
              <w:t xml:space="preserve">פסיקת בתי המשפט המחוזיים </w:t>
            </w:r>
            <w:r w:rsidR="00E12596">
              <w:rPr>
                <w:rFonts w:hint="cs" w:ascii="Arial" w:hAnsi="Arial"/>
                <w:rtl/>
              </w:rPr>
              <w:t xml:space="preserve">דוגמאות להחלת </w:t>
            </w:r>
            <w:r>
              <w:rPr>
                <w:rFonts w:hint="cs" w:ascii="Arial" w:hAnsi="Arial"/>
                <w:rtl/>
              </w:rPr>
              <w:t xml:space="preserve">התחליף: לצד עניין </w:t>
            </w:r>
            <w:r w:rsidRPr="00A1724A">
              <w:rPr>
                <w:rFonts w:hint="cs" w:ascii="Arial" w:hAnsi="Arial"/>
                <w:b/>
                <w:bCs/>
                <w:rtl/>
              </w:rPr>
              <w:t>חלידו</w:t>
            </w:r>
            <w:r>
              <w:rPr>
                <w:rFonts w:hint="cs" w:ascii="Arial" w:hAnsi="Arial"/>
                <w:rtl/>
              </w:rPr>
              <w:t xml:space="preserve"> הנזכר לעיל</w:t>
            </w:r>
            <w:r w:rsidR="00050021">
              <w:rPr>
                <w:rFonts w:hint="cs" w:ascii="Arial" w:hAnsi="Arial"/>
                <w:rtl/>
              </w:rPr>
              <w:t xml:space="preserve"> </w:t>
            </w:r>
            <w:r w:rsidR="00306594">
              <w:rPr>
                <w:rFonts w:hint="cs" w:ascii="Arial" w:hAnsi="Arial"/>
                <w:rtl/>
              </w:rPr>
              <w:t xml:space="preserve">ראו ע"פ (ת"א) 39054-10-13 </w:t>
            </w:r>
            <w:r w:rsidR="00306594">
              <w:rPr>
                <w:rFonts w:hint="cs" w:ascii="Arial" w:hAnsi="Arial"/>
                <w:b/>
                <w:bCs/>
                <w:rtl/>
              </w:rPr>
              <w:t>מדינת ישראל נ' כהן</w:t>
            </w:r>
            <w:r w:rsidRPr="00306594" w:rsidR="00306594">
              <w:rPr>
                <w:rFonts w:hint="cs" w:ascii="Arial" w:hAnsi="Arial"/>
                <w:rtl/>
              </w:rPr>
              <w:t>, פס' 95 (26.2.14)</w:t>
            </w:r>
            <w:r w:rsidR="00E12596">
              <w:rPr>
                <w:rFonts w:hint="cs" w:ascii="Arial" w:hAnsi="Arial"/>
                <w:rtl/>
              </w:rPr>
              <w:t>, ו</w:t>
            </w:r>
            <w:r w:rsidR="00793C8B">
              <w:rPr>
                <w:rFonts w:hint="cs" w:ascii="Arial" w:hAnsi="Arial"/>
                <w:rtl/>
              </w:rPr>
              <w:t xml:space="preserve">מהלך </w:t>
            </w:r>
            <w:r w:rsidR="00E12596">
              <w:rPr>
                <w:rFonts w:hint="cs" w:ascii="Arial" w:hAnsi="Arial"/>
                <w:rtl/>
              </w:rPr>
              <w:t xml:space="preserve">דומה שבוצע </w:t>
            </w:r>
            <w:r w:rsidR="00050021">
              <w:rPr>
                <w:rFonts w:hint="cs" w:ascii="Arial" w:hAnsi="Arial"/>
                <w:rtl/>
              </w:rPr>
              <w:t xml:space="preserve">בת.פ. (ב"ש) 8292/06 </w:t>
            </w:r>
            <w:r w:rsidR="00050021">
              <w:rPr>
                <w:rFonts w:hint="cs" w:ascii="Arial" w:hAnsi="Arial"/>
                <w:b/>
                <w:bCs/>
                <w:rtl/>
              </w:rPr>
              <w:t xml:space="preserve">מדינת ישראל נ' גלם </w:t>
            </w:r>
            <w:r w:rsidR="00050021">
              <w:rPr>
                <w:rFonts w:hint="cs" w:ascii="Arial" w:hAnsi="Arial"/>
                <w:rtl/>
              </w:rPr>
              <w:t>(הכרעת דין מיום 20.12.11</w:t>
            </w:r>
            <w:r w:rsidR="00F72AE3">
              <w:rPr>
                <w:rFonts w:hint="cs" w:ascii="Arial" w:hAnsi="Arial"/>
                <w:rtl/>
              </w:rPr>
              <w:t xml:space="preserve">. </w:t>
            </w:r>
            <w:r w:rsidR="00E12596">
              <w:rPr>
                <w:rFonts w:hint="cs" w:ascii="Arial" w:hAnsi="Arial"/>
                <w:rtl/>
              </w:rPr>
              <w:t>ערעור על</w:t>
            </w:r>
            <w:r w:rsidR="00F72AE3">
              <w:rPr>
                <w:rFonts w:hint="cs" w:ascii="Arial" w:hAnsi="Arial"/>
                <w:rtl/>
              </w:rPr>
              <w:t xml:space="preserve">יה </w:t>
            </w:r>
            <w:r w:rsidR="00E12596">
              <w:rPr>
                <w:rFonts w:hint="cs" w:ascii="Arial" w:hAnsi="Arial"/>
                <w:rtl/>
              </w:rPr>
              <w:t>נדחה ללא דיון בשאלה הנדונה כאן</w:t>
            </w:r>
            <w:r w:rsidR="00F72AE3">
              <w:rPr>
                <w:rFonts w:hint="cs" w:ascii="Arial" w:hAnsi="Arial"/>
                <w:rtl/>
              </w:rPr>
              <w:t xml:space="preserve">: </w:t>
            </w:r>
            <w:r w:rsidR="00E12596">
              <w:rPr>
                <w:rFonts w:hint="cs" w:ascii="Arial" w:hAnsi="Arial"/>
                <w:rtl/>
              </w:rPr>
              <w:t xml:space="preserve">ע"פ 5783/12 מיום 11.9.14). </w:t>
            </w:r>
          </w:p>
          <w:p w:rsidRPr="00050021" w:rsidR="00AF6ACE" w:rsidP="00E871E4" w:rsidRDefault="00404B81" w14:paraId="70A382C1" w14:textId="43AA5BE8">
            <w:pPr>
              <w:pStyle w:val="ab"/>
              <w:spacing w:before="120" w:after="120" w:line="360" w:lineRule="auto"/>
              <w:contextualSpacing w:val="0"/>
              <w:jc w:val="both"/>
              <w:rPr>
                <w:rFonts w:ascii="Arial" w:hAnsi="Arial"/>
              </w:rPr>
            </w:pPr>
            <w:r>
              <w:rPr>
                <w:rFonts w:hint="cs" w:ascii="Arial" w:hAnsi="Arial"/>
                <w:rtl/>
              </w:rPr>
              <w:t>גם בהנחה שהלכת הצפיות חלה על העבירה לפי סעיף 220 לפקודת מס הכנסה, איני סבור שניתן להחילה בעניינ</w:t>
            </w:r>
            <w:r w:rsidR="00F72AE3">
              <w:rPr>
                <w:rFonts w:hint="cs" w:ascii="Arial" w:hAnsi="Arial"/>
                <w:rtl/>
              </w:rPr>
              <w:t xml:space="preserve">ם </w:t>
            </w:r>
            <w:r>
              <w:rPr>
                <w:rFonts w:hint="cs" w:ascii="Arial" w:hAnsi="Arial"/>
                <w:rtl/>
              </w:rPr>
              <w:t>של הנאש</w:t>
            </w:r>
            <w:r w:rsidR="00F72AE3">
              <w:rPr>
                <w:rFonts w:hint="cs" w:ascii="Arial" w:hAnsi="Arial"/>
                <w:rtl/>
              </w:rPr>
              <w:t>מי</w:t>
            </w:r>
            <w:r>
              <w:rPr>
                <w:rFonts w:hint="cs" w:ascii="Arial" w:hAnsi="Arial"/>
                <w:rtl/>
              </w:rPr>
              <w:t>ם. זאת, מש</w:t>
            </w:r>
            <w:r w:rsidRPr="00050021" w:rsidR="00AF6ACE">
              <w:rPr>
                <w:rFonts w:hint="cs" w:ascii="Arial" w:hAnsi="Arial"/>
                <w:rtl/>
              </w:rPr>
              <w:t xml:space="preserve">לא </w:t>
            </w:r>
            <w:r w:rsidR="00E12596">
              <w:rPr>
                <w:rFonts w:hint="cs" w:ascii="Arial" w:hAnsi="Arial"/>
                <w:rtl/>
              </w:rPr>
              <w:t xml:space="preserve">בוססה </w:t>
            </w:r>
            <w:r w:rsidRPr="00050021" w:rsidR="00AF6ACE">
              <w:rPr>
                <w:rFonts w:hint="cs" w:ascii="Arial" w:hAnsi="Arial"/>
                <w:rtl/>
              </w:rPr>
              <w:t>התשתית העובדתית הנדרשת להפעלתה</w:t>
            </w:r>
            <w:r w:rsidR="004C0794">
              <w:rPr>
                <w:rFonts w:hint="cs" w:ascii="Arial" w:hAnsi="Arial"/>
                <w:rtl/>
              </w:rPr>
              <w:t xml:space="preserve">, בדרגת ההוכחה הנדרשת בפלילים. הסוגיה כלל לא עלתה לדיון במהלך ההליך, ובכלל זה הנאשם לא נשאל שאלות בנושא. </w:t>
            </w:r>
            <w:r w:rsidR="00E12596">
              <w:rPr>
                <w:rFonts w:hint="cs" w:ascii="Arial" w:hAnsi="Arial"/>
                <w:rtl/>
              </w:rPr>
              <w:t>הגם ש</w:t>
            </w:r>
            <w:r w:rsidR="004C0794">
              <w:rPr>
                <w:rFonts w:hint="cs" w:ascii="Arial" w:hAnsi="Arial"/>
                <w:rtl/>
              </w:rPr>
              <w:t xml:space="preserve">אישר </w:t>
            </w:r>
            <w:r w:rsidR="00E12596">
              <w:rPr>
                <w:rFonts w:hint="cs" w:ascii="Arial" w:hAnsi="Arial"/>
                <w:rtl/>
              </w:rPr>
              <w:t xml:space="preserve">בעדותו </w:t>
            </w:r>
            <w:r w:rsidR="004C0794">
              <w:rPr>
                <w:rFonts w:hint="cs" w:ascii="Arial" w:hAnsi="Arial"/>
                <w:rtl/>
              </w:rPr>
              <w:t xml:space="preserve">כי ידע על החובה לשלם מס, </w:t>
            </w:r>
            <w:r w:rsidR="0041345A">
              <w:rPr>
                <w:rFonts w:hint="cs" w:ascii="Arial" w:hAnsi="Arial"/>
                <w:rtl/>
              </w:rPr>
              <w:t xml:space="preserve">טען כי </w:t>
            </w:r>
            <w:r w:rsidR="004C0794">
              <w:rPr>
                <w:rFonts w:hint="cs" w:ascii="Arial" w:hAnsi="Arial"/>
                <w:rtl/>
              </w:rPr>
              <w:t>סבר שהגיעו לו החזרי מס</w:t>
            </w:r>
            <w:r w:rsidR="00F72AE3">
              <w:rPr>
                <w:rFonts w:hint="cs" w:ascii="Arial" w:hAnsi="Arial"/>
                <w:rtl/>
              </w:rPr>
              <w:t xml:space="preserve"> ולא כי צפה </w:t>
            </w:r>
            <w:r w:rsidR="00E871E4">
              <w:rPr>
                <w:rFonts w:hint="cs" w:ascii="Arial" w:hAnsi="Arial"/>
                <w:rtl/>
              </w:rPr>
              <w:t>ש</w:t>
            </w:r>
            <w:r w:rsidR="00F72AE3">
              <w:rPr>
                <w:rFonts w:hint="cs" w:ascii="Arial" w:hAnsi="Arial"/>
                <w:rtl/>
              </w:rPr>
              <w:t>הימנעות</w:t>
            </w:r>
            <w:r w:rsidR="00E871E4">
              <w:rPr>
                <w:rFonts w:hint="cs" w:ascii="Arial" w:hAnsi="Arial"/>
                <w:rtl/>
              </w:rPr>
              <w:t>ו</w:t>
            </w:r>
            <w:r w:rsidR="00F72AE3">
              <w:rPr>
                <w:rFonts w:hint="cs" w:ascii="Arial" w:hAnsi="Arial"/>
                <w:rtl/>
              </w:rPr>
              <w:t xml:space="preserve"> מהגשת הדוחות תוביל להתחמקות מתשלום</w:t>
            </w:r>
            <w:r w:rsidR="0041345A">
              <w:rPr>
                <w:rFonts w:hint="cs" w:ascii="Arial" w:hAnsi="Arial"/>
                <w:rtl/>
              </w:rPr>
              <w:t xml:space="preserve">. אזכיר את הדיון שנערך לעיל בטענתו זו, במסגרתו הוצגו </w:t>
            </w:r>
            <w:r w:rsidR="004C0794">
              <w:rPr>
                <w:rFonts w:hint="cs" w:ascii="Arial" w:hAnsi="Arial"/>
                <w:rtl/>
              </w:rPr>
              <w:t xml:space="preserve">ראיות </w:t>
            </w:r>
            <w:r w:rsidR="0041345A">
              <w:rPr>
                <w:rFonts w:hint="cs" w:ascii="Arial" w:hAnsi="Arial"/>
                <w:rtl/>
              </w:rPr>
              <w:t xml:space="preserve">המאפשרות </w:t>
            </w:r>
            <w:r w:rsidR="00F72AE3">
              <w:rPr>
                <w:rFonts w:hint="cs" w:ascii="Arial" w:hAnsi="Arial"/>
                <w:rtl/>
              </w:rPr>
              <w:t>את ה</w:t>
            </w:r>
            <w:r w:rsidR="004C0794">
              <w:rPr>
                <w:rFonts w:hint="cs" w:ascii="Arial" w:hAnsi="Arial"/>
                <w:rtl/>
              </w:rPr>
              <w:t xml:space="preserve">טענה במידה </w:t>
            </w:r>
            <w:r w:rsidR="00F72AE3">
              <w:rPr>
                <w:rFonts w:hint="cs" w:ascii="Arial" w:hAnsi="Arial"/>
                <w:rtl/>
              </w:rPr>
              <w:t xml:space="preserve">המקימה </w:t>
            </w:r>
            <w:r w:rsidR="004C0794">
              <w:rPr>
                <w:rFonts w:hint="cs" w:ascii="Arial" w:hAnsi="Arial"/>
                <w:rtl/>
              </w:rPr>
              <w:t>ספק. התביעה לא הסירה ספק זה</w:t>
            </w:r>
            <w:r w:rsidR="0041345A">
              <w:rPr>
                <w:rFonts w:hint="cs" w:ascii="Arial" w:hAnsi="Arial"/>
                <w:rtl/>
              </w:rPr>
              <w:t>, לא במישור העובדתי</w:t>
            </w:r>
            <w:r w:rsidR="00E871E4">
              <w:rPr>
                <w:rFonts w:hint="cs" w:ascii="Arial" w:hAnsi="Arial"/>
                <w:rtl/>
              </w:rPr>
              <w:t xml:space="preserve"> הנוגע לאפשרות החיוב במס</w:t>
            </w:r>
            <w:r w:rsidR="0041345A">
              <w:rPr>
                <w:rFonts w:hint="cs" w:ascii="Arial" w:hAnsi="Arial"/>
                <w:rtl/>
              </w:rPr>
              <w:t xml:space="preserve"> ולא ברמת </w:t>
            </w:r>
            <w:r w:rsidR="004C0794">
              <w:rPr>
                <w:rFonts w:hint="cs" w:ascii="Arial" w:hAnsi="Arial"/>
                <w:rtl/>
              </w:rPr>
              <w:t>הלך-רוחו של הנאשם בזמן אמת</w:t>
            </w:r>
            <w:r w:rsidR="0041345A">
              <w:rPr>
                <w:rFonts w:hint="cs" w:ascii="Arial" w:hAnsi="Arial"/>
                <w:rtl/>
              </w:rPr>
              <w:t xml:space="preserve">. בנסיבות אלה, לא בוסס </w:t>
            </w:r>
            <w:r w:rsidR="004C0794">
              <w:rPr>
                <w:rFonts w:hint="cs" w:ascii="Arial" w:hAnsi="Arial"/>
                <w:rtl/>
              </w:rPr>
              <w:t xml:space="preserve">הנדרש להפעלת "הלכת הצפיות" </w:t>
            </w:r>
            <w:r w:rsidRPr="00050021" w:rsidR="00AF6ACE">
              <w:rPr>
                <w:rFonts w:hint="cs" w:ascii="Arial" w:hAnsi="Arial"/>
                <w:rtl/>
              </w:rPr>
              <w:t xml:space="preserve">(השוו: ע"פ (י-ם) 31403-06-16 </w:t>
            </w:r>
            <w:r w:rsidRPr="00050021" w:rsidR="00AF6ACE">
              <w:rPr>
                <w:rFonts w:hint="cs" w:ascii="Arial" w:hAnsi="Arial"/>
                <w:b/>
                <w:bCs/>
                <w:rtl/>
              </w:rPr>
              <w:t>טרוה נ' מדינת ישראל</w:t>
            </w:r>
            <w:r w:rsidRPr="00050021" w:rsidR="00AF6ACE">
              <w:rPr>
                <w:rFonts w:hint="cs" w:ascii="Arial" w:hAnsi="Arial"/>
                <w:rtl/>
              </w:rPr>
              <w:t>, פס' 90 (28.2.17)).</w:t>
            </w:r>
          </w:p>
          <w:p w:rsidR="00AF6ACE" w:rsidP="005B705B" w:rsidRDefault="0041345A" w14:paraId="4BDC2438" w14:textId="77777777">
            <w:pPr>
              <w:pStyle w:val="ab"/>
              <w:numPr>
                <w:ilvl w:val="0"/>
                <w:numId w:val="7"/>
              </w:numPr>
              <w:spacing w:before="120" w:after="120" w:line="360" w:lineRule="auto"/>
              <w:contextualSpacing w:val="0"/>
              <w:jc w:val="both"/>
              <w:rPr>
                <w:rFonts w:ascii="Arial" w:hAnsi="Arial"/>
              </w:rPr>
            </w:pPr>
            <w:r>
              <w:rPr>
                <w:rFonts w:hint="cs" w:ascii="Arial" w:hAnsi="Arial"/>
                <w:rtl/>
              </w:rPr>
              <w:t>לצד העבירות לפי סעיף 220 לפקודת מס הכנסה יוחס</w:t>
            </w:r>
            <w:r w:rsidR="005B705B">
              <w:rPr>
                <w:rFonts w:hint="cs" w:ascii="Arial" w:hAnsi="Arial"/>
                <w:rtl/>
              </w:rPr>
              <w:t>ו</w:t>
            </w:r>
            <w:r>
              <w:rPr>
                <w:rFonts w:hint="cs" w:ascii="Arial" w:hAnsi="Arial"/>
                <w:rtl/>
              </w:rPr>
              <w:t xml:space="preserve"> לנאשם, באישום השני, </w:t>
            </w:r>
            <w:r w:rsidR="005B705B">
              <w:rPr>
                <w:rFonts w:hint="cs" w:ascii="Arial" w:hAnsi="Arial"/>
                <w:rtl/>
              </w:rPr>
              <w:t xml:space="preserve">שמונה </w:t>
            </w:r>
            <w:r>
              <w:rPr>
                <w:rFonts w:hint="cs" w:ascii="Arial" w:hAnsi="Arial"/>
                <w:rtl/>
              </w:rPr>
              <w:t>עביר</w:t>
            </w:r>
            <w:r w:rsidR="005B705B">
              <w:rPr>
                <w:rFonts w:hint="cs" w:ascii="Arial" w:hAnsi="Arial"/>
                <w:rtl/>
              </w:rPr>
              <w:t>ות</w:t>
            </w:r>
            <w:r>
              <w:rPr>
                <w:rFonts w:hint="cs" w:ascii="Arial" w:hAnsi="Arial"/>
                <w:rtl/>
              </w:rPr>
              <w:t xml:space="preserve"> נוספ</w:t>
            </w:r>
            <w:r w:rsidR="005B705B">
              <w:rPr>
                <w:rFonts w:hint="cs" w:ascii="Arial" w:hAnsi="Arial"/>
                <w:rtl/>
              </w:rPr>
              <w:t>ו</w:t>
            </w:r>
            <w:r>
              <w:rPr>
                <w:rFonts w:hint="cs" w:ascii="Arial" w:hAnsi="Arial"/>
                <w:rtl/>
              </w:rPr>
              <w:t>ת לפי סעיף 216(4) לפקודת מס הכנסה. ז</w:t>
            </w:r>
            <w:r w:rsidR="005B705B">
              <w:rPr>
                <w:rFonts w:hint="cs" w:ascii="Arial" w:hAnsi="Arial"/>
                <w:rtl/>
              </w:rPr>
              <w:t>ה</w:t>
            </w:r>
            <w:r>
              <w:rPr>
                <w:rFonts w:hint="cs" w:ascii="Arial" w:hAnsi="Arial"/>
                <w:rtl/>
              </w:rPr>
              <w:t xml:space="preserve"> עוסק ב"</w:t>
            </w:r>
            <w:r w:rsidRPr="0041345A">
              <w:rPr>
                <w:rFonts w:hint="cs" w:ascii="Arial" w:hAnsi="Arial" w:cs="FrankRuehl"/>
                <w:rtl/>
              </w:rPr>
              <w:t>אדם אשר בלא סיבה מספקת... לא הגיש במועדו דין וחשבון לפי הסעיפים 132 או 133</w:t>
            </w:r>
            <w:r>
              <w:rPr>
                <w:rFonts w:hint="cs" w:ascii="Arial" w:hAnsi="Arial"/>
                <w:rtl/>
              </w:rPr>
              <w:t xml:space="preserve">". </w:t>
            </w:r>
            <w:r w:rsidR="00B24989">
              <w:rPr>
                <w:rFonts w:hint="cs" w:ascii="Arial" w:hAnsi="Arial"/>
                <w:rtl/>
              </w:rPr>
              <w:t>היא יוחסה לנאשם בנוגע להימנעותו מהגשת דוחות באשר להכנסותיו האישיות</w:t>
            </w:r>
            <w:r w:rsidR="005B705B">
              <w:rPr>
                <w:rFonts w:hint="cs" w:ascii="Arial" w:hAnsi="Arial"/>
                <w:rtl/>
              </w:rPr>
              <w:t>, בשנים 2004-2011</w:t>
            </w:r>
            <w:r w:rsidR="00B24989">
              <w:rPr>
                <w:rFonts w:hint="cs" w:ascii="Arial" w:hAnsi="Arial"/>
                <w:rtl/>
              </w:rPr>
              <w:t>.</w:t>
            </w:r>
          </w:p>
          <w:p w:rsidR="005B705B" w:rsidP="009734CA" w:rsidRDefault="00000102" w14:paraId="576646CB" w14:textId="77777777">
            <w:pPr>
              <w:pStyle w:val="ab"/>
              <w:spacing w:before="120" w:after="120" w:line="360" w:lineRule="auto"/>
              <w:contextualSpacing w:val="0"/>
              <w:jc w:val="both"/>
              <w:rPr>
                <w:rFonts w:ascii="Arial" w:hAnsi="Arial"/>
                <w:rtl/>
              </w:rPr>
            </w:pPr>
            <w:r w:rsidRPr="00DC28FC">
              <w:rPr>
                <w:rFonts w:hint="cs" w:ascii="Arial" w:hAnsi="Arial"/>
                <w:rtl/>
              </w:rPr>
              <w:t xml:space="preserve">בסעיף 30 לסיכומיה, </w:t>
            </w:r>
            <w:r w:rsidR="0041345A">
              <w:rPr>
                <w:rFonts w:hint="cs" w:ascii="Arial" w:hAnsi="Arial"/>
                <w:rtl/>
              </w:rPr>
              <w:t xml:space="preserve">טענה ההגנה כי </w:t>
            </w:r>
            <w:r w:rsidRPr="00DC28FC">
              <w:rPr>
                <w:rFonts w:hint="cs" w:ascii="Arial" w:hAnsi="Arial"/>
                <w:rtl/>
              </w:rPr>
              <w:t xml:space="preserve">הנימוקים המאיינים את יסוד </w:t>
            </w:r>
            <w:r w:rsidR="009734CA">
              <w:rPr>
                <w:rFonts w:hint="cs" w:ascii="Arial" w:hAnsi="Arial"/>
                <w:rtl/>
              </w:rPr>
              <w:t xml:space="preserve">המטרה </w:t>
            </w:r>
            <w:r w:rsidRPr="00DC28FC">
              <w:rPr>
                <w:rFonts w:hint="cs" w:ascii="Arial" w:hAnsi="Arial"/>
                <w:rtl/>
              </w:rPr>
              <w:t xml:space="preserve">ובראשם מצבו הרפואי של הנאשם ומצבו הכלכלי צריכים להביא גם לזיכוי מעבירה זו. זאת לא אוכל לקבל. להבדיל מקודמתה, העבירה </w:t>
            </w:r>
            <w:r w:rsidR="0041345A">
              <w:rPr>
                <w:rFonts w:hint="cs" w:ascii="Arial" w:hAnsi="Arial"/>
                <w:rtl/>
              </w:rPr>
              <w:t xml:space="preserve">לפי סעיף 216(4) </w:t>
            </w:r>
            <w:r w:rsidRPr="00DC28FC">
              <w:rPr>
                <w:rFonts w:hint="cs" w:ascii="Arial" w:hAnsi="Arial"/>
                <w:rtl/>
              </w:rPr>
              <w:t xml:space="preserve">אינה דורשת יסוד נפשי חפצי. </w:t>
            </w:r>
            <w:r w:rsidR="00B24989">
              <w:rPr>
                <w:rFonts w:hint="cs" w:ascii="Arial" w:hAnsi="Arial"/>
                <w:rtl/>
              </w:rPr>
              <w:t>הנאשם הודה כי לא הגיש את הדוחות בדבר הכנסותיו האישיות במועד, או בכלל</w:t>
            </w:r>
            <w:r w:rsidR="005B705B">
              <w:rPr>
                <w:rFonts w:hint="cs" w:ascii="Arial" w:hAnsi="Arial"/>
                <w:rtl/>
              </w:rPr>
              <w:t>, לאורך השנים הנדונות כאן</w:t>
            </w:r>
            <w:r w:rsidR="00B24989">
              <w:rPr>
                <w:rFonts w:hint="cs" w:ascii="Arial" w:hAnsi="Arial"/>
                <w:rtl/>
              </w:rPr>
              <w:t xml:space="preserve">. </w:t>
            </w:r>
          </w:p>
          <w:p w:rsidR="00401EFA" w:rsidP="009734CA" w:rsidRDefault="00B24989" w14:paraId="09B6BA68" w14:textId="77777777">
            <w:pPr>
              <w:pStyle w:val="ab"/>
              <w:spacing w:before="120" w:after="120" w:line="360" w:lineRule="auto"/>
              <w:contextualSpacing w:val="0"/>
              <w:jc w:val="both"/>
              <w:rPr>
                <w:rFonts w:ascii="Arial" w:hAnsi="Arial"/>
                <w:rtl/>
              </w:rPr>
            </w:pPr>
            <w:r>
              <w:rPr>
                <w:rFonts w:hint="cs" w:ascii="Arial" w:hAnsi="Arial"/>
                <w:rtl/>
              </w:rPr>
              <w:t xml:space="preserve">התיבה "סיבה מספקת" </w:t>
            </w:r>
            <w:r w:rsidR="00F72AE3">
              <w:rPr>
                <w:rFonts w:hint="cs" w:ascii="Arial" w:hAnsi="Arial"/>
                <w:rtl/>
              </w:rPr>
              <w:t xml:space="preserve">שבסעיף 216 </w:t>
            </w:r>
            <w:r>
              <w:rPr>
                <w:rFonts w:hint="cs" w:ascii="Arial" w:hAnsi="Arial"/>
                <w:rtl/>
              </w:rPr>
              <w:t xml:space="preserve">מגלמת מבחן אובייקטיבי שעניינה בשאלה כיצד היה נוהג נישום סביר בנסיבות העניין (מ"ח 2088/14 </w:t>
            </w:r>
            <w:r w:rsidRPr="00B24989">
              <w:rPr>
                <w:rFonts w:hint="cs" w:ascii="Arial" w:hAnsi="Arial"/>
                <w:b/>
                <w:bCs/>
                <w:rtl/>
              </w:rPr>
              <w:t>רז נ' מדינת ישראל</w:t>
            </w:r>
            <w:r>
              <w:rPr>
                <w:rFonts w:hint="cs" w:ascii="Arial" w:hAnsi="Arial"/>
                <w:rtl/>
              </w:rPr>
              <w:t xml:space="preserve"> (20.8.14); </w:t>
            </w:r>
            <w:r w:rsidR="00EF2CC9">
              <w:rPr>
                <w:rFonts w:hint="cs" w:ascii="Arial" w:hAnsi="Arial"/>
                <w:rtl/>
              </w:rPr>
              <w:t xml:space="preserve">רע"פ 26/97 </w:t>
            </w:r>
            <w:r w:rsidRPr="005B705B" w:rsidR="00EF2CC9">
              <w:rPr>
                <w:rFonts w:hint="cs" w:ascii="Arial" w:hAnsi="Arial"/>
                <w:b/>
                <w:bCs/>
                <w:rtl/>
              </w:rPr>
              <w:t>לקס נ' מדינת ישראל</w:t>
            </w:r>
            <w:r w:rsidR="00EF2CC9">
              <w:rPr>
                <w:rFonts w:hint="cs" w:ascii="Arial" w:hAnsi="Arial"/>
                <w:rtl/>
              </w:rPr>
              <w:t>, פיס' 9 לפסק דינה של השופטת דאז ביניש (22.6.98)</w:t>
            </w:r>
            <w:r w:rsidR="00F72AE3">
              <w:rPr>
                <w:rFonts w:hint="cs" w:ascii="Arial" w:hAnsi="Arial"/>
                <w:rtl/>
              </w:rPr>
              <w:t>. בע</w:t>
            </w:r>
            <w:r w:rsidR="009734CA">
              <w:rPr>
                <w:rFonts w:hint="cs" w:ascii="Arial" w:hAnsi="Arial"/>
                <w:rtl/>
              </w:rPr>
              <w:t xml:space="preserve">ניין </w:t>
            </w:r>
            <w:r w:rsidRPr="009734CA" w:rsidR="009734CA">
              <w:rPr>
                <w:rFonts w:hint="cs" w:ascii="Arial" w:hAnsi="Arial"/>
                <w:b/>
                <w:bCs/>
                <w:rtl/>
              </w:rPr>
              <w:t>לקס</w:t>
            </w:r>
            <w:r w:rsidR="009734CA">
              <w:rPr>
                <w:rFonts w:hint="cs" w:ascii="Arial" w:hAnsi="Arial"/>
                <w:rtl/>
              </w:rPr>
              <w:t xml:space="preserve"> </w:t>
            </w:r>
            <w:r w:rsidR="00EF2CC9">
              <w:rPr>
                <w:rFonts w:hint="cs" w:ascii="Arial" w:hAnsi="Arial"/>
                <w:rtl/>
              </w:rPr>
              <w:t>נקבע כי מדובר ב"</w:t>
            </w:r>
            <w:r w:rsidRPr="00EF2CC9" w:rsidR="00EF2CC9">
              <w:rPr>
                <w:rFonts w:hint="cs" w:ascii="Arial" w:hAnsi="Arial" w:cs="FrankRuehl"/>
                <w:rtl/>
              </w:rPr>
              <w:t>סטנדרט ההתנהגות הנדרש מן הנאשם</w:t>
            </w:r>
            <w:r w:rsidRPr="00EF2CC9" w:rsidR="00EF2CC9">
              <w:rPr>
                <w:rFonts w:hint="cs" w:ascii="Arial" w:hAnsi="Arial"/>
                <w:rtl/>
              </w:rPr>
              <w:t>"</w:t>
            </w:r>
            <w:r w:rsidR="009734CA">
              <w:rPr>
                <w:rFonts w:hint="cs" w:ascii="Arial" w:hAnsi="Arial"/>
                <w:rtl/>
              </w:rPr>
              <w:t xml:space="preserve"> (שם</w:t>
            </w:r>
            <w:r w:rsidRPr="00EF2CC9" w:rsidR="00EF2CC9">
              <w:rPr>
                <w:rFonts w:hint="cs" w:ascii="Arial" w:hAnsi="Arial"/>
                <w:rtl/>
              </w:rPr>
              <w:t>).</w:t>
            </w:r>
            <w:r w:rsidR="00EF2CC9">
              <w:rPr>
                <w:rFonts w:hint="cs" w:ascii="Arial" w:hAnsi="Arial"/>
                <w:b/>
                <w:bCs/>
                <w:rtl/>
              </w:rPr>
              <w:t xml:space="preserve"> </w:t>
            </w:r>
            <w:r w:rsidRPr="00EF2CC9" w:rsidR="00EF2CC9">
              <w:rPr>
                <w:rFonts w:hint="cs" w:ascii="Arial" w:hAnsi="Arial"/>
                <w:rtl/>
              </w:rPr>
              <w:t xml:space="preserve">להבדיל מן השאלה האם התנהלותו של </w:t>
            </w:r>
            <w:r w:rsidRPr="00EF2CC9" w:rsidR="00EF2CC9">
              <w:rPr>
                <w:rFonts w:hint="cs" w:ascii="Arial" w:hAnsi="Arial"/>
                <w:rtl/>
              </w:rPr>
              <w:lastRenderedPageBreak/>
              <w:t xml:space="preserve">הנאשם גילמה </w:t>
            </w:r>
            <w:r w:rsidR="009734CA">
              <w:rPr>
                <w:rFonts w:hint="cs" w:ascii="Arial" w:hAnsi="Arial"/>
                <w:rtl/>
              </w:rPr>
              <w:t xml:space="preserve">מטרה </w:t>
            </w:r>
            <w:r w:rsidRPr="00EF2CC9" w:rsidR="00EF2CC9">
              <w:rPr>
                <w:rFonts w:hint="cs" w:ascii="Arial" w:hAnsi="Arial"/>
                <w:rtl/>
              </w:rPr>
              <w:t xml:space="preserve">להתחמק ממס, שהיא שאלה סובייקטיבית וחפצית, </w:t>
            </w:r>
            <w:r w:rsidR="005B705B">
              <w:rPr>
                <w:rFonts w:hint="cs" w:ascii="Arial" w:hAnsi="Arial"/>
                <w:rtl/>
              </w:rPr>
              <w:t>הרי ש</w:t>
            </w:r>
            <w:r w:rsidRPr="00EF2CC9" w:rsidR="00EF2CC9">
              <w:rPr>
                <w:rFonts w:hint="cs" w:ascii="Arial" w:hAnsi="Arial"/>
                <w:rtl/>
              </w:rPr>
              <w:t xml:space="preserve">התנהלות של הימנעות מהגשת דוחות במועד או בכלל, לאורך שנים, </w:t>
            </w:r>
            <w:r w:rsidR="005B705B">
              <w:rPr>
                <w:rFonts w:hint="cs" w:ascii="Arial" w:hAnsi="Arial"/>
                <w:rtl/>
              </w:rPr>
              <w:t xml:space="preserve">לא </w:t>
            </w:r>
            <w:r w:rsidRPr="00EF2CC9" w:rsidR="00EF2CC9">
              <w:rPr>
                <w:rFonts w:hint="cs" w:ascii="Arial" w:hAnsi="Arial"/>
                <w:rtl/>
              </w:rPr>
              <w:t>יכולה להיחשב כהתנהלותו של הנישום הסביר</w:t>
            </w:r>
            <w:r w:rsidR="00EF2CC9">
              <w:rPr>
                <w:rFonts w:hint="cs" w:ascii="Arial" w:hAnsi="Arial"/>
                <w:rtl/>
              </w:rPr>
              <w:t xml:space="preserve"> או לעלות כדי סטנדרט הה</w:t>
            </w:r>
            <w:r w:rsidR="005B705B">
              <w:rPr>
                <w:rFonts w:hint="cs" w:ascii="Arial" w:hAnsi="Arial"/>
                <w:rtl/>
              </w:rPr>
              <w:t>תנהגות ההולם</w:t>
            </w:r>
            <w:r w:rsidR="00EF2CC9">
              <w:rPr>
                <w:rFonts w:hint="cs" w:ascii="Arial" w:hAnsi="Arial"/>
                <w:rtl/>
              </w:rPr>
              <w:t xml:space="preserve">. זאת, </w:t>
            </w:r>
            <w:r w:rsidRPr="00EF2CC9" w:rsidR="00EF2CC9">
              <w:rPr>
                <w:rFonts w:hint="cs" w:ascii="Arial" w:hAnsi="Arial"/>
                <w:rtl/>
              </w:rPr>
              <w:t>גם בהתחשב במצבו העדין של הנאשם וביתר השיקולים שפורטו לעיל</w:t>
            </w:r>
            <w:r w:rsidR="005B705B">
              <w:rPr>
                <w:rFonts w:hint="cs" w:ascii="Arial" w:hAnsi="Arial"/>
                <w:rtl/>
              </w:rPr>
              <w:t xml:space="preserve"> כבסיס </w:t>
            </w:r>
            <w:r w:rsidR="009734CA">
              <w:rPr>
                <w:rFonts w:hint="cs" w:ascii="Arial" w:hAnsi="Arial"/>
                <w:rtl/>
              </w:rPr>
              <w:t xml:space="preserve">לקיומו </w:t>
            </w:r>
            <w:r w:rsidR="005B705B">
              <w:rPr>
                <w:rFonts w:hint="cs" w:ascii="Arial" w:hAnsi="Arial"/>
                <w:rtl/>
              </w:rPr>
              <w:t xml:space="preserve">של ספק בשאלת </w:t>
            </w:r>
            <w:r w:rsidR="009734CA">
              <w:rPr>
                <w:rFonts w:hint="cs" w:ascii="Arial" w:hAnsi="Arial"/>
                <w:rtl/>
              </w:rPr>
              <w:t xml:space="preserve">המטרה </w:t>
            </w:r>
            <w:r w:rsidR="005B705B">
              <w:rPr>
                <w:rFonts w:hint="cs" w:ascii="Arial" w:hAnsi="Arial"/>
                <w:rtl/>
              </w:rPr>
              <w:t xml:space="preserve"> הסובייקטיבית</w:t>
            </w:r>
            <w:r w:rsidRPr="00EF2CC9" w:rsidR="00EF2CC9">
              <w:rPr>
                <w:rFonts w:hint="cs" w:ascii="Arial" w:hAnsi="Arial"/>
                <w:rtl/>
              </w:rPr>
              <w:t xml:space="preserve">. </w:t>
            </w:r>
          </w:p>
          <w:p w:rsidRPr="00EF2CC9" w:rsidR="005B705B" w:rsidP="009734CA" w:rsidRDefault="005B705B" w14:paraId="4219E765" w14:textId="77777777">
            <w:pPr>
              <w:pStyle w:val="ab"/>
              <w:spacing w:before="120" w:after="120" w:line="360" w:lineRule="auto"/>
              <w:contextualSpacing w:val="0"/>
              <w:jc w:val="both"/>
              <w:rPr>
                <w:rFonts w:ascii="Arial" w:hAnsi="Arial"/>
                <w:rtl/>
              </w:rPr>
            </w:pPr>
            <w:r>
              <w:rPr>
                <w:rFonts w:hint="cs" w:ascii="Arial" w:hAnsi="Arial"/>
                <w:rtl/>
              </w:rPr>
              <w:t xml:space="preserve">ההימנעות מהגשת דו"ח בכל אחת מהשנים הנדונות כאן מהווה עבירה עצמאית. לכן, </w:t>
            </w:r>
            <w:r w:rsidR="009734CA">
              <w:rPr>
                <w:rFonts w:hint="cs" w:ascii="Arial" w:hAnsi="Arial"/>
                <w:rtl/>
              </w:rPr>
              <w:t xml:space="preserve">יש להרשיע את </w:t>
            </w:r>
            <w:r>
              <w:rPr>
                <w:rFonts w:hint="cs" w:ascii="Arial" w:hAnsi="Arial"/>
                <w:rtl/>
              </w:rPr>
              <w:t xml:space="preserve">הנאשם 1 בשמונה עבירות לפי סעיף 216(4) לפקודת מס הכנסה. </w:t>
            </w:r>
          </w:p>
          <w:p w:rsidRPr="00DC28FC" w:rsidR="00240C86" w:rsidP="00E871E4" w:rsidRDefault="00240C86" w14:paraId="76CEEFB2" w14:textId="77777777">
            <w:pPr>
              <w:spacing w:after="120"/>
              <w:jc w:val="both"/>
              <w:rPr>
                <w:rFonts w:ascii="Arial" w:hAnsi="Arial"/>
                <w:rtl/>
              </w:rPr>
            </w:pPr>
          </w:p>
          <w:p w:rsidRPr="00294C35" w:rsidR="00BE2D85" w:rsidP="00633DA7" w:rsidRDefault="00294C35" w14:paraId="7BCE6FFA" w14:textId="77777777">
            <w:pPr>
              <w:spacing w:before="120" w:after="120" w:line="360" w:lineRule="auto"/>
              <w:jc w:val="both"/>
              <w:rPr>
                <w:rFonts w:ascii="Arial" w:hAnsi="Arial"/>
                <w:b/>
                <w:bCs/>
              </w:rPr>
            </w:pPr>
            <w:r w:rsidRPr="00294C35">
              <w:rPr>
                <w:rFonts w:hint="cs" w:ascii="Arial" w:hAnsi="Arial"/>
                <w:b/>
                <w:bCs/>
                <w:rtl/>
              </w:rPr>
              <w:t>הכרעה</w:t>
            </w:r>
            <w:r>
              <w:rPr>
                <w:rFonts w:hint="cs" w:ascii="Arial" w:hAnsi="Arial"/>
                <w:b/>
                <w:bCs/>
                <w:rtl/>
              </w:rPr>
              <w:t xml:space="preserve"> </w:t>
            </w:r>
          </w:p>
          <w:p w:rsidR="0047289B" w:rsidP="00DC28FC" w:rsidRDefault="00294C35" w14:paraId="39AAD4D0" w14:textId="77777777">
            <w:pPr>
              <w:pStyle w:val="ab"/>
              <w:numPr>
                <w:ilvl w:val="0"/>
                <w:numId w:val="7"/>
              </w:numPr>
              <w:spacing w:before="120" w:after="120" w:line="360" w:lineRule="auto"/>
              <w:contextualSpacing w:val="0"/>
              <w:jc w:val="both"/>
              <w:rPr>
                <w:rFonts w:ascii="Arial" w:hAnsi="Arial"/>
              </w:rPr>
            </w:pPr>
            <w:r>
              <w:rPr>
                <w:rFonts w:hint="cs" w:ascii="Arial" w:hAnsi="Arial"/>
                <w:rtl/>
              </w:rPr>
              <w:t xml:space="preserve">הנאשמים מזוכים מן העבירות שיוחסו להם לפי סעיף 220(1) ו-220(5) לפקודת מס הכנסה. </w:t>
            </w:r>
          </w:p>
          <w:p w:rsidR="00294C35" w:rsidP="0036124A" w:rsidRDefault="00633DA7" w14:paraId="69B3074D" w14:textId="79DEDE57">
            <w:pPr>
              <w:pStyle w:val="ab"/>
              <w:numPr>
                <w:ilvl w:val="0"/>
                <w:numId w:val="7"/>
              </w:numPr>
              <w:spacing w:before="120" w:after="120" w:line="360" w:lineRule="auto"/>
              <w:contextualSpacing w:val="0"/>
              <w:jc w:val="both"/>
              <w:rPr>
                <w:rFonts w:ascii="Arial" w:hAnsi="Arial"/>
              </w:rPr>
            </w:pPr>
            <w:r>
              <w:rPr>
                <w:rFonts w:hint="cs" w:ascii="Arial" w:hAnsi="Arial"/>
                <w:rtl/>
              </w:rPr>
              <w:t xml:space="preserve">הנאשם </w:t>
            </w:r>
            <w:r w:rsidR="00CE5D0E">
              <w:rPr>
                <w:rFonts w:hint="cs" w:ascii="Arial" w:hAnsi="Arial"/>
                <w:rtl/>
              </w:rPr>
              <w:t xml:space="preserve">1 </w:t>
            </w:r>
            <w:r>
              <w:rPr>
                <w:rFonts w:hint="cs" w:ascii="Arial" w:hAnsi="Arial"/>
                <w:rtl/>
              </w:rPr>
              <w:t xml:space="preserve">מורשע בשמונה עבירות של אי קיום דרישות מסוימות לפי סעיף 216(4) לפקודת מס הכנסה. זאת, בנוסף להרשעתו בהכרעת הדין </w:t>
            </w:r>
            <w:r w:rsidR="0036124A">
              <w:rPr>
                <w:rFonts w:hint="cs" w:ascii="Arial" w:hAnsi="Arial"/>
                <w:rtl/>
              </w:rPr>
              <w:t>ב</w:t>
            </w:r>
            <w:r>
              <w:rPr>
                <w:rFonts w:hint="cs" w:ascii="Arial" w:hAnsi="Arial"/>
                <w:rtl/>
              </w:rPr>
              <w:t xml:space="preserve">אישום הראשון בעבירה של </w:t>
            </w:r>
            <w:r w:rsidRPr="00DC28FC">
              <w:rPr>
                <w:rFonts w:hint="cs" w:ascii="Arial" w:hAnsi="Arial"/>
                <w:rtl/>
              </w:rPr>
              <w:t>החזקת טובין שסומנו בלא רשות</w:t>
            </w:r>
            <w:r>
              <w:rPr>
                <w:rFonts w:hint="cs" w:ascii="Arial" w:hAnsi="Arial"/>
                <w:rtl/>
              </w:rPr>
              <w:t>, לפי סעיף 60(א)(4) לפקודת ס</w:t>
            </w:r>
            <w:bookmarkStart w:name="_GoBack" w:id="0"/>
            <w:bookmarkEnd w:id="0"/>
            <w:r>
              <w:rPr>
                <w:rFonts w:hint="cs" w:ascii="Arial" w:hAnsi="Arial"/>
                <w:rtl/>
              </w:rPr>
              <w:t>ימני המסחר [נוסח חדש], התשל"ב-1972.</w:t>
            </w:r>
          </w:p>
          <w:p w:rsidR="00633DA7" w:rsidP="00E871E4" w:rsidRDefault="00CE5D0E" w14:paraId="142C09B7" w14:textId="2994CE4E">
            <w:pPr>
              <w:pStyle w:val="ab"/>
              <w:numPr>
                <w:ilvl w:val="0"/>
                <w:numId w:val="7"/>
              </w:numPr>
              <w:spacing w:before="120" w:after="120" w:line="360" w:lineRule="auto"/>
              <w:contextualSpacing w:val="0"/>
              <w:jc w:val="both"/>
              <w:rPr>
                <w:rFonts w:ascii="Arial" w:hAnsi="Arial"/>
              </w:rPr>
            </w:pPr>
            <w:r>
              <w:rPr>
                <w:rFonts w:hint="cs" w:ascii="Arial" w:hAnsi="Arial"/>
                <w:rtl/>
              </w:rPr>
              <w:t xml:space="preserve">כפי שנקבע מראש, </w:t>
            </w:r>
            <w:r w:rsidRPr="00E871E4" w:rsidR="00633DA7">
              <w:rPr>
                <w:rFonts w:hint="cs" w:ascii="Arial" w:hAnsi="Arial"/>
                <w:b/>
                <w:bCs/>
                <w:rtl/>
              </w:rPr>
              <w:t>טיעון לעונש יישמע ביום 18.4.18 בשעה 13:00.</w:t>
            </w:r>
            <w:r w:rsidR="00633DA7">
              <w:rPr>
                <w:rFonts w:hint="cs" w:ascii="Arial" w:hAnsi="Arial"/>
                <w:rtl/>
              </w:rPr>
              <w:t xml:space="preserve"> אם ברצון מי מהצדדים לבקש </w:t>
            </w:r>
            <w:r w:rsidR="00E871E4">
              <w:rPr>
                <w:rFonts w:hint="cs" w:ascii="Arial" w:hAnsi="Arial"/>
                <w:rtl/>
              </w:rPr>
              <w:t>הפניה</w:t>
            </w:r>
            <w:r w:rsidR="00633DA7">
              <w:rPr>
                <w:rFonts w:hint="cs" w:ascii="Arial" w:hAnsi="Arial"/>
                <w:rtl/>
              </w:rPr>
              <w:t xml:space="preserve"> לשירות המבחן או לממונה על עבודות השירות, יגיש בקשה מתאימה לאלתר.</w:t>
            </w:r>
          </w:p>
          <w:p w:rsidRPr="00DC28FC" w:rsidR="00633DA7" w:rsidP="00076F66" w:rsidRDefault="00633DA7" w14:paraId="787D64CE" w14:textId="787A315E">
            <w:pPr>
              <w:pStyle w:val="ab"/>
              <w:numPr>
                <w:ilvl w:val="0"/>
                <w:numId w:val="7"/>
              </w:numPr>
              <w:spacing w:before="120" w:after="120" w:line="360" w:lineRule="auto"/>
              <w:contextualSpacing w:val="0"/>
              <w:jc w:val="both"/>
              <w:rPr>
                <w:rFonts w:ascii="Arial" w:hAnsi="Arial"/>
                <w:rtl/>
              </w:rPr>
            </w:pPr>
            <w:r w:rsidRPr="00076F66">
              <w:rPr>
                <w:rFonts w:hint="cs" w:ascii="Arial" w:hAnsi="Arial"/>
                <w:rtl/>
              </w:rPr>
              <w:t>בהסכמתם</w:t>
            </w:r>
            <w:r w:rsidRPr="00076F66" w:rsidR="00076F66">
              <w:rPr>
                <w:rFonts w:hint="cs" w:ascii="Arial" w:hAnsi="Arial"/>
                <w:rtl/>
              </w:rPr>
              <w:t xml:space="preserve"> (החלטה מיום 2.4.18, לה לא התקבלו תגובות)</w:t>
            </w:r>
            <w:r w:rsidRPr="00076F66">
              <w:rPr>
                <w:rFonts w:hint="cs" w:ascii="Arial" w:hAnsi="Arial"/>
                <w:rtl/>
              </w:rPr>
              <w:t>, ניתנת הכרעת הדין ללא דיון במעמד הצדדים. המזכירות תשלח אליהם עותק.</w:t>
            </w:r>
          </w:p>
        </w:tc>
      </w:tr>
    </w:tbl>
    <w:p w:rsidR="00870F64" w:rsidRDefault="00870F64" w14:paraId="52D5FC0E" w14:textId="77777777">
      <w:pPr>
        <w:rPr>
          <w:rFonts w:ascii="Arial" w:hAnsi="Arial" w:cs="FrankRuehl"/>
          <w:sz w:val="28"/>
          <w:szCs w:val="28"/>
          <w:rtl/>
        </w:rPr>
      </w:pPr>
    </w:p>
    <w:p w:rsidRPr="00B949CB" w:rsidR="00870F64" w:rsidP="00E871E4" w:rsidRDefault="0051562C" w14:paraId="76337ED9" w14:textId="18188D11">
      <w:pPr>
        <w:rPr>
          <w:rFonts w:ascii="Arial" w:hAnsi="Arial"/>
          <w:rtl/>
        </w:rPr>
      </w:pPr>
      <w:r w:rsidRPr="00B949CB">
        <w:rPr>
          <w:rFonts w:ascii="Arial" w:hAnsi="Arial"/>
          <w:rtl/>
        </w:rPr>
        <w:t xml:space="preserve">ניתנה </w:t>
      </w:r>
      <w:r w:rsidRPr="00B949CB" w:rsidR="0020644E">
        <w:rPr>
          <w:rFonts w:hint="cs" w:ascii="Arial" w:hAnsi="Arial"/>
          <w:rtl/>
        </w:rPr>
        <w:t xml:space="preserve">היום, </w:t>
      </w:r>
      <w:sdt>
        <w:sdtPr>
          <w:rPr>
            <w:rtl/>
          </w:rPr>
          <w:alias w:val="1455"/>
          <w:tag w:val="1455"/>
          <w:id w:val="-1984149291"/>
          <w:text w:multiLine="1"/>
        </w:sdtPr>
        <w:sdtEndPr/>
        <w:sdtContent>
          <w:r>
            <w:rPr>
              <w:rFonts w:hint="cs" w:ascii="Arial" w:hAnsi="Arial"/>
              <w:rtl/>
            </w:rPr>
            <w:t>כ"ד ניסן תשע"ח</w:t>
          </w:r>
        </w:sdtContent>
      </w:sdt>
      <w:r w:rsidRPr="00B949CB">
        <w:rPr>
          <w:rFonts w:ascii="Arial" w:hAnsi="Arial"/>
          <w:rtl/>
        </w:rPr>
        <w:t xml:space="preserve">, </w:t>
      </w:r>
      <w:sdt>
        <w:sdtPr>
          <w:rPr>
            <w:rtl/>
          </w:rPr>
          <w:alias w:val="1456"/>
          <w:tag w:val="1456"/>
          <w:id w:val="1681311558"/>
          <w:text w:multiLine="1"/>
        </w:sdtPr>
        <w:sdtEndPr/>
        <w:sdtContent>
          <w:r>
            <w:rPr>
              <w:rFonts w:ascii="Arial" w:hAnsi="Arial"/>
              <w:rtl/>
            </w:rPr>
            <w:t>09 אפריל 2018</w:t>
          </w:r>
        </w:sdtContent>
      </w:sdt>
      <w:r w:rsidR="00E871E4">
        <w:rPr>
          <w:rFonts w:hint="cs" w:ascii="Arial" w:hAnsi="Arial"/>
          <w:rtl/>
        </w:rPr>
        <w:t>.</w:t>
      </w:r>
    </w:p>
    <w:p w:rsidR="00AE60C8" w:rsidP="00AE60C8" w:rsidRDefault="00AE60C8" w14:paraId="0E84C425" w14:textId="4759F2D2">
      <w:pPr>
        <w:tabs>
          <w:tab w:val="left" w:pos="1625"/>
        </w:tabs>
        <w:jc w:val="center"/>
        <w:rPr>
          <w:rtl/>
        </w:rPr>
      </w:pPr>
      <w:r>
        <w:rPr>
          <w:rFonts w:hint="cs"/>
          <w:rtl/>
        </w:rPr>
        <w:t xml:space="preserve">                               </w:t>
      </w:r>
    </w:p>
    <w:p w:rsidR="00AE60C8" w:rsidP="00AE60C8" w:rsidRDefault="00AE60C8" w14:paraId="16656DE6" w14:textId="77777777">
      <w:pPr>
        <w:tabs>
          <w:tab w:val="left" w:pos="1625"/>
        </w:tabs>
        <w:jc w:val="center"/>
        <w:rPr>
          <w:rtl/>
        </w:rPr>
      </w:pPr>
    </w:p>
    <w:sdt>
      <w:sdtPr>
        <w:rPr>
          <w:rFonts w:hint="cs"/>
          <w:rtl/>
        </w:rPr>
        <w:alias w:val="2045"/>
        <w:tag w:val="2045"/>
        <w:id w:val="-1890333271"/>
        <w:placeholder>
          <w:docPart w:val="5A947A4CD3794C1787DFBDB7708A0078"/>
        </w:placeholder>
        <w:showingPlcHdr/>
        <w:text w:multiLine="1"/>
      </w:sdtPr>
      <w:sdtEndPr/>
      <w:sdtContent>
        <w:p w:rsidR="00AE60C8" w:rsidP="00AE60C8" w:rsidRDefault="00AE60C8" w14:paraId="4C35DBB5" w14:textId="77777777">
          <w:pPr>
            <w:tabs>
              <w:tab w:val="left" w:pos="1625"/>
            </w:tabs>
            <w:jc w:val="center"/>
          </w:pPr>
          <w:r>
            <w:rPr>
              <w:rFonts w:hint="cs"/>
              <w:rtl/>
            </w:rPr>
            <w:t xml:space="preserve">    </w:t>
          </w:r>
        </w:p>
      </w:sdtContent>
    </w:sdt>
    <w:p w:rsidR="00A5454F" w:rsidP="00F718AF" w:rsidRDefault="00F718AF" w14:paraId="493A8FB6" w14:textId="77777777">
      <w:pPr>
        <w:tabs>
          <w:tab w:val="left" w:pos="2553"/>
        </w:tabs>
        <w:rPr>
          <w:rFonts w:ascii="Arial" w:hAnsi="Arial"/>
        </w:rPr>
      </w:pPr>
      <w:r>
        <w:rPr>
          <w:rFonts w:hint="cs"/>
          <w:rtl/>
        </w:rPr>
        <w:t xml:space="preserve">                                                                </w:t>
      </w:r>
      <w:sdt>
        <w:sdtPr>
          <w:alias w:val="MergeField"/>
          <w:tag w:val="1237"/>
        </w:sdtPr>
        <w:sdtContent>
          <w:p>
            <w:r>
              <w:drawing>
                <wp:inline distT="0" distB="0" distL="0" distR="0" wp14:editId="50D07946">
                  <wp:extent cx="1104900"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69c7c31aa814312" cstate="print">
                            <a:extLst>
                              <a:ext uri="{28A0092B-C50C-407E-A947-70E740481C1C}"/>
                            </a:extLst>
                          </a:blip>
                          <a:stretch>
                            <a:fillRect/>
                          </a:stretch>
                        </pic:blipFill>
                        <pic:spPr>
                          <a:xfrm>
                            <a:off x="0" y="0"/>
                            <a:ext cx="1104900" cy="1076325"/>
                          </a:xfrm>
                          <a:prstGeom prst="rect">
                            <a:avLst/>
                          </a:prstGeom>
                        </pic:spPr>
                      </pic:pic>
                    </a:graphicData>
                  </a:graphic>
                </wp:inline>
              </w:drawing>
            </w:r>
          </w:p>
        </w:sdtContent>
      </w:sdt>
    </w:p>
    <w:p w:rsidR="00A5454F" w:rsidP="00AE60C8" w:rsidRDefault="00A5454F" w14:paraId="66A8149A" w14:textId="77777777">
      <w:pPr>
        <w:tabs>
          <w:tab w:val="left" w:pos="1625"/>
        </w:tabs>
        <w:jc w:val="center"/>
        <w:rPr>
          <w:rtl/>
        </w:rPr>
      </w:pPr>
    </w:p>
    <w:sectPr w:rsidR="00A5454F" w:rsidSect="00870F64">
      <w:headerReference w:type="default" r:id="rId11"/>
      <w:footerReference w:type="default" r:id="rId12"/>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14:paraId="47DE7582" w14:textId="77777777">
      <w:r>
        <w:separator/>
      </w:r>
    </w:p>
  </w:endnote>
  <w:endnote w:type="continuationSeparator" w:id="0">
    <w:p w:rsidR="00870F64" w:rsidRDefault="0051562C" w14:paraId="36044C8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14:paraId="3DDB30E4" w14:textId="2B3BF99E">
    <w:pPr>
      <w:pStyle w:val="a4"/>
      <w:jc w:val="center"/>
    </w:pPr>
    <w:r>
      <w:fldChar w:fldCharType="begin"/>
    </w:r>
    <w:r w:rsidR="0051562C">
      <w:instrText xml:space="preserve"> PAGE </w:instrText>
    </w:r>
    <w:r>
      <w:fldChar w:fldCharType="separate"/>
    </w:r>
    <w:r w:rsidR="00792830">
      <w:rPr>
        <w:noProof/>
        <w:rtl/>
      </w:rPr>
      <w:t>14</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792830">
      <w:rPr>
        <w:noProof/>
        <w:rtl/>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14:paraId="47424980" w14:textId="77777777">
      <w:r>
        <w:separator/>
      </w:r>
    </w:p>
  </w:footnote>
  <w:footnote w:type="continuationSeparator" w:id="0">
    <w:p w:rsidR="00870F64" w:rsidRDefault="0051562C" w14:paraId="11B4AA95" w14:textId="77777777">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792830" w14:paraId="2D8347C7" w14:textId="77777777">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663B46B3" wp14:editId="0B1426B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870F64" w14:paraId="6C92E7CF" w14:textId="77777777">
      <w:trPr>
        <w:trHeight w:val="418" w:hRule="exact"/>
        <w:jc w:val="center"/>
      </w:trPr>
      <w:sdt>
        <w:sdtPr>
          <w:rPr>
            <w:rtl/>
          </w:rPr>
          <w:alias w:val="1174"/>
          <w:tag w:val="1174"/>
          <w:id w:val="1928299766"/>
          <w:text/>
        </w:sdtPr>
        <w:sdtEndPr/>
        <w:sdtContent>
          <w:tc>
            <w:tcPr>
              <w:tcW w:w="8721" w:type="dxa"/>
              <w:gridSpan w:val="2"/>
            </w:tcPr>
            <w:p w:rsidR="00870F64" w:rsidRDefault="0051562C" w14:paraId="206562FB" w14:textId="77777777">
              <w:pPr>
                <w:pStyle w:val="a3"/>
                <w:jc w:val="center"/>
                <w:rPr>
                  <w:rFonts w:ascii="Tahoma" w:hAnsi="Tahoma" w:cs="Tahoma"/>
                  <w:color w:val="000080"/>
                  <w:rtl/>
                </w:rPr>
              </w:pPr>
              <w:r>
                <w:rPr>
                  <w:rFonts w:ascii="Tahoma" w:hAnsi="Tahoma" w:cs="Tahoma"/>
                  <w:b/>
                  <w:bCs/>
                  <w:color w:val="000080"/>
                  <w:rtl/>
                </w:rPr>
                <w:t>בית משפט השלום בירושלים</w:t>
              </w:r>
            </w:p>
          </w:tc>
        </w:sdtContent>
      </w:sdt>
    </w:tr>
    <w:tr w:rsidR="00870F64" w14:paraId="1456F133" w14:textId="77777777">
      <w:trPr>
        <w:trHeight w:val="337"/>
        <w:jc w:val="center"/>
      </w:trPr>
      <w:tc>
        <w:tcPr>
          <w:tcW w:w="5047" w:type="dxa"/>
        </w:tcPr>
        <w:p w:rsidR="00870F64" w:rsidRDefault="00870F64" w14:paraId="5AD3EBFB" w14:textId="77777777">
          <w:pPr>
            <w:pStyle w:val="a3"/>
            <w:rPr>
              <w:rFonts w:cs="FrankRuehl"/>
              <w:sz w:val="28"/>
              <w:szCs w:val="28"/>
              <w:rtl/>
            </w:rPr>
          </w:pPr>
        </w:p>
      </w:tc>
      <w:tc>
        <w:tcPr>
          <w:tcW w:w="3674" w:type="dxa"/>
        </w:tcPr>
        <w:p w:rsidR="00870F64" w:rsidRDefault="00870F64" w14:paraId="0F10D8B9" w14:textId="77777777">
          <w:pPr>
            <w:pStyle w:val="a3"/>
            <w:jc w:val="right"/>
            <w:rPr>
              <w:rFonts w:cs="FrankRuehl"/>
              <w:sz w:val="28"/>
              <w:szCs w:val="28"/>
              <w:rtl/>
            </w:rPr>
          </w:pPr>
        </w:p>
      </w:tc>
    </w:tr>
    <w:tr w:rsidR="00870F64" w14:paraId="758DBCE1" w14:textId="77777777">
      <w:trPr>
        <w:trHeight w:val="337"/>
        <w:jc w:val="center"/>
      </w:trPr>
      <w:tc>
        <w:tcPr>
          <w:tcW w:w="8721" w:type="dxa"/>
          <w:gridSpan w:val="2"/>
        </w:tcPr>
        <w:p w:rsidR="00870F64" w:rsidRDefault="00792830" w14:paraId="666FE9A6" w14:textId="77777777">
          <w:pPr>
            <w:rPr>
              <w:rFonts w:cs="FrankRuehl"/>
              <w:sz w:val="28"/>
              <w:szCs w:val="28"/>
              <w:rtl/>
            </w:rPr>
          </w:pPr>
          <w:sdt>
            <w:sdtPr>
              <w:rPr>
                <w:rtl/>
              </w:rPr>
              <w:alias w:val="1170"/>
              <w:tag w:val="1170"/>
              <w:id w:val="873580151"/>
              <w:text w:multiLine="1"/>
            </w:sdtPr>
            <w:sdtEndPr/>
            <w:sdtContent>
              <w:r w:rsidR="00A27B94">
                <w:rPr>
                  <w:rFonts w:cs="FrankRuehl"/>
                  <w:sz w:val="28"/>
                  <w:szCs w:val="28"/>
                  <w:rtl/>
                </w:rPr>
                <w:t>ת"פ</w:t>
              </w:r>
            </w:sdtContent>
          </w:sdt>
          <w:r w:rsidR="0051562C">
            <w:rPr>
              <w:rFonts w:hint="cs" w:cs="FrankRuehl"/>
              <w:sz w:val="28"/>
              <w:szCs w:val="28"/>
              <w:rtl/>
            </w:rPr>
            <w:t xml:space="preserve"> </w:t>
          </w:r>
          <w:sdt>
            <w:sdtPr>
              <w:rPr>
                <w:rtl/>
              </w:rPr>
              <w:alias w:val="1171"/>
              <w:tag w:val="1171"/>
              <w:id w:val="910738904"/>
              <w:text w:multiLine="1"/>
            </w:sdtPr>
            <w:sdtEndPr/>
            <w:sdtContent>
              <w:r w:rsidR="00A27B94">
                <w:rPr>
                  <w:rFonts w:cs="FrankRuehl"/>
                  <w:sz w:val="28"/>
                  <w:szCs w:val="28"/>
                  <w:rtl/>
                </w:rPr>
                <w:t>9444-06-15</w:t>
              </w:r>
            </w:sdtContent>
          </w:sdt>
          <w:r w:rsidR="0051562C">
            <w:rPr>
              <w:rFonts w:hint="cs" w:cs="FrankRuehl"/>
              <w:sz w:val="28"/>
              <w:szCs w:val="28"/>
              <w:rtl/>
            </w:rPr>
            <w:t xml:space="preserve"> </w:t>
          </w:r>
          <w:sdt>
            <w:sdtPr>
              <w:rPr>
                <w:rtl/>
              </w:rPr>
              <w:alias w:val="1172"/>
              <w:tag w:val="1172"/>
              <w:id w:val="1749923716"/>
              <w:text w:multiLine="1"/>
            </w:sdtPr>
            <w:sdtEndPr/>
            <w:sdtContent>
              <w:r w:rsidR="00A27B94">
                <w:rPr>
                  <w:rFonts w:cs="FrankRuehl"/>
                  <w:sz w:val="28"/>
                  <w:szCs w:val="28"/>
                  <w:rtl/>
                </w:rPr>
                <w:t>מדינת ישראל נ' שהם ואח'</w:t>
              </w:r>
            </w:sdtContent>
          </w:sdt>
        </w:p>
        <w:p w:rsidR="00870F64" w:rsidRDefault="00870F64" w14:paraId="6E636104" w14:textId="77777777">
          <w:pPr>
            <w:pStyle w:val="a3"/>
            <w:rPr>
              <w:rtl/>
            </w:rPr>
          </w:pPr>
        </w:p>
      </w:tc>
    </w:tr>
  </w:tbl>
  <w:p w:rsidR="00870F64" w:rsidRDefault="0051562C" w14:paraId="5993E944" w14:textId="77777777">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360"/>
    <w:multiLevelType w:val="hybridMultilevel"/>
    <w:tmpl w:val="5798C912"/>
    <w:lvl w:ilvl="0" w:tplc="E398E6F8">
      <w:numFmt w:val="bullet"/>
      <w:lvlText w:val="-"/>
      <w:lvlJc w:val="left"/>
      <w:pPr>
        <w:ind w:left="1080" w:hanging="360"/>
      </w:pPr>
      <w:rPr>
        <w:rFonts w:ascii="Arial" w:eastAsia="Times New Roman" w:hAnsi="Aria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6001B"/>
    <w:multiLevelType w:val="hybridMultilevel"/>
    <w:tmpl w:val="B2C4B5E4"/>
    <w:lvl w:ilvl="0" w:tplc="5F9C772A">
      <w:start w:val="1"/>
      <w:numFmt w:val="decimal"/>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1CDB3402"/>
    <w:multiLevelType w:val="hybridMultilevel"/>
    <w:tmpl w:val="67FE0340"/>
    <w:lvl w:ilvl="0" w:tplc="E7B6C5AC">
      <w:start w:val="1"/>
      <w:numFmt w:val="decimal"/>
      <w:lvlText w:val="%1."/>
      <w:lvlJc w:val="left"/>
      <w:pPr>
        <w:tabs>
          <w:tab w:val="num" w:pos="720"/>
        </w:tabs>
        <w:ind w:left="720" w:hanging="360"/>
      </w:pPr>
      <w:rPr>
        <w:rFonts w:cs="David"/>
        <w:b w:val="0"/>
        <w:bCs w:val="0"/>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7548FC"/>
    <w:multiLevelType w:val="multilevel"/>
    <w:tmpl w:val="5D3644D0"/>
    <w:lvl w:ilvl="0">
      <w:start w:val="1"/>
      <w:numFmt w:val="decimal"/>
      <w:pStyle w:val="Ruller4"/>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6C57400"/>
    <w:multiLevelType w:val="hybridMultilevel"/>
    <w:tmpl w:val="57301DB0"/>
    <w:lvl w:ilvl="0" w:tplc="5DCA73DA">
      <w:start w:val="1"/>
      <w:numFmt w:val="decimal"/>
      <w:lvlText w:val="%1."/>
      <w:lvlJc w:val="left"/>
      <w:pPr>
        <w:ind w:left="720" w:hanging="360"/>
      </w:pPr>
      <w:rPr>
        <w:b w:val="0"/>
        <w:bCs w:val="0"/>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F84D21"/>
    <w:multiLevelType w:val="hybridMultilevel"/>
    <w:tmpl w:val="2CC26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6"/>
  </w:num>
  <w:num w:numId="4">
    <w:abstractNumId w:val="3"/>
  </w:num>
  <w:num w:numId="5">
    <w:abstractNumId w:val="7"/>
  </w:num>
  <w:num w:numId="6">
    <w:abstractNumId w:val="10"/>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00102"/>
    <w:rsid w:val="00043459"/>
    <w:rsid w:val="00045568"/>
    <w:rsid w:val="00050021"/>
    <w:rsid w:val="00076F66"/>
    <w:rsid w:val="00077B26"/>
    <w:rsid w:val="000922E1"/>
    <w:rsid w:val="00097BFF"/>
    <w:rsid w:val="000B77D4"/>
    <w:rsid w:val="000D224D"/>
    <w:rsid w:val="000D300A"/>
    <w:rsid w:val="000D676C"/>
    <w:rsid w:val="000E5776"/>
    <w:rsid w:val="000F12D0"/>
    <w:rsid w:val="001107DB"/>
    <w:rsid w:val="00116E72"/>
    <w:rsid w:val="00150716"/>
    <w:rsid w:val="001540F7"/>
    <w:rsid w:val="0016006A"/>
    <w:rsid w:val="00167F73"/>
    <w:rsid w:val="00186BCB"/>
    <w:rsid w:val="001C0D3E"/>
    <w:rsid w:val="001D7B37"/>
    <w:rsid w:val="001E2D89"/>
    <w:rsid w:val="001E59EA"/>
    <w:rsid w:val="001F4651"/>
    <w:rsid w:val="002039F6"/>
    <w:rsid w:val="0020644E"/>
    <w:rsid w:val="0022186E"/>
    <w:rsid w:val="00240C86"/>
    <w:rsid w:val="0025429E"/>
    <w:rsid w:val="00256FE9"/>
    <w:rsid w:val="002637BB"/>
    <w:rsid w:val="00274198"/>
    <w:rsid w:val="00277191"/>
    <w:rsid w:val="00277CF4"/>
    <w:rsid w:val="002908E5"/>
    <w:rsid w:val="00294C35"/>
    <w:rsid w:val="002951E2"/>
    <w:rsid w:val="002C2F9F"/>
    <w:rsid w:val="002D4191"/>
    <w:rsid w:val="002D68F5"/>
    <w:rsid w:val="00306594"/>
    <w:rsid w:val="003069C9"/>
    <w:rsid w:val="00311F04"/>
    <w:rsid w:val="003154BB"/>
    <w:rsid w:val="0031781C"/>
    <w:rsid w:val="00330914"/>
    <w:rsid w:val="00334A35"/>
    <w:rsid w:val="00337463"/>
    <w:rsid w:val="0036124A"/>
    <w:rsid w:val="00364BC4"/>
    <w:rsid w:val="00395B89"/>
    <w:rsid w:val="003A027F"/>
    <w:rsid w:val="003B34A4"/>
    <w:rsid w:val="003C74D6"/>
    <w:rsid w:val="003D53C8"/>
    <w:rsid w:val="003F66C3"/>
    <w:rsid w:val="00401EFA"/>
    <w:rsid w:val="00404B81"/>
    <w:rsid w:val="0041345A"/>
    <w:rsid w:val="004267DD"/>
    <w:rsid w:val="004334DF"/>
    <w:rsid w:val="00445543"/>
    <w:rsid w:val="00453333"/>
    <w:rsid w:val="004649DB"/>
    <w:rsid w:val="0047289B"/>
    <w:rsid w:val="004B0261"/>
    <w:rsid w:val="004B69B7"/>
    <w:rsid w:val="004B7C95"/>
    <w:rsid w:val="004C0794"/>
    <w:rsid w:val="004C3569"/>
    <w:rsid w:val="004D1D9D"/>
    <w:rsid w:val="004D6158"/>
    <w:rsid w:val="004E1B61"/>
    <w:rsid w:val="004F2B64"/>
    <w:rsid w:val="0051562C"/>
    <w:rsid w:val="0052227C"/>
    <w:rsid w:val="00526C89"/>
    <w:rsid w:val="005570B8"/>
    <w:rsid w:val="005709E1"/>
    <w:rsid w:val="005B705B"/>
    <w:rsid w:val="005C023B"/>
    <w:rsid w:val="005C3A98"/>
    <w:rsid w:val="005C6906"/>
    <w:rsid w:val="005D571D"/>
    <w:rsid w:val="005F11F8"/>
    <w:rsid w:val="006041C1"/>
    <w:rsid w:val="00633DA7"/>
    <w:rsid w:val="00635A88"/>
    <w:rsid w:val="00645B23"/>
    <w:rsid w:val="0064690D"/>
    <w:rsid w:val="00655767"/>
    <w:rsid w:val="00676886"/>
    <w:rsid w:val="00694C1C"/>
    <w:rsid w:val="006958A7"/>
    <w:rsid w:val="006E0643"/>
    <w:rsid w:val="006F0E62"/>
    <w:rsid w:val="00707CA3"/>
    <w:rsid w:val="007208DC"/>
    <w:rsid w:val="007274B3"/>
    <w:rsid w:val="007523AD"/>
    <w:rsid w:val="007649F3"/>
    <w:rsid w:val="00781A32"/>
    <w:rsid w:val="00792830"/>
    <w:rsid w:val="00793C8B"/>
    <w:rsid w:val="007A621D"/>
    <w:rsid w:val="007B34BE"/>
    <w:rsid w:val="007C0ADE"/>
    <w:rsid w:val="007C27F6"/>
    <w:rsid w:val="007C40F8"/>
    <w:rsid w:val="007C66A9"/>
    <w:rsid w:val="007C7991"/>
    <w:rsid w:val="007E1332"/>
    <w:rsid w:val="007F2DA4"/>
    <w:rsid w:val="007F2E63"/>
    <w:rsid w:val="00802D64"/>
    <w:rsid w:val="00807BAE"/>
    <w:rsid w:val="00810372"/>
    <w:rsid w:val="00811346"/>
    <w:rsid w:val="00834D17"/>
    <w:rsid w:val="00837219"/>
    <w:rsid w:val="008418DD"/>
    <w:rsid w:val="00854869"/>
    <w:rsid w:val="00861AE3"/>
    <w:rsid w:val="00870F64"/>
    <w:rsid w:val="008750F7"/>
    <w:rsid w:val="008A29C5"/>
    <w:rsid w:val="008A540B"/>
    <w:rsid w:val="008B1B48"/>
    <w:rsid w:val="008D1EDE"/>
    <w:rsid w:val="008D35B7"/>
    <w:rsid w:val="008D38B7"/>
    <w:rsid w:val="008F42ED"/>
    <w:rsid w:val="00906D9D"/>
    <w:rsid w:val="009074A1"/>
    <w:rsid w:val="00912C04"/>
    <w:rsid w:val="009251A2"/>
    <w:rsid w:val="00942F8C"/>
    <w:rsid w:val="009734CA"/>
    <w:rsid w:val="00994F93"/>
    <w:rsid w:val="0099638C"/>
    <w:rsid w:val="009A2900"/>
    <w:rsid w:val="009C467B"/>
    <w:rsid w:val="009D0203"/>
    <w:rsid w:val="009E6707"/>
    <w:rsid w:val="00A1724A"/>
    <w:rsid w:val="00A25B20"/>
    <w:rsid w:val="00A27B94"/>
    <w:rsid w:val="00A37D5E"/>
    <w:rsid w:val="00A4319E"/>
    <w:rsid w:val="00A5454F"/>
    <w:rsid w:val="00A63559"/>
    <w:rsid w:val="00A67AD0"/>
    <w:rsid w:val="00AA6B09"/>
    <w:rsid w:val="00AB39E3"/>
    <w:rsid w:val="00AE60C8"/>
    <w:rsid w:val="00AF6ACE"/>
    <w:rsid w:val="00B12189"/>
    <w:rsid w:val="00B20868"/>
    <w:rsid w:val="00B24989"/>
    <w:rsid w:val="00B45F9B"/>
    <w:rsid w:val="00B55B93"/>
    <w:rsid w:val="00B57518"/>
    <w:rsid w:val="00B60FA4"/>
    <w:rsid w:val="00B7584D"/>
    <w:rsid w:val="00B949CB"/>
    <w:rsid w:val="00BA6185"/>
    <w:rsid w:val="00BA707B"/>
    <w:rsid w:val="00BB6AE0"/>
    <w:rsid w:val="00BE2D85"/>
    <w:rsid w:val="00BF0FEA"/>
    <w:rsid w:val="00C01705"/>
    <w:rsid w:val="00C05B80"/>
    <w:rsid w:val="00C05FB1"/>
    <w:rsid w:val="00C0626C"/>
    <w:rsid w:val="00C12FBB"/>
    <w:rsid w:val="00C266B4"/>
    <w:rsid w:val="00C30A09"/>
    <w:rsid w:val="00C657B4"/>
    <w:rsid w:val="00C726E8"/>
    <w:rsid w:val="00C776E9"/>
    <w:rsid w:val="00C83B3D"/>
    <w:rsid w:val="00C842D3"/>
    <w:rsid w:val="00C863A8"/>
    <w:rsid w:val="00C87166"/>
    <w:rsid w:val="00CA2A0F"/>
    <w:rsid w:val="00CC1D31"/>
    <w:rsid w:val="00CC3C76"/>
    <w:rsid w:val="00CD5818"/>
    <w:rsid w:val="00CE040A"/>
    <w:rsid w:val="00CE5D0E"/>
    <w:rsid w:val="00CF07F6"/>
    <w:rsid w:val="00D33EF5"/>
    <w:rsid w:val="00D46555"/>
    <w:rsid w:val="00D63841"/>
    <w:rsid w:val="00D83FC5"/>
    <w:rsid w:val="00D8454E"/>
    <w:rsid w:val="00D96B54"/>
    <w:rsid w:val="00DC081D"/>
    <w:rsid w:val="00DC28FC"/>
    <w:rsid w:val="00DE7CD7"/>
    <w:rsid w:val="00E12596"/>
    <w:rsid w:val="00E20138"/>
    <w:rsid w:val="00E32160"/>
    <w:rsid w:val="00E408D9"/>
    <w:rsid w:val="00E871E4"/>
    <w:rsid w:val="00E92233"/>
    <w:rsid w:val="00E9447D"/>
    <w:rsid w:val="00EA352A"/>
    <w:rsid w:val="00EB19E0"/>
    <w:rsid w:val="00EC0FC0"/>
    <w:rsid w:val="00EC345D"/>
    <w:rsid w:val="00EE1AFA"/>
    <w:rsid w:val="00EF2CC9"/>
    <w:rsid w:val="00F00496"/>
    <w:rsid w:val="00F018C8"/>
    <w:rsid w:val="00F022E5"/>
    <w:rsid w:val="00F03637"/>
    <w:rsid w:val="00F27C5B"/>
    <w:rsid w:val="00F32174"/>
    <w:rsid w:val="00F3545F"/>
    <w:rsid w:val="00F4577C"/>
    <w:rsid w:val="00F46D51"/>
    <w:rsid w:val="00F470DB"/>
    <w:rsid w:val="00F53B25"/>
    <w:rsid w:val="00F61193"/>
    <w:rsid w:val="00F629A9"/>
    <w:rsid w:val="00F718AF"/>
    <w:rsid w:val="00F71F51"/>
    <w:rsid w:val="00F72AE3"/>
    <w:rsid w:val="00F972A2"/>
    <w:rsid w:val="00FB6ACB"/>
    <w:rsid w:val="00FE4C05"/>
    <w:rsid w:val="00FE4EE5"/>
    <w:rsid w:val="00FF14C4"/>
    <w:rsid w:val="00FF6C4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4:docId w14:val="518AE5E7"/>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link w:val="a8"/>
    <w:semiHidden/>
    <w:rsid w:val="00577A51"/>
    <w:rPr>
      <w:rFonts w:cs="Times New Roman"/>
    </w:rPr>
  </w:style>
  <w:style w:type="paragraph" w:styleId="a9">
    <w:name w:val="Balloon Text"/>
    <w:basedOn w:val="a"/>
    <w:semiHidden/>
    <w:rsid w:val="00577A51"/>
    <w:rPr>
      <w:rFonts w:ascii="Tahoma" w:hAnsi="Tahoma" w:cs="Tahoma"/>
      <w:sz w:val="16"/>
      <w:szCs w:val="16"/>
    </w:rPr>
  </w:style>
  <w:style w:type="character" w:styleId="aa">
    <w:name w:val="Placeholder Text"/>
    <w:basedOn w:val="a0"/>
    <w:uiPriority w:val="99"/>
    <w:semiHidden/>
    <w:rsid w:val="00AE60C8"/>
    <w:rPr>
      <w:color w:val="808080"/>
    </w:rPr>
  </w:style>
  <w:style w:type="paragraph" w:styleId="ab">
    <w:name w:val="List Paragraph"/>
    <w:basedOn w:val="a"/>
    <w:uiPriority w:val="34"/>
    <w:qFormat/>
    <w:rsid w:val="00FF14C4"/>
    <w:pPr>
      <w:ind w:left="720"/>
      <w:contextualSpacing/>
    </w:pPr>
  </w:style>
  <w:style w:type="character" w:styleId="Hyperlink">
    <w:name w:val="Hyperlink"/>
    <w:basedOn w:val="a0"/>
    <w:uiPriority w:val="99"/>
    <w:rsid w:val="00B7584D"/>
    <w:rPr>
      <w:color w:val="0000FF"/>
      <w:u w:val="single"/>
    </w:rPr>
  </w:style>
  <w:style w:type="character" w:customStyle="1" w:styleId="Ruller5">
    <w:name w:val="Ruller5 תו"/>
    <w:link w:val="Ruller50"/>
    <w:locked/>
    <w:rsid w:val="00B7584D"/>
    <w:rPr>
      <w:rFonts w:ascii="Arial TUR" w:hAnsi="Arial TUR"/>
      <w:spacing w:val="10"/>
      <w:sz w:val="28"/>
    </w:rPr>
  </w:style>
  <w:style w:type="paragraph" w:customStyle="1" w:styleId="Ruller50">
    <w:name w:val="Ruller5"/>
    <w:basedOn w:val="a"/>
    <w:link w:val="Ruller5"/>
    <w:rsid w:val="00B7584D"/>
    <w:pPr>
      <w:overflowPunct w:val="0"/>
      <w:autoSpaceDE w:val="0"/>
      <w:autoSpaceDN w:val="0"/>
      <w:adjustRightInd w:val="0"/>
      <w:ind w:left="1642" w:right="1282"/>
      <w:jc w:val="both"/>
    </w:pPr>
    <w:rPr>
      <w:rFonts w:ascii="Arial TUR" w:hAnsi="Arial TUR" w:cs="Times New Roman"/>
      <w:spacing w:val="10"/>
      <w:sz w:val="28"/>
      <w:szCs w:val="20"/>
    </w:rPr>
  </w:style>
  <w:style w:type="character" w:customStyle="1" w:styleId="Ruller40">
    <w:name w:val="Ruller 4 ממוספר תו"/>
    <w:link w:val="Ruller4"/>
    <w:locked/>
    <w:rsid w:val="00B7584D"/>
    <w:rPr>
      <w:rFonts w:ascii="Garamond" w:hAnsi="Garamond"/>
      <w:spacing w:val="10"/>
      <w:sz w:val="28"/>
    </w:rPr>
  </w:style>
  <w:style w:type="paragraph" w:customStyle="1" w:styleId="Ruller4">
    <w:name w:val="Ruller 4 ממוספר"/>
    <w:basedOn w:val="a"/>
    <w:next w:val="a"/>
    <w:link w:val="Ruller40"/>
    <w:rsid w:val="00B7584D"/>
    <w:pPr>
      <w:numPr>
        <w:numId w:val="2"/>
      </w:numPr>
      <w:tabs>
        <w:tab w:val="left" w:pos="800"/>
      </w:tabs>
      <w:overflowPunct w:val="0"/>
      <w:autoSpaceDE w:val="0"/>
      <w:autoSpaceDN w:val="0"/>
      <w:adjustRightInd w:val="0"/>
      <w:spacing w:line="360" w:lineRule="auto"/>
      <w:jc w:val="both"/>
    </w:pPr>
    <w:rPr>
      <w:rFonts w:ascii="Garamond" w:hAnsi="Garamond" w:cs="Times New Roman"/>
      <w:spacing w:val="10"/>
      <w:sz w:val="28"/>
      <w:szCs w:val="20"/>
    </w:rPr>
  </w:style>
  <w:style w:type="paragraph" w:customStyle="1" w:styleId="P00">
    <w:name w:val="P00"/>
    <w:rsid w:val="004D615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szCs w:val="26"/>
      <w:lang w:eastAsia="he-IL"/>
    </w:rPr>
  </w:style>
  <w:style w:type="paragraph" w:styleId="ac">
    <w:name w:val="annotation subject"/>
    <w:basedOn w:val="a7"/>
    <w:next w:val="a7"/>
    <w:link w:val="ad"/>
    <w:semiHidden/>
    <w:unhideWhenUsed/>
    <w:rsid w:val="007F2DA4"/>
    <w:rPr>
      <w:rFonts w:cs="David"/>
      <w:b/>
      <w:bCs/>
      <w:sz w:val="20"/>
      <w:szCs w:val="20"/>
    </w:rPr>
  </w:style>
  <w:style w:type="character" w:customStyle="1" w:styleId="a8">
    <w:name w:val="טקסט הערה תו"/>
    <w:basedOn w:val="a0"/>
    <w:link w:val="a7"/>
    <w:semiHidden/>
    <w:rsid w:val="007F2DA4"/>
    <w:rPr>
      <w:rFonts w:ascii="Arial (W1)" w:hAnsi="Arial (W1)"/>
      <w:sz w:val="24"/>
      <w:szCs w:val="24"/>
    </w:rPr>
  </w:style>
  <w:style w:type="character" w:customStyle="1" w:styleId="ad">
    <w:name w:val="נושא הערה תו"/>
    <w:basedOn w:val="a8"/>
    <w:link w:val="ac"/>
    <w:semiHidden/>
    <w:rsid w:val="007F2DA4"/>
    <w:rPr>
      <w:rFonts w:ascii="Arial (W1)" w:hAnsi="Arial (W1)"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yperlink" Target="http://www.nevo.co.il/law/84255" TargetMode="External" Id="rId10" /><Relationship Type="http://schemas.openxmlformats.org/officeDocument/2006/relationships/styles" Target="styles.xml" Id="rId4" /><Relationship Type="http://schemas.openxmlformats.org/officeDocument/2006/relationships/hyperlink" Target="http://www.nevo.co.il/law/84255/220" TargetMode="External" Id="rId9" /><Relationship Type="http://schemas.openxmlformats.org/officeDocument/2006/relationships/glossaryDocument" Target="glossary/document.xml" Id="rId14" /><Relationship Type="http://schemas.openxmlformats.org/officeDocument/2006/relationships/image" Target="/media/image2.jpg" Id="R269c7c31aa81431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012891" w:rsidRDefault="00B510F2" w:rsidP="00B510F2">
          <w:pPr>
            <w:pStyle w:val="5A947A4CD3794C1787DFBDB7708A00784"/>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012891"/>
    <w:rsid w:val="00303435"/>
    <w:rsid w:val="0041073D"/>
    <w:rsid w:val="006E0C75"/>
    <w:rsid w:val="00845549"/>
    <w:rsid w:val="00AC6BCB"/>
    <w:rsid w:val="00B510F2"/>
    <w:rsid w:val="00D60258"/>
    <w:rsid w:val="00EE5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10F2"/>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012891"/>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6E0C75"/>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AC6BCB"/>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B510F2"/>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14</Pages>
  <Words>4833</Words>
  <Characters>24168</Characters>
  <Application>Microsoft Office Word</Application>
  <DocSecurity>0</DocSecurity>
  <Lines>201</Lines>
  <Paragraphs>57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 אוהד גורדון</cp:lastModifiedBy>
  <cp:revision>212</cp:revision>
  <cp:lastPrinted>2018-04-08T06:19:00Z</cp:lastPrinted>
  <dcterms:created xsi:type="dcterms:W3CDTF">2012-08-06T06:15:00Z</dcterms:created>
  <dcterms:modified xsi:type="dcterms:W3CDTF">2018-04-09T06:05:00Z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