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977F5" w:rsidR="001D09B2" w:rsidP="001D09B2" w:rsidRDefault="001D09B2">
      <w:pPr>
        <w:rPr>
          <w:noProof w:val="0"/>
          <w:rtl/>
        </w:rPr>
      </w:pPr>
    </w:p>
    <w:tbl>
      <w:tblPr>
        <w:bidiVisual/>
        <w:tblW w:w="8820" w:type="dxa"/>
        <w:jc w:val="center"/>
        <w:tblLook w:val="01E0" w:firstRow="1" w:lastRow="1" w:firstColumn="1" w:lastColumn="1" w:noHBand="0" w:noVBand="0"/>
      </w:tblPr>
      <w:tblGrid>
        <w:gridCol w:w="743"/>
        <w:gridCol w:w="2536"/>
        <w:gridCol w:w="5541"/>
      </w:tblGrid>
      <w:tr w:rsidRPr="00826931" w:rsidR="001D09B2" w:rsidTr="0057344A">
        <w:trPr>
          <w:jc w:val="center"/>
        </w:trPr>
        <w:tc>
          <w:tcPr>
            <w:tcW w:w="743" w:type="dxa"/>
          </w:tcPr>
          <w:p w:rsidRPr="00826931" w:rsidR="001D09B2" w:rsidP="0057344A" w:rsidRDefault="001D09B2">
            <w:pPr>
              <w:jc w:val="both"/>
              <w:rPr>
                <w:rFonts w:ascii="Arial" w:hAnsi="Arial"/>
                <w:b/>
                <w:bCs/>
                <w:sz w:val="26"/>
                <w:szCs w:val="26"/>
              </w:rPr>
            </w:pPr>
            <w:r w:rsidRPr="00826931">
              <w:rPr>
                <w:rFonts w:ascii="Arial" w:hAnsi="Arial"/>
                <w:b/>
                <w:bCs/>
                <w:noProof w:val="0"/>
                <w:sz w:val="26"/>
                <w:szCs w:val="26"/>
                <w:rtl/>
              </w:rPr>
              <w:t xml:space="preserve">בפני </w:t>
            </w:r>
          </w:p>
        </w:tc>
        <w:tc>
          <w:tcPr>
            <w:tcW w:w="8077" w:type="dxa"/>
            <w:gridSpan w:val="2"/>
          </w:tcPr>
          <w:p w:rsidRPr="00826931" w:rsidR="001D09B2" w:rsidP="0057344A" w:rsidRDefault="001D09B2">
            <w:pPr>
              <w:rPr>
                <w:rFonts w:ascii="Arial" w:hAnsi="Arial"/>
                <w:b/>
                <w:bCs/>
                <w:noProof w:val="0"/>
                <w:sz w:val="26"/>
                <w:szCs w:val="26"/>
                <w:rtl/>
              </w:rPr>
            </w:pPr>
            <w:r w:rsidRPr="00826931">
              <w:rPr>
                <w:rFonts w:ascii="Arial" w:hAnsi="Arial"/>
                <w:b/>
                <w:bCs/>
                <w:noProof w:val="0"/>
                <w:sz w:val="26"/>
                <w:szCs w:val="26"/>
                <w:rtl/>
              </w:rPr>
              <w:t>כב' השופט</w:t>
            </w:r>
            <w:r>
              <w:rPr>
                <w:rFonts w:ascii="Arial" w:hAnsi="Arial"/>
                <w:b/>
                <w:bCs/>
                <w:noProof w:val="0"/>
                <w:sz w:val="26"/>
                <w:szCs w:val="26"/>
                <w:rtl/>
              </w:rPr>
              <w:t xml:space="preserve"> איל באומגרט</w:t>
            </w:r>
          </w:p>
          <w:p w:rsidRPr="00826931" w:rsidR="001D09B2" w:rsidP="0057344A" w:rsidRDefault="001D09B2">
            <w:pPr>
              <w:rPr>
                <w:rFonts w:ascii="Arial" w:hAnsi="Arial" w:cs="FrankRuehl"/>
                <w:sz w:val="26"/>
                <w:szCs w:val="26"/>
                <w:highlight w:val="yellow"/>
              </w:rPr>
            </w:pPr>
          </w:p>
        </w:tc>
      </w:tr>
      <w:tr w:rsidRPr="00826931" w:rsidR="001D09B2" w:rsidTr="0057344A">
        <w:tblPrEx>
          <w:jc w:val="right"/>
        </w:tblPrEx>
        <w:trPr>
          <w:jc w:val="right"/>
        </w:trPr>
        <w:tc>
          <w:tcPr>
            <w:tcW w:w="3279" w:type="dxa"/>
            <w:gridSpan w:val="2"/>
          </w:tcPr>
          <w:p w:rsidRPr="00826931" w:rsidR="001D09B2" w:rsidP="0057344A" w:rsidRDefault="001D09B2">
            <w:pPr>
              <w:spacing w:line="360" w:lineRule="auto"/>
              <w:rPr>
                <w:b/>
                <w:bCs/>
                <w:sz w:val="26"/>
                <w:szCs w:val="26"/>
              </w:rPr>
            </w:pPr>
            <w:r w:rsidRPr="00826931">
              <w:rPr>
                <w:b/>
                <w:bCs/>
                <w:noProof w:val="0"/>
                <w:sz w:val="26"/>
                <w:szCs w:val="26"/>
                <w:rtl/>
              </w:rPr>
              <w:t>בעניין:</w:t>
            </w:r>
          </w:p>
        </w:tc>
        <w:tc>
          <w:tcPr>
            <w:tcW w:w="5541" w:type="dxa"/>
          </w:tcPr>
          <w:p w:rsidRPr="00826931" w:rsidR="001D09B2" w:rsidP="0057344A" w:rsidRDefault="001D09B2">
            <w:pPr>
              <w:spacing w:line="360" w:lineRule="auto"/>
              <w:rPr>
                <w:b/>
                <w:bCs/>
                <w:sz w:val="26"/>
                <w:szCs w:val="26"/>
              </w:rPr>
            </w:pPr>
            <w:r w:rsidRPr="00826931">
              <w:rPr>
                <w:b/>
                <w:bCs/>
                <w:noProof w:val="0"/>
                <w:sz w:val="26"/>
                <w:szCs w:val="26"/>
                <w:rtl/>
              </w:rPr>
              <w:t xml:space="preserve">פקודת פשיטת הרגל [נוסח חדש], התש"ם-1980 </w:t>
            </w:r>
          </w:p>
          <w:p w:rsidRPr="00826931" w:rsidR="001D09B2" w:rsidP="0057344A" w:rsidRDefault="001D09B2">
            <w:pPr>
              <w:spacing w:line="360" w:lineRule="auto"/>
              <w:jc w:val="right"/>
              <w:rPr>
                <w:b/>
                <w:bCs/>
                <w:sz w:val="26"/>
                <w:szCs w:val="26"/>
              </w:rPr>
            </w:pPr>
            <w:r w:rsidRPr="00826931">
              <w:rPr>
                <w:b/>
                <w:bCs/>
                <w:noProof w:val="0"/>
                <w:sz w:val="26"/>
                <w:szCs w:val="26"/>
                <w:rtl/>
              </w:rPr>
              <w:t>להלן: "הפקודה"</w:t>
            </w:r>
          </w:p>
        </w:tc>
      </w:tr>
      <w:tr w:rsidRPr="00826931" w:rsidR="001D09B2" w:rsidTr="0057344A">
        <w:tblPrEx>
          <w:jc w:val="right"/>
        </w:tblPrEx>
        <w:trPr>
          <w:trHeight w:val="720"/>
          <w:jc w:val="right"/>
        </w:trPr>
        <w:tc>
          <w:tcPr>
            <w:tcW w:w="3279" w:type="dxa"/>
            <w:gridSpan w:val="2"/>
          </w:tcPr>
          <w:p w:rsidRPr="00826931" w:rsidR="001D09B2" w:rsidP="0057344A" w:rsidRDefault="001D09B2">
            <w:pPr>
              <w:spacing w:line="360" w:lineRule="auto"/>
              <w:rPr>
                <w:b/>
                <w:bCs/>
                <w:noProof w:val="0"/>
                <w:sz w:val="26"/>
                <w:szCs w:val="26"/>
              </w:rPr>
            </w:pPr>
            <w:r w:rsidRPr="00826931">
              <w:rPr>
                <w:b/>
                <w:bCs/>
                <w:noProof w:val="0"/>
                <w:sz w:val="26"/>
                <w:szCs w:val="26"/>
                <w:rtl/>
              </w:rPr>
              <w:t xml:space="preserve">בעניין:                                                 </w:t>
            </w:r>
          </w:p>
        </w:tc>
        <w:tc>
          <w:tcPr>
            <w:tcW w:w="5541" w:type="dxa"/>
          </w:tcPr>
          <w:p w:rsidRPr="00826931" w:rsidR="001D09B2" w:rsidP="0057344A" w:rsidRDefault="001D09B2">
            <w:pPr>
              <w:spacing w:line="360" w:lineRule="auto"/>
              <w:rPr>
                <w:b/>
                <w:bCs/>
                <w:noProof w:val="0"/>
                <w:sz w:val="26"/>
                <w:szCs w:val="26"/>
                <w:rtl/>
              </w:rPr>
            </w:pPr>
            <w:r>
              <w:rPr>
                <w:rFonts w:hint="cs"/>
                <w:b/>
                <w:bCs/>
                <w:noProof w:val="0"/>
                <w:sz w:val="26"/>
                <w:szCs w:val="26"/>
                <w:rtl/>
              </w:rPr>
              <w:t>מרים אלואשוילי</w:t>
            </w:r>
            <w:r w:rsidRPr="00826931">
              <w:rPr>
                <w:b/>
                <w:bCs/>
                <w:noProof w:val="0"/>
                <w:sz w:val="26"/>
                <w:szCs w:val="26"/>
                <w:rtl/>
              </w:rPr>
              <w:t xml:space="preserve">, ת"ז </w:t>
            </w:r>
            <w:r>
              <w:rPr>
                <w:rFonts w:hint="cs"/>
                <w:b/>
                <w:bCs/>
                <w:noProof w:val="0"/>
                <w:sz w:val="26"/>
                <w:szCs w:val="26"/>
                <w:rtl/>
              </w:rPr>
              <w:t>306336645</w:t>
            </w:r>
          </w:p>
          <w:p w:rsidRPr="00826931" w:rsidR="001D09B2" w:rsidP="0057344A" w:rsidRDefault="001D09B2">
            <w:pPr>
              <w:spacing w:line="360" w:lineRule="auto"/>
              <w:jc w:val="right"/>
              <w:rPr>
                <w:b/>
                <w:bCs/>
                <w:sz w:val="26"/>
                <w:szCs w:val="26"/>
              </w:rPr>
            </w:pPr>
            <w:r w:rsidRPr="00826931">
              <w:rPr>
                <w:b/>
                <w:bCs/>
                <w:noProof w:val="0"/>
                <w:sz w:val="26"/>
                <w:szCs w:val="26"/>
                <w:rtl/>
              </w:rPr>
              <w:t>להלן: "החייבת"</w:t>
            </w:r>
          </w:p>
        </w:tc>
      </w:tr>
      <w:tr w:rsidRPr="00826931" w:rsidR="001D09B2" w:rsidTr="0057344A">
        <w:tblPrEx>
          <w:jc w:val="right"/>
        </w:tblPrEx>
        <w:trPr>
          <w:jc w:val="right"/>
        </w:trPr>
        <w:tc>
          <w:tcPr>
            <w:tcW w:w="3279" w:type="dxa"/>
            <w:gridSpan w:val="2"/>
          </w:tcPr>
          <w:p w:rsidRPr="00826931" w:rsidR="001D09B2" w:rsidP="0057344A" w:rsidRDefault="001D09B2">
            <w:pPr>
              <w:spacing w:line="360" w:lineRule="auto"/>
              <w:rPr>
                <w:b/>
                <w:bCs/>
                <w:sz w:val="26"/>
                <w:szCs w:val="26"/>
              </w:rPr>
            </w:pPr>
            <w:r w:rsidRPr="00826931">
              <w:rPr>
                <w:b/>
                <w:bCs/>
                <w:noProof w:val="0"/>
                <w:sz w:val="26"/>
                <w:szCs w:val="26"/>
                <w:rtl/>
              </w:rPr>
              <w:t>ובעניין:</w:t>
            </w:r>
          </w:p>
        </w:tc>
        <w:tc>
          <w:tcPr>
            <w:tcW w:w="5541" w:type="dxa"/>
          </w:tcPr>
          <w:p w:rsidRPr="00826931" w:rsidR="001D09B2" w:rsidP="0057344A" w:rsidRDefault="001D09B2">
            <w:pPr>
              <w:spacing w:line="360" w:lineRule="auto"/>
              <w:rPr>
                <w:b/>
                <w:bCs/>
                <w:noProof w:val="0"/>
                <w:sz w:val="26"/>
                <w:szCs w:val="26"/>
                <w:rtl/>
              </w:rPr>
            </w:pPr>
            <w:r w:rsidRPr="00826931">
              <w:rPr>
                <w:b/>
                <w:bCs/>
                <w:noProof w:val="0"/>
                <w:sz w:val="26"/>
                <w:szCs w:val="26"/>
                <w:rtl/>
              </w:rPr>
              <w:t>הכונס הרשמי מחוז חיפה</w:t>
            </w:r>
          </w:p>
          <w:p w:rsidRPr="00826931" w:rsidR="001D09B2" w:rsidP="0057344A" w:rsidRDefault="001D09B2">
            <w:pPr>
              <w:spacing w:line="360" w:lineRule="auto"/>
              <w:jc w:val="right"/>
              <w:rPr>
                <w:b/>
                <w:bCs/>
                <w:sz w:val="26"/>
                <w:szCs w:val="26"/>
              </w:rPr>
            </w:pPr>
            <w:r w:rsidRPr="00826931">
              <w:rPr>
                <w:b/>
                <w:bCs/>
                <w:noProof w:val="0"/>
                <w:sz w:val="26"/>
                <w:szCs w:val="26"/>
                <w:rtl/>
              </w:rPr>
              <w:t>להלן: "הכונ"ר"</w:t>
            </w:r>
          </w:p>
        </w:tc>
      </w:tr>
    </w:tbl>
    <w:p w:rsidR="001D09B2" w:rsidP="001D09B2" w:rsidRDefault="001D09B2">
      <w:pPr>
        <w:suppressLineNumbers/>
        <w:rPr>
          <w:noProof w:val="0"/>
          <w:rtl/>
        </w:rPr>
      </w:pPr>
    </w:p>
    <w:p w:rsidRPr="007977F5" w:rsidR="001D09B2" w:rsidP="001D09B2" w:rsidRDefault="001D09B2">
      <w:pPr>
        <w:suppressLineNumbers/>
      </w:pPr>
    </w:p>
    <w:tbl>
      <w:tblPr>
        <w:bidiVisual/>
        <w:tblW w:w="8820" w:type="dxa"/>
        <w:jc w:val="center"/>
        <w:tblLook w:val="01E0" w:firstRow="1" w:lastRow="1" w:firstColumn="1" w:lastColumn="1" w:noHBand="0" w:noVBand="0"/>
      </w:tblPr>
      <w:tblGrid>
        <w:gridCol w:w="8820"/>
      </w:tblGrid>
      <w:tr w:rsidRPr="007977F5" w:rsidR="001D09B2" w:rsidTr="0057344A">
        <w:trPr>
          <w:jc w:val="center"/>
        </w:trPr>
        <w:tc>
          <w:tcPr>
            <w:tcW w:w="8820" w:type="dxa"/>
          </w:tcPr>
          <w:p w:rsidRPr="00826931" w:rsidR="001D09B2" w:rsidP="0057344A" w:rsidRDefault="001D09B2">
            <w:pPr>
              <w:bidi w:val="0"/>
              <w:jc w:val="center"/>
              <w:rPr>
                <w:rFonts w:ascii="Arial" w:hAnsi="Arial"/>
                <w:b/>
                <w:bCs/>
                <w:noProof w:val="0"/>
                <w:sz w:val="28"/>
                <w:szCs w:val="28"/>
                <w:u w:val="single"/>
              </w:rPr>
            </w:pPr>
            <w:r w:rsidRPr="00826931">
              <w:rPr>
                <w:rFonts w:ascii="Arial" w:hAnsi="Arial"/>
                <w:b/>
                <w:bCs/>
                <w:noProof w:val="0"/>
                <w:sz w:val="28"/>
                <w:szCs w:val="28"/>
                <w:u w:val="single"/>
                <w:rtl/>
              </w:rPr>
              <w:t>החלטה</w:t>
            </w:r>
          </w:p>
        </w:tc>
      </w:tr>
    </w:tbl>
    <w:p w:rsidRPr="007977F5" w:rsidR="001D09B2" w:rsidP="001D09B2" w:rsidRDefault="001D09B2">
      <w:pPr>
        <w:spacing w:before="240" w:line="360" w:lineRule="auto"/>
        <w:jc w:val="both"/>
        <w:rPr>
          <w:noProof w:val="0"/>
        </w:rPr>
      </w:pPr>
      <w:r w:rsidRPr="007977F5">
        <w:rPr>
          <w:noProof w:val="0"/>
          <w:rtl/>
        </w:rPr>
        <w:t>לאחר שעיינתי בבקשת החייב</w:t>
      </w:r>
      <w:r>
        <w:rPr>
          <w:noProof w:val="0"/>
          <w:rtl/>
        </w:rPr>
        <w:t>ת</w:t>
      </w:r>
      <w:r w:rsidRPr="007977F5">
        <w:rPr>
          <w:noProof w:val="0"/>
          <w:rtl/>
        </w:rPr>
        <w:t xml:space="preserve"> ובמסמכים המצורפים אליה</w:t>
      </w:r>
      <w:r>
        <w:rPr>
          <w:noProof w:val="0"/>
          <w:rtl/>
        </w:rPr>
        <w:t>,</w:t>
      </w:r>
      <w:r w:rsidRPr="007977F5">
        <w:rPr>
          <w:noProof w:val="0"/>
          <w:rtl/>
        </w:rPr>
        <w:t xml:space="preserve"> </w:t>
      </w:r>
      <w:r>
        <w:rPr>
          <w:noProof w:val="0"/>
          <w:rtl/>
        </w:rPr>
        <w:t>ובהעדר</w:t>
      </w:r>
      <w:r w:rsidRPr="007977F5">
        <w:rPr>
          <w:noProof w:val="0"/>
          <w:rtl/>
        </w:rPr>
        <w:t xml:space="preserve"> תגובת הכונס הרשמי (להלן: "</w:t>
      </w:r>
      <w:r w:rsidRPr="007977F5">
        <w:rPr>
          <w:b/>
          <w:bCs/>
          <w:noProof w:val="0"/>
          <w:rtl/>
        </w:rPr>
        <w:t>הכונ"ר</w:t>
      </w:r>
      <w:r w:rsidRPr="007977F5">
        <w:rPr>
          <w:noProof w:val="0"/>
          <w:rtl/>
        </w:rPr>
        <w:t>"), אני מחליט כדלקמן:</w:t>
      </w:r>
    </w:p>
    <w:p w:rsidRPr="007977F5" w:rsidR="001D09B2" w:rsidP="001D09B2" w:rsidRDefault="001D09B2">
      <w:pPr>
        <w:rPr>
          <w:noProof w:val="0"/>
          <w:rtl/>
        </w:rPr>
      </w:pPr>
      <w:r w:rsidRPr="007977F5">
        <w:rPr>
          <w:noProof w:val="0"/>
          <w:rtl/>
        </w:rPr>
        <w:t>א.</w:t>
      </w:r>
      <w:r w:rsidRPr="007977F5">
        <w:rPr>
          <w:noProof w:val="0"/>
          <w:rtl/>
        </w:rPr>
        <w:tab/>
        <w:t>ניתן צו כינוס לנכסי החייב</w:t>
      </w:r>
      <w:r>
        <w:rPr>
          <w:noProof w:val="0"/>
          <w:rtl/>
        </w:rPr>
        <w:t>ת</w:t>
      </w:r>
      <w:r w:rsidRPr="007977F5">
        <w:rPr>
          <w:noProof w:val="0"/>
          <w:rtl/>
        </w:rPr>
        <w:t>.</w:t>
      </w:r>
    </w:p>
    <w:p w:rsidRPr="007977F5" w:rsidR="001D09B2" w:rsidP="001D09B2" w:rsidRDefault="001D09B2">
      <w:pPr>
        <w:spacing w:before="120" w:line="360" w:lineRule="auto"/>
        <w:ind w:left="720" w:hanging="720"/>
        <w:rPr>
          <w:noProof w:val="0"/>
          <w:rtl/>
        </w:rPr>
      </w:pPr>
      <w:r w:rsidRPr="007977F5">
        <w:rPr>
          <w:noProof w:val="0"/>
          <w:rtl/>
        </w:rPr>
        <w:t>ב.</w:t>
      </w:r>
      <w:r w:rsidRPr="007977F5">
        <w:rPr>
          <w:noProof w:val="0"/>
          <w:rtl/>
        </w:rPr>
        <w:tab/>
        <w:t>הכונ"ר מתמנה בזאת ככונס לנכסי החייב</w:t>
      </w:r>
      <w:r>
        <w:rPr>
          <w:noProof w:val="0"/>
          <w:rtl/>
        </w:rPr>
        <w:t>ת</w:t>
      </w:r>
      <w:r w:rsidRPr="007977F5">
        <w:rPr>
          <w:noProof w:val="0"/>
          <w:rtl/>
        </w:rPr>
        <w:t>.</w:t>
      </w:r>
    </w:p>
    <w:p w:rsidRPr="007977F5" w:rsidR="001D09B2" w:rsidP="001D09B2" w:rsidRDefault="001D09B2">
      <w:pPr>
        <w:spacing w:before="120" w:line="360" w:lineRule="auto"/>
        <w:ind w:left="720" w:hanging="720"/>
        <w:jc w:val="both"/>
        <w:rPr>
          <w:noProof w:val="0"/>
          <w:rtl/>
        </w:rPr>
      </w:pPr>
      <w:r w:rsidRPr="007977F5">
        <w:rPr>
          <w:noProof w:val="0"/>
          <w:rtl/>
        </w:rPr>
        <w:t>ג.</w:t>
      </w:r>
      <w:r w:rsidRPr="007977F5">
        <w:rPr>
          <w:noProof w:val="0"/>
          <w:rtl/>
        </w:rPr>
        <w:tab/>
        <w:t>הנני מורה</w:t>
      </w:r>
      <w:bookmarkStart w:name="_GoBack" w:id="0"/>
      <w:bookmarkEnd w:id="0"/>
      <w:r w:rsidRPr="007977F5">
        <w:rPr>
          <w:noProof w:val="0"/>
          <w:rtl/>
        </w:rPr>
        <w:t xml:space="preserve"> על עיכוב יציאת החייב</w:t>
      </w:r>
      <w:r>
        <w:rPr>
          <w:noProof w:val="0"/>
          <w:rtl/>
        </w:rPr>
        <w:t>ת</w:t>
      </w:r>
      <w:r w:rsidRPr="007977F5">
        <w:rPr>
          <w:noProof w:val="0"/>
          <w:rtl/>
        </w:rPr>
        <w:t xml:space="preserve"> מן הארץ. צו זה מחליף ובא במקום צווי עיכוב יציאה מן הארץ אשר הוצאו כנגד החייב</w:t>
      </w:r>
      <w:r>
        <w:rPr>
          <w:noProof w:val="0"/>
          <w:rtl/>
        </w:rPr>
        <w:t>ת</w:t>
      </w:r>
      <w:r w:rsidRPr="007977F5">
        <w:rPr>
          <w:noProof w:val="0"/>
          <w:rtl/>
        </w:rPr>
        <w:t xml:space="preserve"> בתיקי ההוצאה לפועל הפרטניים שההליכים בהם עוכבו בצו זה. על משטרת ישראל ו/או רשות האוכלוסין וההגירה לעכב יציאת</w:t>
      </w:r>
      <w:r>
        <w:rPr>
          <w:noProof w:val="0"/>
          <w:rtl/>
        </w:rPr>
        <w:t>ה</w:t>
      </w:r>
      <w:r w:rsidRPr="007977F5">
        <w:rPr>
          <w:noProof w:val="0"/>
          <w:rtl/>
        </w:rPr>
        <w:t xml:space="preserve"> של החייב</w:t>
      </w:r>
      <w:r>
        <w:rPr>
          <w:noProof w:val="0"/>
          <w:rtl/>
        </w:rPr>
        <w:t>ת</w:t>
      </w:r>
      <w:r w:rsidRPr="007977F5">
        <w:rPr>
          <w:noProof w:val="0"/>
          <w:rtl/>
        </w:rPr>
        <w:t xml:space="preserve"> עד קבלת הודעה מבית המשפט בדבר ביטול צו עיכוב היציאה.</w:t>
      </w:r>
    </w:p>
    <w:p w:rsidRPr="007977F5" w:rsidR="001D09B2" w:rsidP="001D09B2" w:rsidRDefault="001D09B2">
      <w:pPr>
        <w:spacing w:before="120" w:line="360" w:lineRule="auto"/>
        <w:ind w:left="720" w:hanging="720"/>
        <w:jc w:val="both"/>
        <w:rPr>
          <w:noProof w:val="0"/>
          <w:rtl/>
        </w:rPr>
      </w:pPr>
      <w:r w:rsidRPr="007977F5">
        <w:rPr>
          <w:noProof w:val="0"/>
          <w:rtl/>
        </w:rPr>
        <w:t>ד.</w:t>
      </w:r>
      <w:r w:rsidRPr="007977F5">
        <w:rPr>
          <w:noProof w:val="0"/>
          <w:rtl/>
        </w:rPr>
        <w:tab/>
        <w:t>הגבלות שהוטלו, ככל שהוטלו, על רישיון הנהיגה של החייב</w:t>
      </w:r>
      <w:r>
        <w:rPr>
          <w:noProof w:val="0"/>
          <w:rtl/>
        </w:rPr>
        <w:t>ת</w:t>
      </w:r>
      <w:r w:rsidRPr="007977F5">
        <w:rPr>
          <w:noProof w:val="0"/>
          <w:rtl/>
        </w:rPr>
        <w:t xml:space="preserve"> מתוקף הליכי ההוצאה לפועל</w:t>
      </w:r>
      <w:r>
        <w:rPr>
          <w:noProof w:val="0"/>
          <w:rtl/>
        </w:rPr>
        <w:t>,</w:t>
      </w:r>
      <w:r w:rsidRPr="007977F5">
        <w:rPr>
          <w:noProof w:val="0"/>
          <w:rtl/>
        </w:rPr>
        <w:t xml:space="preserve"> לרבות הליכים המתנהלים</w:t>
      </w:r>
      <w:r>
        <w:rPr>
          <w:noProof w:val="0"/>
          <w:rtl/>
        </w:rPr>
        <w:t>,</w:t>
      </w:r>
      <w:r w:rsidRPr="007977F5">
        <w:rPr>
          <w:noProof w:val="0"/>
          <w:rtl/>
        </w:rPr>
        <w:t xml:space="preserve"> אם מתנהלים</w:t>
      </w:r>
      <w:r>
        <w:rPr>
          <w:noProof w:val="0"/>
          <w:rtl/>
        </w:rPr>
        <w:t>,</w:t>
      </w:r>
      <w:r w:rsidRPr="007977F5">
        <w:rPr>
          <w:noProof w:val="0"/>
          <w:rtl/>
        </w:rPr>
        <w:t xml:space="preserve"> על ידי המרכז לגביית קנסות</w:t>
      </w:r>
      <w:r>
        <w:rPr>
          <w:noProof w:val="0"/>
          <w:rtl/>
        </w:rPr>
        <w:t>,</w:t>
      </w:r>
      <w:r w:rsidRPr="007977F5">
        <w:rPr>
          <w:noProof w:val="0"/>
          <w:rtl/>
        </w:rPr>
        <w:t xml:space="preserve"> מבוטלות בזאת, ובלבד שהוטלו בגין חובות שנוצרו עובר למתן צו הכינוס.</w:t>
      </w:r>
    </w:p>
    <w:p w:rsidRPr="007977F5" w:rsidR="001D09B2" w:rsidP="001D09B2" w:rsidRDefault="001D09B2">
      <w:pPr>
        <w:spacing w:before="120" w:line="360" w:lineRule="auto"/>
        <w:ind w:left="720" w:hanging="720"/>
        <w:rPr>
          <w:noProof w:val="0"/>
          <w:rtl/>
        </w:rPr>
      </w:pPr>
      <w:r w:rsidRPr="007977F5">
        <w:rPr>
          <w:noProof w:val="0"/>
          <w:rtl/>
        </w:rPr>
        <w:t>ה.</w:t>
      </w:r>
      <w:r w:rsidRPr="007977F5">
        <w:rPr>
          <w:noProof w:val="0"/>
          <w:rtl/>
        </w:rPr>
        <w:tab/>
        <w:t>על החייב</w:t>
      </w:r>
      <w:r>
        <w:rPr>
          <w:noProof w:val="0"/>
          <w:rtl/>
        </w:rPr>
        <w:t>ת</w:t>
      </w:r>
      <w:r w:rsidRPr="007977F5">
        <w:rPr>
          <w:noProof w:val="0"/>
          <w:rtl/>
        </w:rPr>
        <w:t xml:space="preserve"> לבצע את הפעולות הבאות:</w:t>
      </w:r>
    </w:p>
    <w:p w:rsidRPr="007977F5" w:rsidR="001D09B2" w:rsidP="001D09B2" w:rsidRDefault="001D09B2">
      <w:pPr>
        <w:spacing w:before="120" w:line="360" w:lineRule="auto"/>
        <w:ind w:left="1440" w:hanging="720"/>
        <w:jc w:val="both"/>
        <w:rPr>
          <w:noProof w:val="0"/>
          <w:rtl/>
        </w:rPr>
      </w:pPr>
      <w:r w:rsidRPr="007977F5">
        <w:rPr>
          <w:noProof w:val="0"/>
          <w:rtl/>
        </w:rPr>
        <w:t>1.</w:t>
      </w:r>
      <w:r w:rsidRPr="007977F5">
        <w:rPr>
          <w:noProof w:val="0"/>
          <w:rtl/>
        </w:rPr>
        <w:tab/>
        <w:t>להתייצב בפני הכונ"ר במשרדו או בפני מנהל מיוחד, ככל שזה ימ</w:t>
      </w:r>
      <w:r>
        <w:rPr>
          <w:noProof w:val="0"/>
          <w:rtl/>
        </w:rPr>
        <w:t>ונה על ידי ב"כ הכונ"ר, בכל עת שי</w:t>
      </w:r>
      <w:r w:rsidRPr="007977F5">
        <w:rPr>
          <w:noProof w:val="0"/>
          <w:rtl/>
        </w:rPr>
        <w:t>ידרש לכך, לצורך חקירה.</w:t>
      </w:r>
    </w:p>
    <w:p w:rsidRPr="007977F5" w:rsidR="001D09B2" w:rsidP="001D09B2" w:rsidRDefault="001D09B2">
      <w:pPr>
        <w:spacing w:before="120" w:line="360" w:lineRule="auto"/>
        <w:ind w:left="1440" w:hanging="720"/>
        <w:jc w:val="both"/>
        <w:rPr>
          <w:noProof w:val="0"/>
          <w:rtl/>
        </w:rPr>
      </w:pPr>
      <w:r>
        <w:rPr>
          <w:noProof w:val="0"/>
          <w:rtl/>
        </w:rPr>
        <w:t>2.</w:t>
      </w:r>
      <w:r>
        <w:rPr>
          <w:noProof w:val="0"/>
          <w:rtl/>
        </w:rPr>
        <w:tab/>
        <w:t>לשלם לכונ"ר לטובת נושיה</w:t>
      </w:r>
      <w:r w:rsidRPr="007977F5">
        <w:rPr>
          <w:noProof w:val="0"/>
          <w:rtl/>
        </w:rPr>
        <w:t xml:space="preserve"> סך של </w:t>
      </w:r>
      <w:r>
        <w:rPr>
          <w:b/>
          <w:bCs/>
          <w:noProof w:val="0"/>
          <w:u w:val="single"/>
          <w:rtl/>
        </w:rPr>
        <w:t xml:space="preserve">500 </w:t>
      </w:r>
      <w:r w:rsidRPr="007977F5">
        <w:rPr>
          <w:b/>
          <w:bCs/>
          <w:noProof w:val="0"/>
          <w:u w:val="single"/>
          <w:rtl/>
        </w:rPr>
        <w:t xml:space="preserve">₪ לחודש, החל מיום </w:t>
      </w:r>
      <w:r>
        <w:rPr>
          <w:b/>
          <w:bCs/>
          <w:noProof w:val="0"/>
          <w:u w:val="single"/>
          <w:rtl/>
        </w:rPr>
        <w:t>1.6.18</w:t>
      </w:r>
      <w:r>
        <w:rPr>
          <w:noProof w:val="0"/>
          <w:rtl/>
        </w:rPr>
        <w:t>,</w:t>
      </w:r>
      <w:r w:rsidRPr="007977F5">
        <w:rPr>
          <w:noProof w:val="0"/>
          <w:rtl/>
        </w:rPr>
        <w:t xml:space="preserve"> ומדי חודש בחודשו עד ליום ה-</w:t>
      </w:r>
      <w:r>
        <w:rPr>
          <w:noProof w:val="0"/>
          <w:rtl/>
        </w:rPr>
        <w:t xml:space="preserve"> 10 </w:t>
      </w:r>
      <w:r w:rsidRPr="007977F5">
        <w:rPr>
          <w:noProof w:val="0"/>
          <w:rtl/>
        </w:rPr>
        <w:t>בכל חודש.</w:t>
      </w:r>
    </w:p>
    <w:p w:rsidRPr="007977F5" w:rsidR="001D09B2" w:rsidP="001D09B2" w:rsidRDefault="001D09B2">
      <w:pPr>
        <w:spacing w:before="120" w:line="360" w:lineRule="auto"/>
        <w:ind w:left="1440" w:hanging="720"/>
        <w:jc w:val="both"/>
        <w:rPr>
          <w:noProof w:val="0"/>
          <w:rtl/>
        </w:rPr>
      </w:pPr>
      <w:r w:rsidRPr="007977F5">
        <w:rPr>
          <w:noProof w:val="0"/>
          <w:rtl/>
        </w:rPr>
        <w:t>3.</w:t>
      </w:r>
      <w:r w:rsidRPr="007977F5">
        <w:rPr>
          <w:noProof w:val="0"/>
          <w:rtl/>
        </w:rPr>
        <w:tab/>
        <w:t>להגיש לכונ</w:t>
      </w:r>
      <w:r>
        <w:rPr>
          <w:noProof w:val="0"/>
          <w:rtl/>
        </w:rPr>
        <w:t>"ר דו"ח אחת לחודשיים על הכנסותיה והוצאותיה, על פי הטפסים שיימסרו לה</w:t>
      </w:r>
      <w:r w:rsidRPr="007977F5">
        <w:rPr>
          <w:noProof w:val="0"/>
          <w:rtl/>
        </w:rPr>
        <w:t xml:space="preserve"> על ידי הכונ"ר</w:t>
      </w:r>
      <w:r>
        <w:rPr>
          <w:noProof w:val="0"/>
          <w:rtl/>
        </w:rPr>
        <w:t>,</w:t>
      </w:r>
      <w:r w:rsidRPr="007977F5">
        <w:rPr>
          <w:noProof w:val="0"/>
          <w:rtl/>
        </w:rPr>
        <w:t xml:space="preserve"> ובמועדים שייקבעו על ידי הכונ"ר.</w:t>
      </w:r>
    </w:p>
    <w:p w:rsidR="001D09B2" w:rsidP="001D09B2" w:rsidRDefault="001D09B2">
      <w:pPr>
        <w:spacing w:before="120" w:line="360" w:lineRule="auto"/>
        <w:ind w:left="720" w:hanging="720"/>
        <w:jc w:val="both"/>
        <w:rPr>
          <w:noProof w:val="0"/>
          <w:rtl/>
        </w:rPr>
      </w:pPr>
      <w:r>
        <w:rPr>
          <w:noProof w:val="0"/>
          <w:rtl/>
        </w:rPr>
        <w:lastRenderedPageBreak/>
        <w:t>ו.</w:t>
      </w:r>
      <w:r>
        <w:rPr>
          <w:noProof w:val="0"/>
          <w:rtl/>
        </w:rPr>
        <w:tab/>
        <w:t>ניתן בזאת צו לעיכוב כל ההליכים מכל סוג שהוא כנגד החייבת, כאמור בסעיפים 20(א)</w:t>
      </w:r>
      <w:r>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001D09B2" w:rsidP="001D09B2" w:rsidRDefault="001D09B2">
      <w:pPr>
        <w:spacing w:before="120" w:line="360" w:lineRule="auto"/>
        <w:ind w:left="720" w:hanging="720"/>
        <w:jc w:val="both"/>
        <w:rPr>
          <w:noProof w:val="0"/>
          <w:rtl/>
        </w:rPr>
      </w:pPr>
      <w:r>
        <w:rPr>
          <w:noProof w:val="0"/>
          <w:rtl/>
        </w:rPr>
        <w:t>ז.</w:t>
      </w:r>
      <w:r>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001D09B2" w:rsidP="001D09B2" w:rsidRDefault="001D09B2">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משכורתה של החייבת אצל המעביד</w:t>
      </w:r>
      <w:r w:rsidRPr="00F63185">
        <w:rPr>
          <w:noProof w:val="0"/>
          <w:rtl/>
        </w:rPr>
        <w:t xml:space="preserve"> </w:t>
      </w:r>
      <w:r>
        <w:rPr>
          <w:noProof w:val="0"/>
          <w:rtl/>
        </w:rPr>
        <w:t>ו/או על גמלאות או קצבאות שלהן זכאית החייבת ו/או על חשבון העו"ש המנוהל ע"ש החייבת אליו מופקדת משכורתה החודשית.</w:t>
      </w:r>
    </w:p>
    <w:p w:rsidR="001D09B2" w:rsidP="001D09B2" w:rsidRDefault="001D09B2">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5F4E1A" w:rsidR="001D09B2" w:rsidP="001D09B2" w:rsidRDefault="001D09B2">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החייבת,</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מהחייבת בתיקי ההוצאה לפועל, וטרם הועברו לנושים במועד צו הכינוס, יועברו לקופת הכינוס. </w:t>
      </w:r>
    </w:p>
    <w:p w:rsidRPr="007977F5" w:rsidR="001D09B2" w:rsidP="001D09B2" w:rsidRDefault="001D09B2">
      <w:pPr>
        <w:spacing w:before="120" w:line="360" w:lineRule="auto"/>
        <w:ind w:left="720" w:hanging="720"/>
        <w:jc w:val="both"/>
        <w:rPr>
          <w:noProof w:val="0"/>
          <w:rtl/>
        </w:rPr>
      </w:pPr>
      <w:r w:rsidRPr="007977F5">
        <w:rPr>
          <w:noProof w:val="0"/>
          <w:rtl/>
        </w:rPr>
        <w:t>י</w:t>
      </w:r>
      <w:r>
        <w:rPr>
          <w:noProof w:val="0"/>
          <w:rtl/>
        </w:rPr>
        <w:t>א</w:t>
      </w:r>
      <w:r w:rsidRPr="007977F5">
        <w:rPr>
          <w:noProof w:val="0"/>
          <w:rtl/>
        </w:rPr>
        <w:t xml:space="preserve">.       </w:t>
      </w:r>
      <w:r>
        <w:rPr>
          <w:noProof w:val="0"/>
          <w:rtl/>
        </w:rPr>
        <w:t xml:space="preserve"> </w:t>
      </w:r>
      <w:r w:rsidRPr="007977F5">
        <w:rPr>
          <w:noProof w:val="0"/>
          <w:rtl/>
        </w:rPr>
        <w:t>בהתאם לתקנה 21 לתקנות פשיטת הרגל, התשמ"ה-1985, אני מורה לרשם המקרקעין</w:t>
      </w:r>
      <w:r>
        <w:rPr>
          <w:noProof w:val="0"/>
          <w:rtl/>
        </w:rPr>
        <w:t>, רשות מקרקעי ישראל</w:t>
      </w:r>
      <w:r w:rsidRPr="007977F5">
        <w:rPr>
          <w:noProof w:val="0"/>
          <w:rtl/>
        </w:rPr>
        <w:t xml:space="preserve"> ורשם המשכונות לרשום הערה אודות צו הכינוס על נכסי החייב</w:t>
      </w:r>
      <w:r>
        <w:rPr>
          <w:noProof w:val="0"/>
          <w:rtl/>
        </w:rPr>
        <w:t>ת</w:t>
      </w:r>
      <w:r w:rsidRPr="007977F5">
        <w:rPr>
          <w:noProof w:val="0"/>
          <w:rtl/>
        </w:rPr>
        <w:t xml:space="preserve"> הרשומים בפנקסי המקרקעין המתנהלים על ידם. </w:t>
      </w:r>
    </w:p>
    <w:p w:rsidRPr="007977F5" w:rsidR="001D09B2" w:rsidP="001D09B2" w:rsidRDefault="001D09B2">
      <w:pPr>
        <w:spacing w:before="120" w:line="480" w:lineRule="auto"/>
        <w:ind w:left="720" w:hanging="720"/>
        <w:jc w:val="both"/>
        <w:rPr>
          <w:b/>
          <w:bCs/>
          <w:noProof w:val="0"/>
          <w:u w:val="single"/>
          <w:rtl/>
        </w:rPr>
      </w:pPr>
      <w:r w:rsidRPr="007977F5">
        <w:rPr>
          <w:noProof w:val="0"/>
          <w:rtl/>
        </w:rPr>
        <w:t>י</w:t>
      </w:r>
      <w:r>
        <w:rPr>
          <w:noProof w:val="0"/>
          <w:rtl/>
        </w:rPr>
        <w:t>ב</w:t>
      </w:r>
      <w:r w:rsidRPr="007977F5">
        <w:rPr>
          <w:noProof w:val="0"/>
          <w:rtl/>
        </w:rPr>
        <w:t>.</w:t>
      </w:r>
      <w:r>
        <w:rPr>
          <w:b/>
          <w:bCs/>
          <w:noProof w:val="0"/>
          <w:rtl/>
        </w:rPr>
        <w:t xml:space="preserve">        </w:t>
      </w:r>
      <w:r w:rsidRPr="007977F5">
        <w:rPr>
          <w:b/>
          <w:bCs/>
          <w:noProof w:val="0"/>
          <w:u w:val="single"/>
          <w:rtl/>
        </w:rPr>
        <w:t xml:space="preserve">המועד לדיון בבקשת פשיטת הרגל נקבע בזה ליום </w:t>
      </w:r>
      <w:r>
        <w:rPr>
          <w:rFonts w:hint="cs"/>
          <w:b/>
          <w:bCs/>
          <w:noProof w:val="0"/>
          <w:u w:val="single"/>
          <w:rtl/>
        </w:rPr>
        <w:t>23.12.19</w:t>
      </w:r>
      <w:r w:rsidRPr="007977F5">
        <w:rPr>
          <w:b/>
          <w:bCs/>
          <w:noProof w:val="0"/>
          <w:u w:val="single"/>
          <w:rtl/>
        </w:rPr>
        <w:t xml:space="preserve">, שעה </w:t>
      </w:r>
      <w:r>
        <w:rPr>
          <w:rFonts w:hint="cs"/>
          <w:b/>
          <w:bCs/>
          <w:noProof w:val="0"/>
          <w:u w:val="single"/>
          <w:rtl/>
        </w:rPr>
        <w:t>9:00</w:t>
      </w:r>
      <w:r w:rsidRPr="007977F5">
        <w:rPr>
          <w:b/>
          <w:bCs/>
          <w:noProof w:val="0"/>
          <w:u w:val="single"/>
          <w:rtl/>
        </w:rPr>
        <w:t>.</w:t>
      </w:r>
    </w:p>
    <w:p w:rsidRPr="007977F5" w:rsidR="001D09B2" w:rsidP="001D09B2" w:rsidRDefault="001D09B2">
      <w:pPr>
        <w:spacing w:before="120" w:line="360" w:lineRule="auto"/>
        <w:ind w:left="720" w:hanging="720"/>
        <w:jc w:val="both"/>
        <w:rPr>
          <w:noProof w:val="0"/>
          <w:rtl/>
        </w:rPr>
      </w:pPr>
      <w:r w:rsidRPr="007977F5">
        <w:rPr>
          <w:noProof w:val="0"/>
          <w:rtl/>
        </w:rPr>
        <w:lastRenderedPageBreak/>
        <w:t>י</w:t>
      </w:r>
      <w:r>
        <w:rPr>
          <w:noProof w:val="0"/>
          <w:rtl/>
        </w:rPr>
        <w:t>ג</w:t>
      </w:r>
      <w:r w:rsidRPr="007977F5">
        <w:rPr>
          <w:noProof w:val="0"/>
          <w:rtl/>
        </w:rPr>
        <w:t>.</w:t>
      </w:r>
      <w:r w:rsidRPr="007977F5">
        <w:rPr>
          <w:noProof w:val="0"/>
          <w:rtl/>
        </w:rPr>
        <w:tab/>
        <w:t>פרסום צו כינוס זה יבוצע על ידי הכונ"ר ויכלול את מועד הדיון האמור.</w:t>
      </w:r>
      <w:r>
        <w:rPr>
          <w:noProof w:val="0"/>
          <w:rtl/>
        </w:rPr>
        <w:t xml:space="preserve"> </w:t>
      </w:r>
      <w:r w:rsidRPr="007977F5">
        <w:rPr>
          <w:noProof w:val="0"/>
          <w:rtl/>
        </w:rPr>
        <w:t>אני מורה כי הפרסום האמור שיתבצע על ידי הכונ"ר, יודיע גם על אסיפת נושים, ככל שתת</w:t>
      </w:r>
      <w:r>
        <w:rPr>
          <w:noProof w:val="0"/>
          <w:rtl/>
        </w:rPr>
        <w:t xml:space="preserve">קיים, ויהווה הזמנה כדין לנושים. </w:t>
      </w:r>
      <w:r w:rsidRPr="007977F5">
        <w:rPr>
          <w:noProof w:val="0"/>
          <w:rtl/>
        </w:rPr>
        <w:t>כן יודיע הפרסום על אפשרות מתן הפטר לאלתר לחייב</w:t>
      </w:r>
      <w:r>
        <w:rPr>
          <w:noProof w:val="0"/>
          <w:rtl/>
        </w:rPr>
        <w:t>ת</w:t>
      </w:r>
      <w:r w:rsidRPr="007977F5">
        <w:rPr>
          <w:noProof w:val="0"/>
          <w:rtl/>
        </w:rPr>
        <w:t xml:space="preserve"> אם נסיבות המקרה יצדיקו זאת. ללא קשר לפרסום</w:t>
      </w:r>
      <w:r>
        <w:rPr>
          <w:noProof w:val="0"/>
          <w:rtl/>
        </w:rPr>
        <w:t>,</w:t>
      </w:r>
      <w:r w:rsidRPr="007977F5">
        <w:rPr>
          <w:noProof w:val="0"/>
          <w:rtl/>
        </w:rPr>
        <w:t xml:space="preserve"> ימסור הכונ"ר לחייב</w:t>
      </w:r>
      <w:r>
        <w:rPr>
          <w:noProof w:val="0"/>
          <w:rtl/>
        </w:rPr>
        <w:t>ת</w:t>
      </w:r>
      <w:r w:rsidRPr="007977F5">
        <w:rPr>
          <w:noProof w:val="0"/>
          <w:rtl/>
        </w:rPr>
        <w:t xml:space="preserve"> מהו המועד שנקבע לאסיפת הנושים, ככל שתתקיים, בתוך 14 יום ממתן צו הכינוס. </w:t>
      </w:r>
    </w:p>
    <w:p w:rsidRPr="007D1123" w:rsidR="001D09B2" w:rsidP="001D09B2" w:rsidRDefault="001D09B2">
      <w:pPr>
        <w:jc w:val="both"/>
        <w:rPr>
          <w:b/>
          <w:bCs/>
        </w:rPr>
      </w:pPr>
      <w:r w:rsidRPr="007D1123">
        <w:rPr>
          <w:b/>
          <w:bCs/>
          <w:noProof w:val="0"/>
          <w:rtl/>
        </w:rPr>
        <w:t>החייב</w:t>
      </w:r>
      <w:r>
        <w:rPr>
          <w:b/>
          <w:bCs/>
          <w:noProof w:val="0"/>
          <w:rtl/>
        </w:rPr>
        <w:t>ת ת</w:t>
      </w:r>
      <w:r w:rsidRPr="007D1123">
        <w:rPr>
          <w:b/>
          <w:bCs/>
          <w:noProof w:val="0"/>
          <w:rtl/>
        </w:rPr>
        <w:t>מציא החלטה זו בדואר רשום עם אישור מסירה לכל תיקי ההוצל"פ המתנהלים כנגד</w:t>
      </w:r>
      <w:r>
        <w:rPr>
          <w:b/>
          <w:bCs/>
          <w:noProof w:val="0"/>
          <w:rtl/>
        </w:rPr>
        <w:t>ה</w:t>
      </w:r>
      <w:r w:rsidRPr="007D1123">
        <w:rPr>
          <w:b/>
          <w:bCs/>
          <w:noProof w:val="0"/>
          <w:rtl/>
        </w:rPr>
        <w:t>, וכן לנושים ע</w:t>
      </w:r>
      <w:r>
        <w:rPr>
          <w:b/>
          <w:bCs/>
          <w:noProof w:val="0"/>
          <w:rtl/>
        </w:rPr>
        <w:t>צמם באם  לא פתחו תיק הוצל"פ , ות</w:t>
      </w:r>
      <w:r w:rsidRPr="007D1123">
        <w:rPr>
          <w:b/>
          <w:bCs/>
          <w:noProof w:val="0"/>
          <w:rtl/>
        </w:rPr>
        <w:t>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D74F1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2a4bd7f3e974ded"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74F1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74F1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74F1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74F1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30017-10-17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אלואשוולי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60743</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09B2"/>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517D"/>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0315"/>
    <w:rsid w:val="00D33B86"/>
    <w:rsid w:val="00D44968"/>
    <w:rsid w:val="00D53924"/>
    <w:rsid w:val="00D55D0C"/>
    <w:rsid w:val="00D74F18"/>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2a4bd7f3e974de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90579" w:rsidP="00B9057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0579"/>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057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9057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686</Words>
  <Characters>3430</Characters>
  <Application>Microsoft Office Word</Application>
  <DocSecurity>0</DocSecurity>
  <Lines>28</Lines>
  <Paragraphs>8</Paragraphs>
  <ScaleCrop>false</ScaleCrop>
  <Company>Microsoft Corporation</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117</cp:revision>
  <dcterms:created xsi:type="dcterms:W3CDTF">2012-08-06T05:16:00Z</dcterms:created>
  <dcterms:modified xsi:type="dcterms:W3CDTF">2018-04-12T11:30:00Z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