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31F54" w:rsidRDefault="00EC3C9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9026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אלכסנדר טובבין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9026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C3C9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9026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גור מרגולין</w:t>
                </w:r>
              </w:sdtContent>
            </w:sdt>
          </w:p>
          <w:p w:rsidR="0094424E" w:rsidP="00D44968" w:rsidRDefault="00E9026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922119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348266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C3C9A" w:rsidP="00EC3C9A" w:rsidRDefault="00EC3C9A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11.7.18, בשעה 10.30.</w:t>
      </w:r>
    </w:p>
    <w:p w:rsidR="00EC3C9A" w:rsidP="00EC3C9A" w:rsidRDefault="00EC3C9A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EC3C9A" w:rsidP="00D71C0D" w:rsidRDefault="00EC3C9A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EC3C9A" w:rsidP="00D71C0D" w:rsidRDefault="00EC3C9A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EC3C9A" w:rsidP="00D71C0D" w:rsidRDefault="00EC3C9A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EC3C9A" w:rsidP="00D71C0D" w:rsidRDefault="00EC3C9A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EC3C9A" w:rsidP="00D71C0D" w:rsidRDefault="00EC3C9A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EC3C9A" w:rsidP="00D71C0D" w:rsidRDefault="00EC3C9A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EC3C9A" w:rsidP="00D71C0D" w:rsidRDefault="00EC3C9A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EC3C9A" w:rsidP="00D71C0D" w:rsidRDefault="00EC3C9A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EC3C9A" w:rsidP="00D71C0D" w:rsidRDefault="00EC3C9A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EC3C9A" w:rsidP="00D71C0D" w:rsidRDefault="00EC3C9A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EC3C9A" w:rsidP="00D71C0D" w:rsidRDefault="00EC3C9A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EC3C9A" w:rsidP="00D71C0D" w:rsidRDefault="00EC3C9A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EC3C9A" w:rsidP="00D71C0D" w:rsidRDefault="00EC3C9A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EC3C9A" w:rsidP="00D71C0D" w:rsidRDefault="00EC3C9A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="00EC3C9A" w:rsidRDefault="00EC3C9A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9026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lastRenderedPageBreak/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c981244d5646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9026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9026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026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BE7072F" wp14:editId="690B910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9026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31176-12-17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טובבין נ' מרגולין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0DB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1F54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026E"/>
    <w:rsid w:val="00E962E3"/>
    <w:rsid w:val="00EB6C79"/>
    <w:rsid w:val="00EC37E9"/>
    <w:rsid w:val="00EC3C9A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EC3C9A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EC3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fc981244d56467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E5EA8" w:rsidP="00BE5EA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5EA8" w:rsidP="00BE5EA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5EA8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EA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E5E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E5E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183</Words>
  <Characters>920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