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bookmarkStart w:name="_GoBack" w:id="0"/>
      <w:bookmarkEnd w:id="0"/>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טלמור פרס</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Pr="00114036" w:rsidR="0094424E" w:rsidP="00D44968" w:rsidRDefault="0094424E">
            <w:pPr>
              <w:suppressLineNumbers/>
              <w:rPr>
                <w:rFonts w:ascii="Arial" w:hAnsi="Arial"/>
                <w:b/>
                <w:bCs/>
                <w:noProof w:val="0"/>
                <w:sz w:val="26"/>
                <w:szCs w:val="26"/>
              </w:rPr>
            </w:pPr>
          </w:p>
          <w:sdt>
            <w:sdtPr>
              <w:rPr>
                <w:b/>
                <w:bCs/>
                <w:rtl/>
              </w:rPr>
              <w:alias w:val="1180"/>
              <w:tag w:val="1180"/>
              <w:id w:val="637458750"/>
              <w:text w:multiLine="1"/>
            </w:sdtPr>
            <w:sdtEndPr/>
            <w:sdtContent>
              <w:p w:rsidRPr="00114036" w:rsidR="00F75702" w:rsidP="00114036" w:rsidRDefault="00B74165">
                <w:pPr>
                  <w:suppressLineNumbers/>
                  <w:rPr>
                    <w:rFonts w:ascii="Arial" w:hAnsi="Arial"/>
                    <w:b/>
                    <w:bCs/>
                    <w:noProof w:val="0"/>
                    <w:sz w:val="26"/>
                    <w:szCs w:val="26"/>
                    <w:rtl/>
                  </w:rPr>
                </w:pPr>
                <w:r w:rsidRPr="00114036">
                  <w:rPr>
                    <w:rFonts w:ascii="Arial" w:hAnsi="Arial"/>
                    <w:b/>
                    <w:bCs/>
                    <w:noProof w:val="0"/>
                    <w:sz w:val="26"/>
                    <w:szCs w:val="26"/>
                    <w:rtl/>
                  </w:rPr>
                  <w:t>תובע</w:t>
                </w:r>
                <w:r w:rsidRPr="00114036" w:rsidR="00114036">
                  <w:rPr>
                    <w:rFonts w:hint="cs"/>
                    <w:b/>
                    <w:bCs/>
                    <w:rtl/>
                  </w:rPr>
                  <w:t xml:space="preserve"> (המשיב)</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C155C5">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פרץ סופר</w:t>
                </w:r>
              </w:sdtContent>
            </w:sdt>
          </w:p>
        </w:tc>
      </w:tr>
      <w:tr w:rsidR="0094424E">
        <w:trPr>
          <w:jc w:val="center"/>
        </w:trPr>
        <w:tc>
          <w:tcPr>
            <w:tcW w:w="8820" w:type="dxa"/>
            <w:gridSpan w:val="3"/>
          </w:tcPr>
          <w:p w:rsidRPr="00114036" w:rsidR="0094424E" w:rsidP="00D44968" w:rsidRDefault="0094424E">
            <w:pPr>
              <w:suppressLineNumbers/>
              <w:rPr>
                <w:rFonts w:ascii="Arial" w:hAnsi="Arial"/>
                <w:b/>
                <w:bCs/>
                <w:noProof w:val="0"/>
                <w:sz w:val="26"/>
                <w:szCs w:val="26"/>
                <w:rtl/>
              </w:rPr>
            </w:pPr>
          </w:p>
          <w:p w:rsidRPr="00114036" w:rsidR="0094424E" w:rsidP="00D44968" w:rsidRDefault="0094424E">
            <w:pPr>
              <w:suppressLineNumbers/>
              <w:jc w:val="center"/>
              <w:rPr>
                <w:rFonts w:ascii="Arial" w:hAnsi="Arial"/>
                <w:b/>
                <w:bCs/>
                <w:noProof w:val="0"/>
                <w:sz w:val="26"/>
                <w:szCs w:val="26"/>
                <w:rtl/>
              </w:rPr>
            </w:pPr>
            <w:r w:rsidRPr="00114036">
              <w:rPr>
                <w:rFonts w:ascii="Arial" w:hAnsi="Arial"/>
                <w:b/>
                <w:bCs/>
                <w:noProof w:val="0"/>
                <w:sz w:val="26"/>
                <w:szCs w:val="26"/>
                <w:rtl/>
              </w:rPr>
              <w:t>נגד</w:t>
            </w:r>
          </w:p>
          <w:p w:rsidRPr="00114036"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Pr="00114036" w:rsidR="0094424E" w:rsidP="00114036" w:rsidRDefault="00C155C5">
            <w:pPr>
              <w:suppressLineNumbers/>
              <w:rPr>
                <w:rFonts w:ascii="Arial" w:hAnsi="Arial"/>
                <w:b/>
                <w:bCs/>
                <w:noProof w:val="0"/>
                <w:sz w:val="26"/>
                <w:szCs w:val="26"/>
              </w:rPr>
            </w:pPr>
            <w:sdt>
              <w:sdtPr>
                <w:rPr>
                  <w:b/>
                  <w:bCs/>
                  <w:rtl/>
                </w:rPr>
                <w:alias w:val="1184"/>
                <w:tag w:val="1184"/>
                <w:id w:val="-340621022"/>
                <w:text w:multiLine="1"/>
              </w:sdtPr>
              <w:sdtEndPr/>
              <w:sdtContent>
                <w:r w:rsidRPr="00114036" w:rsidR="00CF6BB7">
                  <w:rPr>
                    <w:rFonts w:ascii="Arial" w:hAnsi="Arial"/>
                    <w:b/>
                    <w:bCs/>
                    <w:noProof w:val="0"/>
                    <w:sz w:val="26"/>
                    <w:szCs w:val="26"/>
                    <w:rtl/>
                  </w:rPr>
                  <w:t>נתבע</w:t>
                </w:r>
                <w:r w:rsidRPr="00114036" w:rsidR="00114036">
                  <w:rPr>
                    <w:rFonts w:hint="cs"/>
                    <w:b/>
                    <w:bCs/>
                    <w:rtl/>
                  </w:rPr>
                  <w:t xml:space="preserve"> (המבקש)</w:t>
                </w:r>
              </w:sdtContent>
            </w:sdt>
          </w:p>
        </w:tc>
        <w:tc>
          <w:tcPr>
            <w:tcW w:w="5571" w:type="dxa"/>
          </w:tcPr>
          <w:p w:rsidR="0094424E" w:rsidP="00D44968" w:rsidRDefault="00C155C5">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מוריס סופר</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rPr>
                <w:rtl/>
              </w:rPr>
            </w:pPr>
          </w:p>
        </w:tc>
      </w:tr>
      <w:tr w:rsidR="00CF6BB7">
        <w:trPr>
          <w:jc w:val="center"/>
        </w:trPr>
        <w:tc>
          <w:tcPr>
            <w:tcW w:w="3249" w:type="dxa"/>
            <w:gridSpan w:val="2"/>
          </w:tcPr>
          <w:p w:rsidR="00F75702" w:rsidRDefault="00F75702">
            <w:pPr>
              <w:rPr>
                <w:rFonts w:ascii="David" w:hAnsi="David" w:eastAsia="David"/>
                <w:noProof w:val="0"/>
              </w:rPr>
            </w:pPr>
          </w:p>
        </w:tc>
        <w:tc>
          <w:tcPr>
            <w:tcW w:w="5571" w:type="dxa"/>
          </w:tcPr>
          <w:p w:rsidR="00CF6BB7" w:rsidP="00CF6BB7" w:rsidRDefault="00CF6BB7">
            <w:pPr>
              <w:rPr>
                <w:rFonts w:cs="Times New Roman"/>
              </w:rPr>
            </w:pPr>
          </w:p>
        </w:tc>
      </w:tr>
      <w:tr w:rsidR="004C17EE" w:rsidTr="00D620FD">
        <w:trPr>
          <w:jc w:val="center"/>
        </w:trPr>
        <w:tc>
          <w:tcPr>
            <w:tcW w:w="8820" w:type="dxa"/>
            <w:gridSpan w:val="3"/>
          </w:tcPr>
          <w:p w:rsidR="00F75702" w:rsidRDefault="00F75702">
            <w:pPr>
              <w:suppressLineNumbers/>
              <w:rPr>
                <w:rFonts w:ascii="Arial" w:hAnsi="Arial"/>
                <w:b/>
                <w:bCs/>
                <w:noProof w:val="0"/>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RDefault="00694556">
      <w:pPr>
        <w:spacing w:line="360" w:lineRule="auto"/>
        <w:jc w:val="both"/>
        <w:rPr>
          <w:rFonts w:ascii="Arial" w:hAnsi="Arial"/>
          <w:noProof w:val="0"/>
          <w:rtl/>
        </w:rPr>
      </w:pPr>
      <w:bookmarkStart w:name="NGCSBookmark" w:id="1"/>
      <w:bookmarkEnd w:id="1"/>
    </w:p>
    <w:p w:rsidRPr="00114036" w:rsidR="00114036" w:rsidP="00F412E3" w:rsidRDefault="00114036">
      <w:pPr>
        <w:spacing w:line="360" w:lineRule="auto"/>
        <w:jc w:val="both"/>
        <w:rPr>
          <w:rFonts w:ascii="Arial" w:hAnsi="Arial"/>
          <w:noProof w:val="0"/>
          <w:rtl/>
        </w:rPr>
      </w:pPr>
      <w:r w:rsidRPr="00114036">
        <w:rPr>
          <w:rFonts w:ascii="Arial" w:hAnsi="Arial"/>
          <w:noProof w:val="0"/>
          <w:rtl/>
        </w:rPr>
        <w:t>בקשה למחיקת סעיפים מכתב התביעה.</w:t>
      </w:r>
    </w:p>
    <w:p w:rsidR="00F412E3" w:rsidP="00F412E3" w:rsidRDefault="00F412E3">
      <w:pPr>
        <w:spacing w:line="360" w:lineRule="auto"/>
        <w:jc w:val="both"/>
        <w:rPr>
          <w:rFonts w:ascii="Arial" w:hAnsi="Arial"/>
          <w:noProof w:val="0"/>
          <w:rtl/>
        </w:rPr>
      </w:pPr>
    </w:p>
    <w:p w:rsidRPr="00114036" w:rsidR="00114036" w:rsidP="00F412E3" w:rsidRDefault="00114036">
      <w:pPr>
        <w:spacing w:line="360" w:lineRule="auto"/>
        <w:jc w:val="both"/>
        <w:rPr>
          <w:rFonts w:ascii="Arial" w:hAnsi="Arial"/>
          <w:noProof w:val="0"/>
          <w:rtl/>
        </w:rPr>
      </w:pPr>
      <w:r w:rsidRPr="00114036">
        <w:rPr>
          <w:rFonts w:ascii="Arial" w:hAnsi="Arial"/>
          <w:noProof w:val="0"/>
          <w:rtl/>
        </w:rPr>
        <w:t>לאחר שעיינתי בכל אשר הוגש ובחנתי טענות הצדדים, אני סבורה כי דין הבקשה להידחות.</w:t>
      </w:r>
    </w:p>
    <w:p w:rsidRPr="00114036" w:rsidR="00114036" w:rsidP="00F412E3" w:rsidRDefault="00114036">
      <w:pPr>
        <w:spacing w:line="360" w:lineRule="auto"/>
        <w:jc w:val="both"/>
        <w:rPr>
          <w:rFonts w:ascii="Arial" w:hAnsi="Arial"/>
          <w:noProof w:val="0"/>
          <w:rtl/>
        </w:rPr>
      </w:pPr>
    </w:p>
    <w:p w:rsidRPr="00114036" w:rsidR="00114036" w:rsidP="00F412E3" w:rsidRDefault="00114036">
      <w:pPr>
        <w:spacing w:line="360" w:lineRule="auto"/>
        <w:jc w:val="both"/>
        <w:rPr>
          <w:rFonts w:ascii="Arial" w:hAnsi="Arial"/>
          <w:noProof w:val="0"/>
          <w:rtl/>
        </w:rPr>
      </w:pPr>
      <w:r w:rsidRPr="00114036">
        <w:rPr>
          <w:rFonts w:ascii="Arial" w:hAnsi="Arial"/>
          <w:noProof w:val="0"/>
          <w:rtl/>
        </w:rPr>
        <w:t>שימוש בסמכות בית המשפט לפי תקנה 91(א) לתקנות סדר הדין האזרחי, יעשה</w:t>
      </w:r>
      <w:r>
        <w:rPr>
          <w:rFonts w:ascii="Arial" w:hAnsi="Arial"/>
          <w:noProof w:val="0"/>
          <w:rtl/>
        </w:rPr>
        <w:t xml:space="preserve"> באופן זהיר, אך במקרים בהם ברור</w:t>
      </w:r>
      <w:r>
        <w:rPr>
          <w:rFonts w:hint="cs" w:ascii="Arial" w:hAnsi="Arial"/>
          <w:noProof w:val="0"/>
          <w:rtl/>
        </w:rPr>
        <w:t xml:space="preserve">, </w:t>
      </w:r>
      <w:r w:rsidRPr="00114036">
        <w:rPr>
          <w:rFonts w:ascii="Arial" w:hAnsi="Arial"/>
          <w:noProof w:val="0"/>
          <w:rtl/>
        </w:rPr>
        <w:t>על פניו כי מדובר בטענות שכל מטרתן היא להביש את הנתבע ואין בינן לבין עילת התובענה דבר.</w:t>
      </w:r>
    </w:p>
    <w:p w:rsidRPr="00114036" w:rsidR="00114036" w:rsidP="00F412E3" w:rsidRDefault="00114036">
      <w:pPr>
        <w:spacing w:line="360" w:lineRule="auto"/>
        <w:jc w:val="both"/>
        <w:rPr>
          <w:rFonts w:ascii="Arial" w:hAnsi="Arial"/>
          <w:noProof w:val="0"/>
          <w:rtl/>
        </w:rPr>
      </w:pPr>
      <w:r w:rsidRPr="00114036">
        <w:rPr>
          <w:rFonts w:ascii="Arial" w:hAnsi="Arial"/>
          <w:noProof w:val="0"/>
          <w:rtl/>
        </w:rPr>
        <w:t>טענה עשויה להיחשב מבישה עד כי יש להורות על מחיקתה מכתב הטענות, מקום שבו הטענה פוגעת בכבודו של אדם שיש לו קשר להתדיינות אך היא אינה רלוונטית להקשר בו הועלתה. על ביהמ"ש לבחון באופן פרטני את ההקשר הספציפי שבו הועלו הטענות.</w:t>
      </w:r>
    </w:p>
    <w:p w:rsidRPr="00114036" w:rsidR="00114036" w:rsidP="00F412E3" w:rsidRDefault="00114036">
      <w:pPr>
        <w:spacing w:line="360" w:lineRule="auto"/>
        <w:jc w:val="both"/>
        <w:rPr>
          <w:rFonts w:ascii="Arial" w:hAnsi="Arial"/>
          <w:noProof w:val="0"/>
          <w:rtl/>
        </w:rPr>
      </w:pPr>
      <w:r w:rsidRPr="00114036">
        <w:rPr>
          <w:rFonts w:ascii="Arial" w:hAnsi="Arial"/>
          <w:noProof w:val="0"/>
          <w:rtl/>
        </w:rPr>
        <w:t>(ראו רע"א</w:t>
      </w:r>
      <w:r w:rsidR="009D4EF5">
        <w:rPr>
          <w:rFonts w:hint="cs" w:ascii="Arial" w:hAnsi="Arial"/>
          <w:noProof w:val="0"/>
          <w:rtl/>
        </w:rPr>
        <w:t xml:space="preserve"> 6060/14</w:t>
      </w:r>
      <w:r w:rsidRPr="00114036">
        <w:rPr>
          <w:rFonts w:ascii="Arial" w:hAnsi="Arial"/>
          <w:noProof w:val="0"/>
          <w:rtl/>
        </w:rPr>
        <w:t xml:space="preserve"> </w:t>
      </w:r>
      <w:r w:rsidRPr="00114036">
        <w:rPr>
          <w:rFonts w:ascii="Arial" w:hAnsi="Arial"/>
          <w:b/>
          <w:bCs/>
          <w:noProof w:val="0"/>
          <w:rtl/>
        </w:rPr>
        <w:t>תומר תשובה נ' יוניון מוטורס בע"מ</w:t>
      </w:r>
      <w:r w:rsidRPr="00114036">
        <w:rPr>
          <w:rFonts w:ascii="Arial" w:hAnsi="Arial"/>
          <w:noProof w:val="0"/>
          <w:rtl/>
        </w:rPr>
        <w:t>, פורסם במאגרים משפטיים).</w:t>
      </w:r>
    </w:p>
    <w:p w:rsidRPr="00114036" w:rsidR="00114036" w:rsidP="00F412E3" w:rsidRDefault="00114036">
      <w:pPr>
        <w:spacing w:line="360" w:lineRule="auto"/>
        <w:jc w:val="both"/>
        <w:rPr>
          <w:rFonts w:ascii="Arial" w:hAnsi="Arial"/>
          <w:noProof w:val="0"/>
          <w:rtl/>
        </w:rPr>
      </w:pPr>
    </w:p>
    <w:p w:rsidR="00114036" w:rsidP="00F412E3" w:rsidRDefault="00114036">
      <w:pPr>
        <w:spacing w:line="360" w:lineRule="auto"/>
        <w:jc w:val="both"/>
        <w:rPr>
          <w:rFonts w:ascii="Arial" w:hAnsi="Arial"/>
          <w:noProof w:val="0"/>
          <w:rtl/>
        </w:rPr>
      </w:pPr>
      <w:r w:rsidRPr="00114036">
        <w:rPr>
          <w:rFonts w:ascii="Arial" w:hAnsi="Arial"/>
          <w:noProof w:val="0"/>
          <w:rtl/>
        </w:rPr>
        <w:t>הסעיפים אותם מבקש הנתבע למחוק, מתארים את הרקע</w:t>
      </w:r>
      <w:r w:rsidR="009D4EF5">
        <w:rPr>
          <w:rFonts w:hint="cs" w:ascii="Arial" w:hAnsi="Arial"/>
          <w:noProof w:val="0"/>
          <w:rtl/>
        </w:rPr>
        <w:t xml:space="preserve"> והנסיבות </w:t>
      </w:r>
      <w:r w:rsidRPr="00114036">
        <w:rPr>
          <w:rFonts w:ascii="Arial" w:hAnsi="Arial"/>
          <w:noProof w:val="0"/>
          <w:rtl/>
        </w:rPr>
        <w:t>לפרסום הדברים המהווים, לגישת התובע, לשון הרע, מנקודת מבטו של התובע ועל פניו, הינם רלוונטיים לברור התביעה. כך מתוארת מערכת היחסים ב</w:t>
      </w:r>
      <w:r w:rsidR="00EC54B9">
        <w:rPr>
          <w:rFonts w:ascii="Arial" w:hAnsi="Arial"/>
          <w:noProof w:val="0"/>
          <w:rtl/>
        </w:rPr>
        <w:t>ין הצדדים</w:t>
      </w:r>
      <w:r w:rsidR="00EC54B9">
        <w:rPr>
          <w:rFonts w:hint="cs" w:ascii="Arial" w:hAnsi="Arial"/>
          <w:noProof w:val="0"/>
          <w:rtl/>
        </w:rPr>
        <w:t>,</w:t>
      </w:r>
      <w:r w:rsidR="00EC54B9">
        <w:rPr>
          <w:rFonts w:ascii="Arial" w:hAnsi="Arial"/>
          <w:noProof w:val="0"/>
          <w:rtl/>
        </w:rPr>
        <w:t xml:space="preserve"> פועלם בחברה המשפחתית</w:t>
      </w:r>
      <w:r w:rsidR="00EC54B9">
        <w:rPr>
          <w:rFonts w:hint="cs" w:ascii="Arial" w:hAnsi="Arial"/>
          <w:noProof w:val="0"/>
          <w:rtl/>
        </w:rPr>
        <w:t xml:space="preserve"> והרקע להתמוטטות החברה </w:t>
      </w:r>
      <w:r w:rsidRPr="00114036">
        <w:rPr>
          <w:rFonts w:ascii="Arial" w:hAnsi="Arial"/>
          <w:noProof w:val="0"/>
          <w:rtl/>
        </w:rPr>
        <w:t>ואין מקום במקרה דנן לנקוט בסעד קיצוני של מחיקת סעיפים מכתב התביעה.</w:t>
      </w:r>
    </w:p>
    <w:p w:rsidR="00F412E3" w:rsidP="00F412E3" w:rsidRDefault="00F412E3">
      <w:pPr>
        <w:spacing w:line="360" w:lineRule="auto"/>
        <w:jc w:val="both"/>
        <w:rPr>
          <w:rFonts w:ascii="Arial" w:hAnsi="Arial"/>
          <w:noProof w:val="0"/>
          <w:rtl/>
        </w:rPr>
      </w:pPr>
    </w:p>
    <w:p w:rsidRPr="00F412E3" w:rsidR="00F412E3" w:rsidP="00F412E3" w:rsidRDefault="00F412E3">
      <w:pPr>
        <w:spacing w:line="360" w:lineRule="auto"/>
        <w:jc w:val="both"/>
        <w:rPr>
          <w:rFonts w:ascii="Arial" w:hAnsi="Arial"/>
          <w:noProof w:val="0"/>
          <w:rtl/>
        </w:rPr>
      </w:pPr>
      <w:r w:rsidRPr="00F412E3">
        <w:rPr>
          <w:rFonts w:ascii="Arial" w:hAnsi="Arial"/>
          <w:noProof w:val="0"/>
          <w:rtl/>
        </w:rPr>
        <w:t>מאחר שמשמעותה המעשית של מחיקת סעיפים בכתב טענות הי</w:t>
      </w:r>
      <w:r>
        <w:rPr>
          <w:rFonts w:hint="cs" w:ascii="Arial" w:hAnsi="Arial"/>
          <w:noProof w:val="0"/>
          <w:rtl/>
        </w:rPr>
        <w:t>נה</w:t>
      </w:r>
      <w:r w:rsidRPr="00F412E3">
        <w:rPr>
          <w:rFonts w:ascii="Arial" w:hAnsi="Arial"/>
          <w:noProof w:val="0"/>
          <w:rtl/>
        </w:rPr>
        <w:t xml:space="preserve"> סילוק על הסף של חלק מן ההליך</w:t>
      </w:r>
      <w:r>
        <w:rPr>
          <w:rFonts w:hint="cs" w:ascii="Arial" w:hAnsi="Arial"/>
          <w:noProof w:val="0"/>
          <w:rtl/>
        </w:rPr>
        <w:t xml:space="preserve">, </w:t>
      </w:r>
      <w:r w:rsidRPr="00F412E3">
        <w:rPr>
          <w:rFonts w:ascii="Arial" w:hAnsi="Arial"/>
          <w:noProof w:val="0"/>
          <w:rtl/>
        </w:rPr>
        <w:t>איני רואה מקום</w:t>
      </w:r>
      <w:r>
        <w:rPr>
          <w:rFonts w:hint="cs" w:ascii="Arial" w:hAnsi="Arial"/>
          <w:noProof w:val="0"/>
          <w:rtl/>
        </w:rPr>
        <w:t xml:space="preserve"> לנקוט בסעד זה ו </w:t>
      </w:r>
      <w:r w:rsidRPr="00F412E3">
        <w:rPr>
          <w:rFonts w:ascii="Arial" w:hAnsi="Arial"/>
          <w:noProof w:val="0"/>
          <w:rtl/>
        </w:rPr>
        <w:t>"אין זה מתפקידו לערוך את כתבי הטענות ומשום שמשמעותה המעשית של מחיקת סעיפים היא סילוק על הסף של חלק מן ההליך".</w:t>
      </w:r>
    </w:p>
    <w:p w:rsidR="00F412E3" w:rsidP="00F412E3" w:rsidRDefault="00F412E3">
      <w:pPr>
        <w:spacing w:line="360" w:lineRule="auto"/>
        <w:jc w:val="both"/>
        <w:rPr>
          <w:rFonts w:ascii="Arial" w:hAnsi="Arial"/>
          <w:noProof w:val="0"/>
          <w:rtl/>
        </w:rPr>
      </w:pPr>
      <w:r>
        <w:rPr>
          <w:rFonts w:hint="cs" w:ascii="Arial" w:hAnsi="Arial"/>
          <w:noProof w:val="0"/>
          <w:rtl/>
        </w:rPr>
        <w:t>(ראו גם</w:t>
      </w:r>
      <w:r w:rsidRPr="00F412E3">
        <w:rPr>
          <w:rFonts w:ascii="Arial" w:hAnsi="Arial"/>
          <w:noProof w:val="0"/>
          <w:rtl/>
        </w:rPr>
        <w:t xml:space="preserve"> ת</w:t>
      </w:r>
      <w:r>
        <w:rPr>
          <w:rFonts w:hint="cs" w:ascii="Arial" w:hAnsi="Arial"/>
          <w:noProof w:val="0"/>
          <w:rtl/>
        </w:rPr>
        <w:t>"</w:t>
      </w:r>
      <w:r w:rsidRPr="00F412E3">
        <w:rPr>
          <w:rFonts w:ascii="Arial" w:hAnsi="Arial"/>
          <w:noProof w:val="0"/>
          <w:rtl/>
        </w:rPr>
        <w:t xml:space="preserve">א (ת"א) 3134/00 </w:t>
      </w:r>
      <w:r w:rsidRPr="00B74165">
        <w:rPr>
          <w:rFonts w:ascii="Arial" w:hAnsi="Arial"/>
          <w:b/>
          <w:bCs/>
          <w:noProof w:val="0"/>
          <w:rtl/>
        </w:rPr>
        <w:t>מרינה הרצליה שותפות מוגבלת (1998) נ' גרמן יעל</w:t>
      </w:r>
      <w:r>
        <w:rPr>
          <w:rFonts w:hint="cs" w:ascii="Arial" w:hAnsi="Arial"/>
          <w:noProof w:val="0"/>
          <w:rtl/>
        </w:rPr>
        <w:t>, פורסם במאגרים משפטיים).</w:t>
      </w:r>
    </w:p>
    <w:p w:rsidRPr="00114036" w:rsidR="00EC54B9" w:rsidP="00F412E3" w:rsidRDefault="00F412E3">
      <w:pPr>
        <w:spacing w:line="360" w:lineRule="auto"/>
        <w:jc w:val="both"/>
        <w:rPr>
          <w:rFonts w:ascii="Arial" w:hAnsi="Arial"/>
          <w:noProof w:val="0"/>
          <w:rtl/>
        </w:rPr>
      </w:pPr>
      <w:r>
        <w:rPr>
          <w:rFonts w:hint="cs" w:ascii="Arial" w:hAnsi="Arial"/>
          <w:noProof w:val="0"/>
          <w:rtl/>
        </w:rPr>
        <w:lastRenderedPageBreak/>
        <w:t>מ</w:t>
      </w:r>
      <w:r w:rsidRPr="00F412E3">
        <w:rPr>
          <w:rFonts w:ascii="Arial" w:hAnsi="Arial"/>
          <w:noProof w:val="0"/>
          <w:rtl/>
        </w:rPr>
        <w:t xml:space="preserve">שהמבקש </w:t>
      </w:r>
      <w:r>
        <w:rPr>
          <w:rFonts w:hint="cs" w:ascii="Arial" w:hAnsi="Arial"/>
          <w:noProof w:val="0"/>
          <w:rtl/>
        </w:rPr>
        <w:t xml:space="preserve">לא הצביע </w:t>
      </w:r>
      <w:r w:rsidRPr="00F412E3">
        <w:rPr>
          <w:rFonts w:ascii="Arial" w:hAnsi="Arial"/>
          <w:noProof w:val="0"/>
          <w:rtl/>
        </w:rPr>
        <w:t>על מקום קונקרטי שבו נטענו טענות עובדתיות חלופיות</w:t>
      </w:r>
      <w:r>
        <w:rPr>
          <w:rFonts w:hint="cs" w:ascii="Arial" w:hAnsi="Arial"/>
          <w:noProof w:val="0"/>
          <w:rtl/>
        </w:rPr>
        <w:t xml:space="preserve">, אין מקום אף </w:t>
      </w:r>
      <w:r w:rsidRPr="00F412E3">
        <w:rPr>
          <w:rFonts w:ascii="Arial" w:hAnsi="Arial"/>
          <w:noProof w:val="0"/>
          <w:rtl/>
        </w:rPr>
        <w:t xml:space="preserve">להורות על </w:t>
      </w:r>
      <w:r>
        <w:rPr>
          <w:rFonts w:ascii="Arial" w:hAnsi="Arial"/>
          <w:noProof w:val="0"/>
          <w:rtl/>
        </w:rPr>
        <w:t>מחיקת הפסקה הראשונה בפרק א'</w:t>
      </w:r>
      <w:r>
        <w:rPr>
          <w:rFonts w:hint="cs" w:ascii="Arial" w:hAnsi="Arial"/>
          <w:noProof w:val="0"/>
          <w:rtl/>
        </w:rPr>
        <w:t xml:space="preserve"> לכתב התביעה.</w:t>
      </w:r>
    </w:p>
    <w:p w:rsidRPr="00114036" w:rsidR="00114036" w:rsidP="00F412E3" w:rsidRDefault="00114036">
      <w:pPr>
        <w:spacing w:line="360" w:lineRule="auto"/>
        <w:jc w:val="both"/>
        <w:rPr>
          <w:rFonts w:ascii="Arial" w:hAnsi="Arial"/>
          <w:noProof w:val="0"/>
          <w:rtl/>
        </w:rPr>
      </w:pPr>
    </w:p>
    <w:p w:rsidRPr="00114036" w:rsidR="00114036" w:rsidP="00F412E3" w:rsidRDefault="00F412E3">
      <w:pPr>
        <w:spacing w:line="360" w:lineRule="auto"/>
        <w:jc w:val="both"/>
        <w:rPr>
          <w:rFonts w:ascii="Arial" w:hAnsi="Arial"/>
          <w:noProof w:val="0"/>
          <w:rtl/>
        </w:rPr>
      </w:pPr>
      <w:r>
        <w:rPr>
          <w:rFonts w:hint="cs" w:ascii="Arial" w:hAnsi="Arial"/>
          <w:noProof w:val="0"/>
          <w:rtl/>
        </w:rPr>
        <w:t xml:space="preserve">לאור האמור, </w:t>
      </w:r>
      <w:r w:rsidRPr="00114036" w:rsidR="00114036">
        <w:rPr>
          <w:rFonts w:ascii="Arial" w:hAnsi="Arial"/>
          <w:noProof w:val="0"/>
          <w:rtl/>
        </w:rPr>
        <w:t xml:space="preserve"> הבקשה נדחית.</w:t>
      </w:r>
    </w:p>
    <w:p w:rsidRPr="00114036" w:rsidR="00114036" w:rsidP="00F412E3" w:rsidRDefault="00114036">
      <w:pPr>
        <w:spacing w:line="360" w:lineRule="auto"/>
        <w:jc w:val="both"/>
        <w:rPr>
          <w:rFonts w:ascii="Arial" w:hAnsi="Arial"/>
          <w:noProof w:val="0"/>
          <w:rtl/>
        </w:rPr>
      </w:pPr>
    </w:p>
    <w:p w:rsidRPr="00DE1E7D" w:rsidR="00694556" w:rsidP="00F412E3" w:rsidRDefault="00F412E3">
      <w:pPr>
        <w:spacing w:line="360" w:lineRule="auto"/>
        <w:jc w:val="both"/>
        <w:rPr>
          <w:rFonts w:ascii="Arial" w:hAnsi="Arial"/>
          <w:noProof w:val="0"/>
          <w:rtl/>
        </w:rPr>
      </w:pPr>
      <w:r>
        <w:rPr>
          <w:rFonts w:hint="cs" w:ascii="Arial" w:hAnsi="Arial"/>
          <w:noProof w:val="0"/>
          <w:rtl/>
        </w:rPr>
        <w:t xml:space="preserve">הנתבע </w:t>
      </w:r>
      <w:r w:rsidRPr="00114036" w:rsidR="00114036">
        <w:rPr>
          <w:rFonts w:ascii="Arial" w:hAnsi="Arial"/>
          <w:noProof w:val="0"/>
          <w:rtl/>
        </w:rPr>
        <w:t xml:space="preserve">ישא </w:t>
      </w:r>
      <w:r>
        <w:rPr>
          <w:rFonts w:hint="cs" w:ascii="Arial" w:hAnsi="Arial"/>
          <w:noProof w:val="0"/>
          <w:rtl/>
        </w:rPr>
        <w:t xml:space="preserve">בתשלום </w:t>
      </w:r>
      <w:r w:rsidRPr="00114036" w:rsidR="00114036">
        <w:rPr>
          <w:rFonts w:ascii="Arial" w:hAnsi="Arial"/>
          <w:noProof w:val="0"/>
          <w:rtl/>
        </w:rPr>
        <w:t>הוצאות</w:t>
      </w:r>
      <w:r>
        <w:rPr>
          <w:rFonts w:hint="cs" w:ascii="Arial" w:hAnsi="Arial"/>
          <w:noProof w:val="0"/>
          <w:rtl/>
        </w:rPr>
        <w:t xml:space="preserve"> התובע בגין בקשה זו בסך </w:t>
      </w:r>
      <w:r>
        <w:rPr>
          <w:rFonts w:ascii="Arial" w:hAnsi="Arial"/>
          <w:noProof w:val="0"/>
          <w:rtl/>
        </w:rPr>
        <w:t xml:space="preserve">500 </w:t>
      </w:r>
      <w:r>
        <w:rPr>
          <w:rFonts w:hint="cs" w:ascii="Arial" w:hAnsi="Arial"/>
          <w:noProof w:val="0"/>
          <w:rtl/>
        </w:rPr>
        <w:t>₪.</w:t>
      </w:r>
    </w:p>
    <w:p w:rsidRPr="00DE1E7D" w:rsidR="00694556" w:rsidP="00F412E3"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C155C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620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5b67634ea524ab4" cstate="print">
                            <a:extLst>
                              <a:ext uri="{28A0092B-C50C-407E-A947-70E740481C1C}"/>
                            </a:extLst>
                          </a:blip>
                          <a:stretch>
                            <a:fillRect/>
                          </a:stretch>
                        </pic:blipFill>
                        <pic:spPr>
                          <a:xfrm>
                            <a:off x="0" y="0"/>
                            <a:ext cx="1162050" cy="10477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155C5">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155C5">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155C5">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DE594A">
      <w:trPr>
        <w:trHeight w:val="704" w:hRule="exact"/>
        <w:jc w:val="center"/>
      </w:trPr>
      <w:sdt>
        <w:sdtPr>
          <w:rPr>
            <w:rFonts w:ascii="Tahoma" w:hAnsi="Tahoma"/>
            <w:color w:val="000080"/>
            <w:sz w:val="32"/>
            <w:szCs w:val="32"/>
            <w:rtl/>
          </w:rPr>
          <w:alias w:val="1174"/>
          <w:tag w:val="1174"/>
          <w:id w:val="-1585920285"/>
          <w:text w:multiLine="1"/>
        </w:sdtPr>
        <w:sdtEndPr/>
        <w:sdtContent>
          <w:tc>
            <w:tcPr>
              <w:tcW w:w="8505"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באשדוד</w:t>
              </w:r>
            </w:p>
          </w:tc>
        </w:sdtContent>
      </w:sdt>
    </w:tr>
    <w:tr w:rsidR="00694556" w:rsidTr="00DE594A">
      <w:trPr>
        <w:trHeight w:val="337"/>
        <w:jc w:val="center"/>
      </w:trPr>
      <w:tc>
        <w:tcPr>
          <w:tcW w:w="4923" w:type="dxa"/>
        </w:tcPr>
        <w:p w:rsidR="00694556" w:rsidRDefault="00694556">
          <w:pPr>
            <w:rPr>
              <w:b/>
              <w:bCs/>
              <w:noProof w:val="0"/>
              <w:sz w:val="26"/>
              <w:szCs w:val="26"/>
              <w:rtl/>
            </w:rPr>
          </w:pPr>
        </w:p>
      </w:tc>
      <w:tc>
        <w:tcPr>
          <w:tcW w:w="3582" w:type="dxa"/>
        </w:tcPr>
        <w:p w:rsidR="00694556" w:rsidRDefault="00694556">
          <w:pPr>
            <w:pStyle w:val="a3"/>
            <w:jc w:val="right"/>
            <w:rPr>
              <w:b/>
              <w:bCs/>
              <w:noProof w:val="0"/>
              <w:sz w:val="26"/>
              <w:szCs w:val="26"/>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036"/>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D4EF5"/>
    <w:rsid w:val="009E1CE7"/>
    <w:rsid w:val="009E4EA5"/>
    <w:rsid w:val="009F164B"/>
    <w:rsid w:val="009F323C"/>
    <w:rsid w:val="00A3392B"/>
    <w:rsid w:val="00A80F2A"/>
    <w:rsid w:val="00A85E34"/>
    <w:rsid w:val="00A94B64"/>
    <w:rsid w:val="00AA3229"/>
    <w:rsid w:val="00AA7596"/>
    <w:rsid w:val="00AB5E52"/>
    <w:rsid w:val="00AC3B02"/>
    <w:rsid w:val="00AC3B7B"/>
    <w:rsid w:val="00AC5209"/>
    <w:rsid w:val="00AE0E34"/>
    <w:rsid w:val="00AE729E"/>
    <w:rsid w:val="00AE7752"/>
    <w:rsid w:val="00AF7FDA"/>
    <w:rsid w:val="00B5356E"/>
    <w:rsid w:val="00B74165"/>
    <w:rsid w:val="00B809AD"/>
    <w:rsid w:val="00B80CBD"/>
    <w:rsid w:val="00B86096"/>
    <w:rsid w:val="00B964D9"/>
    <w:rsid w:val="00BA0A7C"/>
    <w:rsid w:val="00BA517C"/>
    <w:rsid w:val="00BB3D05"/>
    <w:rsid w:val="00BB73BE"/>
    <w:rsid w:val="00BC2D89"/>
    <w:rsid w:val="00BD6531"/>
    <w:rsid w:val="00BE05B2"/>
    <w:rsid w:val="00BF1908"/>
    <w:rsid w:val="00C155C5"/>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594A"/>
    <w:rsid w:val="00DE6BF6"/>
    <w:rsid w:val="00E1068A"/>
    <w:rsid w:val="00E25884"/>
    <w:rsid w:val="00E25B55"/>
    <w:rsid w:val="00E31C2B"/>
    <w:rsid w:val="00E5426A"/>
    <w:rsid w:val="00E54642"/>
    <w:rsid w:val="00E80CBE"/>
    <w:rsid w:val="00E962E3"/>
    <w:rsid w:val="00EB6C79"/>
    <w:rsid w:val="00EC37E9"/>
    <w:rsid w:val="00EC54B9"/>
    <w:rsid w:val="00F038D8"/>
    <w:rsid w:val="00F06995"/>
    <w:rsid w:val="00F13623"/>
    <w:rsid w:val="00F412E3"/>
    <w:rsid w:val="00F44D1D"/>
    <w:rsid w:val="00F75702"/>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15b67634ea524ab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CB5E6B" w:rsidP="00CB5E6B">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CB5E6B"/>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5E6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CB5E6B"/>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CB5E6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274</Words>
  <Characters>1373</Characters>
  <Application>Microsoft Office Word</Application>
  <DocSecurity>0</DocSecurity>
  <Lines>11</Lines>
  <Paragraphs>3</Paragraphs>
  <ScaleCrop>false</ScaleCrop>
  <Company>Microsoft Corporation</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טלמור פרס</cp:lastModifiedBy>
  <cp:revision>122</cp:revision>
  <dcterms:created xsi:type="dcterms:W3CDTF">2012-08-06T05:16:00Z</dcterms:created>
  <dcterms:modified xsi:type="dcterms:W3CDTF">2018-04-12T15:39:00Z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