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863" w:rsidP="000B79B9" w:rsidRDefault="007D75B8">
      <w:pPr>
        <w:pStyle w:val="a3"/>
        <w:jc w:val="right"/>
        <w:rPr>
          <w:rtl/>
        </w:rPr>
      </w:pPr>
      <w:sdt>
        <w:sdtPr>
          <w:rPr>
            <w:rtl/>
          </w:rPr>
          <w:alias w:val="1456"/>
          <w:tag w:val="1456"/>
          <w:id w:val="-1921862679"/>
          <w:text/>
        </w:sdtPr>
        <w:sdtEndPr/>
        <w:sdtContent>
          <w:r>
            <w:rPr>
              <w:rFonts w:hint="cs"/>
              <w:b/>
              <w:bCs/>
              <w:noProof w:val="0"/>
              <w:sz w:val="26"/>
              <w:szCs w:val="26"/>
              <w:rtl/>
            </w:rPr>
            <w:t>11 אפריל 2018</w:t>
          </w:r>
        </w:sdtContent>
      </w:sdt>
    </w:p>
    <w:p w:rsidR="00694556" w:rsidP="00B92863" w:rsidRDefault="00694556">
      <w:pPr>
        <w:pStyle w:val="a3"/>
        <w:jc w:val="both"/>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621052" w:rsidR="00694556">
        <w:trPr>
          <w:trHeight w:val="295"/>
          <w:jc w:val="center"/>
        </w:trPr>
        <w:tc>
          <w:tcPr>
            <w:tcW w:w="5049" w:type="dxa"/>
            <w:gridSpan w:val="2"/>
          </w:tcPr>
          <w:p w:rsidRPr="00621052" w:rsidR="00694556" w:rsidRDefault="00ED242C">
            <w:pPr>
              <w:rPr>
                <w:rFonts w:ascii="Arial" w:hAnsi="Arial"/>
                <w:b/>
                <w:bCs/>
                <w:noProof w:val="0"/>
                <w:sz w:val="28"/>
                <w:szCs w:val="28"/>
                <w:rtl/>
              </w:rPr>
            </w:pPr>
            <w:r>
              <w:rPr>
                <w:rFonts w:hint="cs" w:ascii="Arial" w:hAnsi="Arial"/>
                <w:b/>
                <w:bCs/>
                <w:sz w:val="28"/>
                <w:szCs w:val="28"/>
                <w:rtl/>
              </w:rPr>
              <w:t>ל</w:t>
            </w:r>
            <w:r w:rsidRPr="00621052" w:rsidR="00621052">
              <w:rPr>
                <w:rFonts w:ascii="Arial" w:hAnsi="Arial"/>
                <w:b/>
                <w:bCs/>
                <w:sz w:val="28"/>
                <w:szCs w:val="28"/>
                <w:rtl/>
              </w:rPr>
              <w:t>פני</w:t>
            </w:r>
            <w:r w:rsidRPr="00621052" w:rsidR="00621052">
              <w:rPr>
                <w:rFonts w:hint="cs" w:ascii="Arial" w:hAnsi="Arial"/>
                <w:b/>
                <w:bCs/>
                <w:noProof w:val="0"/>
                <w:sz w:val="28"/>
                <w:szCs w:val="28"/>
                <w:rtl/>
              </w:rPr>
              <w:t>:</w:t>
            </w:r>
          </w:p>
        </w:tc>
        <w:tc>
          <w:tcPr>
            <w:tcW w:w="3771" w:type="dxa"/>
          </w:tcPr>
          <w:p w:rsidRPr="00621052" w:rsidR="00694556" w:rsidRDefault="00694556">
            <w:pPr>
              <w:jc w:val="right"/>
              <w:rPr>
                <w:rFonts w:ascii="Arial" w:hAnsi="Arial"/>
                <w:b/>
                <w:bCs/>
                <w:noProof w:val="0"/>
                <w:sz w:val="28"/>
                <w:szCs w:val="28"/>
                <w:rtl/>
              </w:rPr>
            </w:pPr>
          </w:p>
        </w:tc>
      </w:tr>
      <w:tr w:rsidRPr="00621052" w:rsidR="00621052" w:rsidTr="00C265F5">
        <w:trPr>
          <w:jc w:val="center"/>
        </w:trPr>
        <w:tc>
          <w:tcPr>
            <w:tcW w:w="8820" w:type="dxa"/>
            <w:gridSpan w:val="3"/>
          </w:tcPr>
          <w:p w:rsidRPr="00621052" w:rsidR="00621052" w:rsidP="00621052" w:rsidRDefault="00621052">
            <w:pPr>
              <w:spacing w:line="360" w:lineRule="auto"/>
              <w:rPr>
                <w:rFonts w:ascii="Arial" w:hAnsi="Arial"/>
                <w:b/>
                <w:bCs/>
                <w:sz w:val="28"/>
                <w:szCs w:val="28"/>
                <w:rtl/>
              </w:rPr>
            </w:pPr>
            <w:r w:rsidRPr="00621052">
              <w:rPr>
                <w:rFonts w:hint="cs" w:ascii="Arial" w:hAnsi="Arial"/>
                <w:b/>
                <w:bCs/>
                <w:sz w:val="28"/>
                <w:szCs w:val="28"/>
                <w:rtl/>
              </w:rPr>
              <w:t>כב' ה</w:t>
            </w:r>
            <w:sdt>
              <w:sdtPr>
                <w:rPr>
                  <w:sz w:val="28"/>
                  <w:szCs w:val="28"/>
                  <w:rtl/>
                </w:rPr>
                <w:alias w:val="1574"/>
                <w:tag w:val="1574"/>
                <w:id w:val="872045632"/>
                <w:text w:multiLine="1"/>
              </w:sdtPr>
              <w:sdtEndPr/>
              <w:sdtContent>
                <w:r>
                  <w:rPr>
                    <w:rFonts w:ascii="Arial" w:hAnsi="Arial"/>
                    <w:b/>
                    <w:bCs/>
                    <w:sz w:val="28"/>
                    <w:szCs w:val="28"/>
                    <w:rtl/>
                  </w:rPr>
                  <w:t>שופט</w:t>
                </w:r>
              </w:sdtContent>
            </w:sdt>
            <w:r w:rsidRPr="00621052">
              <w:rPr>
                <w:rFonts w:hint="cs" w:ascii="Arial" w:hAnsi="Arial"/>
                <w:b/>
                <w:bCs/>
                <w:sz w:val="28"/>
                <w:szCs w:val="28"/>
                <w:rtl/>
              </w:rPr>
              <w:t xml:space="preserve">  </w:t>
            </w:r>
            <w:sdt>
              <w:sdtPr>
                <w:rPr>
                  <w:sz w:val="28"/>
                  <w:szCs w:val="28"/>
                  <w:rtl/>
                </w:rPr>
                <w:alias w:val="1573"/>
                <w:tag w:val="1573"/>
                <w:id w:val="1267650339"/>
                <w:text w:multiLine="1"/>
              </w:sdtPr>
              <w:sdtEndPr/>
              <w:sdtContent>
                <w:r>
                  <w:rPr>
                    <w:rFonts w:ascii="Arial" w:hAnsi="Arial"/>
                    <w:b/>
                    <w:bCs/>
                    <w:sz w:val="28"/>
                    <w:szCs w:val="28"/>
                    <w:rtl/>
                  </w:rPr>
                  <w:t>דניאל גולדברג</w:t>
                </w:r>
              </w:sdtContent>
            </w:sdt>
          </w:p>
          <w:p w:rsidRPr="00A46D05" w:rsidR="00621052" w:rsidP="00621052" w:rsidRDefault="00621052">
            <w:pPr>
              <w:spacing w:line="360" w:lineRule="auto"/>
              <w:rPr>
                <w:b/>
                <w:bCs/>
                <w:sz w:val="28"/>
                <w:szCs w:val="28"/>
                <w:rtl/>
              </w:rPr>
            </w:pPr>
            <w:r w:rsidRPr="00A46D05">
              <w:rPr>
                <w:b/>
                <w:bCs/>
                <w:sz w:val="28"/>
                <w:szCs w:val="28"/>
                <w:rtl/>
              </w:rPr>
              <w:t xml:space="preserve">נציג  </w:t>
            </w:r>
            <w:r>
              <w:rPr>
                <w:b/>
                <w:bCs/>
                <w:sz w:val="28"/>
                <w:szCs w:val="28"/>
                <w:rtl/>
              </w:rPr>
              <w:t xml:space="preserve">ציבור (עובדים)  </w:t>
            </w:r>
            <w:r w:rsidR="00433187">
              <w:rPr>
                <w:b/>
                <w:bCs/>
                <w:sz w:val="28"/>
                <w:szCs w:val="28"/>
                <w:rtl/>
              </w:rPr>
              <w:t>מר</w:t>
            </w:r>
            <w:r w:rsidR="00433187">
              <w:rPr>
                <w:rFonts w:hint="cs"/>
                <w:b/>
                <w:bCs/>
                <w:sz w:val="28"/>
                <w:szCs w:val="28"/>
                <w:rtl/>
              </w:rPr>
              <w:t xml:space="preserve"> משה אגל-טל</w:t>
            </w:r>
          </w:p>
          <w:p w:rsidRPr="00621052" w:rsidR="00621052" w:rsidP="002927CA" w:rsidRDefault="00621052">
            <w:pPr>
              <w:spacing w:after="120" w:line="360" w:lineRule="auto"/>
              <w:rPr>
                <w:b/>
                <w:bCs/>
                <w:sz w:val="28"/>
                <w:szCs w:val="28"/>
              </w:rPr>
            </w:pPr>
            <w:r w:rsidRPr="00A46D05">
              <w:rPr>
                <w:b/>
                <w:bCs/>
                <w:sz w:val="28"/>
                <w:szCs w:val="28"/>
                <w:rtl/>
              </w:rPr>
              <w:t xml:space="preserve">נציג </w:t>
            </w:r>
            <w:r w:rsidR="00510FDB">
              <w:rPr>
                <w:b/>
                <w:bCs/>
                <w:sz w:val="28"/>
                <w:szCs w:val="28"/>
                <w:rtl/>
              </w:rPr>
              <w:t>ציבור (מע</w:t>
            </w:r>
            <w:r w:rsidR="00510FDB">
              <w:rPr>
                <w:rFonts w:hint="cs"/>
                <w:b/>
                <w:bCs/>
                <w:sz w:val="28"/>
                <w:szCs w:val="28"/>
                <w:rtl/>
              </w:rPr>
              <w:t>סיק</w:t>
            </w:r>
            <w:r>
              <w:rPr>
                <w:b/>
                <w:bCs/>
                <w:sz w:val="28"/>
                <w:szCs w:val="28"/>
                <w:rtl/>
              </w:rPr>
              <w:t xml:space="preserve">ים)  </w:t>
            </w:r>
            <w:r w:rsidR="00433187">
              <w:rPr>
                <w:b/>
                <w:bCs/>
                <w:sz w:val="28"/>
                <w:szCs w:val="28"/>
                <w:rtl/>
              </w:rPr>
              <w:t>מר</w:t>
            </w:r>
            <w:r w:rsidR="00433187">
              <w:rPr>
                <w:rFonts w:hint="cs"/>
                <w:b/>
                <w:bCs/>
                <w:sz w:val="28"/>
                <w:szCs w:val="28"/>
                <w:rtl/>
              </w:rPr>
              <w:t xml:space="preserve"> עופר נוריאני</w:t>
            </w:r>
          </w:p>
        </w:tc>
      </w:tr>
      <w:tr w:rsidRPr="00621052" w:rsidR="00502190" w:rsidTr="00227C17">
        <w:trPr>
          <w:trHeight w:val="1496"/>
          <w:jc w:val="center"/>
        </w:trPr>
        <w:tc>
          <w:tcPr>
            <w:tcW w:w="3249" w:type="dxa"/>
          </w:tcPr>
          <w:p w:rsidRPr="00621052" w:rsidR="00502190" w:rsidP="00621052" w:rsidRDefault="00502190">
            <w:pPr>
              <w:rPr>
                <w:rFonts w:ascii="Arial" w:hAnsi="Arial"/>
                <w:b/>
                <w:bCs/>
                <w:noProof w:val="0"/>
                <w:sz w:val="28"/>
                <w:szCs w:val="28"/>
                <w:u w:val="single"/>
                <w:rtl/>
              </w:rPr>
            </w:pPr>
            <w:r w:rsidRPr="00621052">
              <w:rPr>
                <w:rFonts w:hint="cs"/>
                <w:b/>
                <w:bCs/>
                <w:sz w:val="28"/>
                <w:szCs w:val="28"/>
                <w:u w:val="single"/>
                <w:rtl/>
              </w:rPr>
              <w:t>ה</w:t>
            </w:r>
            <w:sdt>
              <w:sdtPr>
                <w:rPr>
                  <w:b/>
                  <w:bCs/>
                  <w:sz w:val="28"/>
                  <w:szCs w:val="28"/>
                  <w:u w:val="single"/>
                  <w:rtl/>
                </w:rPr>
                <w:alias w:val="1180"/>
                <w:tag w:val="1180"/>
                <w:id w:val="1779448001"/>
                <w:text w:multiLine="1"/>
              </w:sdtPr>
              <w:sdtEndPr/>
              <w:sdtContent>
                <w:r w:rsidR="00433187">
                  <w:rPr>
                    <w:rFonts w:ascii="Arial" w:hAnsi="Arial"/>
                    <w:b/>
                    <w:bCs/>
                    <w:noProof w:val="0"/>
                    <w:sz w:val="28"/>
                    <w:szCs w:val="28"/>
                    <w:u w:val="single"/>
                    <w:rtl/>
                  </w:rPr>
                  <w:t>תובע</w:t>
                </w:r>
              </w:sdtContent>
            </w:sdt>
          </w:p>
        </w:tc>
        <w:tc>
          <w:tcPr>
            <w:tcW w:w="5571" w:type="dxa"/>
            <w:gridSpan w:val="2"/>
          </w:tcPr>
          <w:p w:rsidRPr="006909FE" w:rsidR="00502190" w:rsidP="00433187" w:rsidRDefault="007D75B8">
            <w:pPr>
              <w:rPr>
                <w:sz w:val="28"/>
                <w:szCs w:val="28"/>
              </w:rPr>
            </w:pPr>
            <w:sdt>
              <w:sdtPr>
                <w:rPr>
                  <w:sz w:val="28"/>
                  <w:szCs w:val="28"/>
                  <w:rtl/>
                </w:rPr>
                <w:alias w:val="1478"/>
                <w:tag w:val="1478"/>
                <w:id w:val="-2074341511"/>
                <w:text w:multiLine="1"/>
              </w:sdtPr>
              <w:sdtEndPr/>
              <w:sdtContent>
                <w:r w:rsidR="00502190">
                  <w:rPr>
                    <w:rFonts w:ascii="Arial" w:hAnsi="Arial"/>
                    <w:b/>
                    <w:bCs/>
                    <w:noProof w:val="0"/>
                    <w:sz w:val="28"/>
                    <w:szCs w:val="28"/>
                    <w:rtl/>
                  </w:rPr>
                  <w:t>אילן ארד</w:t>
                </w:r>
              </w:sdtContent>
            </w:sdt>
            <w:r w:rsidR="00502190">
              <w:rPr>
                <w:rFonts w:hint="cs"/>
                <w:sz w:val="28"/>
                <w:szCs w:val="28"/>
                <w:rtl/>
              </w:rPr>
              <w:t xml:space="preserve"> </w:t>
            </w:r>
            <w:sdt>
              <w:sdtPr>
                <w:rPr>
                  <w:rFonts w:hint="cs"/>
                  <w:b/>
                  <w:bCs/>
                  <w:sz w:val="28"/>
                  <w:szCs w:val="28"/>
                  <w:rtl/>
                </w:rPr>
                <w:alias w:val="2315"/>
                <w:tag w:val="2315"/>
                <w:id w:val="1978875836"/>
                <w:text w:multiLine="1"/>
              </w:sdtPr>
              <w:sdtEndPr/>
              <w:sdtContent>
                <w:r w:rsidR="00502190">
                  <w:rPr>
                    <w:rStyle w:val="ac"/>
                    <w:b/>
                    <w:bCs/>
                    <w:color w:val="auto"/>
                    <w:sz w:val="28"/>
                    <w:szCs w:val="28"/>
                    <w:rtl/>
                  </w:rPr>
                  <w:t>ת.ז.</w:t>
                </w:r>
              </w:sdtContent>
            </w:sdt>
            <w:r w:rsidRPr="002C4501" w:rsidR="00502190">
              <w:rPr>
                <w:rFonts w:hint="cs"/>
                <w:b/>
                <w:bCs/>
                <w:sz w:val="28"/>
                <w:szCs w:val="28"/>
                <w:rtl/>
              </w:rPr>
              <w:t xml:space="preserve"> </w:t>
            </w:r>
            <w:sdt>
              <w:sdtPr>
                <w:rPr>
                  <w:rFonts w:hint="cs"/>
                  <w:b/>
                  <w:bCs/>
                  <w:sz w:val="28"/>
                  <w:szCs w:val="28"/>
                  <w:rtl/>
                </w:rPr>
                <w:alias w:val="2316"/>
                <w:tag w:val="2316"/>
                <w:id w:val="456379658"/>
                <w:text w:multiLine="1"/>
              </w:sdtPr>
              <w:sdtEndPr/>
              <w:sdtContent>
                <w:r w:rsidR="00502190">
                  <w:rPr>
                    <w:rStyle w:val="ac"/>
                    <w:b/>
                    <w:bCs/>
                    <w:color w:val="auto"/>
                    <w:sz w:val="28"/>
                    <w:szCs w:val="28"/>
                    <w:rtl/>
                  </w:rPr>
                  <w:t>022108088</w:t>
                </w:r>
              </w:sdtContent>
            </w:sdt>
          </w:p>
          <w:p w:rsidRPr="006909FE" w:rsidR="00502190" w:rsidP="002C4501" w:rsidRDefault="00433187">
            <w:pPr>
              <w:rPr>
                <w:sz w:val="28"/>
                <w:szCs w:val="28"/>
              </w:rPr>
            </w:pPr>
            <w:r>
              <w:rPr>
                <w:rFonts w:hint="cs"/>
                <w:b/>
                <w:bCs/>
                <w:sz w:val="28"/>
                <w:szCs w:val="28"/>
                <w:rtl/>
              </w:rPr>
              <w:t>ע"י ב"כ: עו"ד אליהו גבאי</w:t>
            </w:r>
          </w:p>
        </w:tc>
      </w:tr>
      <w:tr w:rsidRPr="00621052" w:rsidR="00694556">
        <w:trPr>
          <w:jc w:val="center"/>
        </w:trPr>
        <w:tc>
          <w:tcPr>
            <w:tcW w:w="8820" w:type="dxa"/>
            <w:gridSpan w:val="3"/>
          </w:tcPr>
          <w:p w:rsidRPr="00621052" w:rsidR="00621052" w:rsidP="002927CA" w:rsidRDefault="00621052">
            <w:pPr>
              <w:spacing w:before="120" w:after="120"/>
              <w:jc w:val="center"/>
              <w:rPr>
                <w:rFonts w:ascii="Arial" w:hAnsi="Arial"/>
                <w:b/>
                <w:bCs/>
                <w:noProof w:val="0"/>
                <w:sz w:val="28"/>
                <w:szCs w:val="28"/>
              </w:rPr>
            </w:pPr>
            <w:r>
              <w:rPr>
                <w:rFonts w:hint="cs" w:ascii="Arial" w:hAnsi="Arial"/>
                <w:b/>
                <w:bCs/>
                <w:noProof w:val="0"/>
                <w:sz w:val="28"/>
                <w:szCs w:val="28"/>
                <w:rtl/>
              </w:rPr>
              <w:t>-</w:t>
            </w:r>
          </w:p>
        </w:tc>
      </w:tr>
      <w:tr w:rsidRPr="00621052" w:rsidR="00502190" w:rsidTr="00B656A6">
        <w:trPr>
          <w:trHeight w:val="1514"/>
          <w:jc w:val="center"/>
        </w:trPr>
        <w:tc>
          <w:tcPr>
            <w:tcW w:w="3249" w:type="dxa"/>
          </w:tcPr>
          <w:p w:rsidRPr="00621052" w:rsidR="00502190" w:rsidRDefault="00502190">
            <w:pPr>
              <w:rPr>
                <w:rFonts w:ascii="Arial" w:hAnsi="Arial"/>
                <w:b/>
                <w:bCs/>
                <w:noProof w:val="0"/>
                <w:sz w:val="28"/>
                <w:szCs w:val="28"/>
                <w:u w:val="single"/>
              </w:rPr>
            </w:pPr>
            <w:r w:rsidRPr="00621052">
              <w:rPr>
                <w:rFonts w:hint="cs"/>
                <w:b/>
                <w:bCs/>
                <w:sz w:val="28"/>
                <w:szCs w:val="28"/>
                <w:u w:val="single"/>
                <w:rtl/>
              </w:rPr>
              <w:t>ה</w:t>
            </w:r>
            <w:sdt>
              <w:sdtPr>
                <w:rPr>
                  <w:b/>
                  <w:bCs/>
                  <w:sz w:val="28"/>
                  <w:szCs w:val="28"/>
                  <w:u w:val="single"/>
                  <w:rtl/>
                </w:rPr>
                <w:alias w:val="1184"/>
                <w:tag w:val="1184"/>
                <w:id w:val="-730838944"/>
                <w:text w:multiLine="1"/>
              </w:sdtPr>
              <w:sdtEndPr/>
              <w:sdtContent>
                <w:r w:rsidR="00433187">
                  <w:rPr>
                    <w:rFonts w:ascii="Arial" w:hAnsi="Arial"/>
                    <w:b/>
                    <w:bCs/>
                    <w:noProof w:val="0"/>
                    <w:sz w:val="28"/>
                    <w:szCs w:val="28"/>
                    <w:u w:val="single"/>
                    <w:rtl/>
                  </w:rPr>
                  <w:t>נתבע</w:t>
                </w:r>
                <w:r w:rsidR="00433187">
                  <w:rPr>
                    <w:rFonts w:hint="cs" w:ascii="Arial" w:hAnsi="Arial"/>
                    <w:b/>
                    <w:bCs/>
                    <w:noProof w:val="0"/>
                    <w:sz w:val="28"/>
                    <w:szCs w:val="28"/>
                    <w:u w:val="single"/>
                    <w:rtl/>
                  </w:rPr>
                  <w:t>ת</w:t>
                </w:r>
              </w:sdtContent>
            </w:sdt>
          </w:p>
        </w:tc>
        <w:tc>
          <w:tcPr>
            <w:tcW w:w="5571" w:type="dxa"/>
            <w:gridSpan w:val="2"/>
          </w:tcPr>
          <w:p w:rsidRPr="006909FE" w:rsidR="00502190" w:rsidP="00433187" w:rsidRDefault="007D75B8">
            <w:pPr>
              <w:rPr>
                <w:sz w:val="28"/>
                <w:szCs w:val="28"/>
                <w:rtl/>
              </w:rPr>
            </w:pPr>
            <w:sdt>
              <w:sdtPr>
                <w:rPr>
                  <w:sz w:val="28"/>
                  <w:szCs w:val="28"/>
                  <w:rtl/>
                </w:rPr>
                <w:alias w:val="1486"/>
                <w:tag w:val="1486"/>
                <w:id w:val="1865319451"/>
                <w:text w:multiLine="1"/>
              </w:sdtPr>
              <w:sdtEndPr/>
              <w:sdtContent>
                <w:r w:rsidR="00502190">
                  <w:rPr>
                    <w:rFonts w:ascii="Arial" w:hAnsi="Arial"/>
                    <w:b/>
                    <w:bCs/>
                    <w:noProof w:val="0"/>
                    <w:sz w:val="28"/>
                    <w:szCs w:val="28"/>
                    <w:rtl/>
                  </w:rPr>
                  <w:t>ציר הסעות ותיור (פסגות מינוף והובלה) בע"מ</w:t>
                </w:r>
              </w:sdtContent>
            </w:sdt>
            <w:r w:rsidR="00502190">
              <w:rPr>
                <w:rFonts w:hint="cs"/>
                <w:sz w:val="28"/>
                <w:szCs w:val="28"/>
                <w:rtl/>
              </w:rPr>
              <w:t xml:space="preserve"> </w:t>
            </w:r>
            <w:sdt>
              <w:sdtPr>
                <w:rPr>
                  <w:rFonts w:hint="cs"/>
                  <w:sz w:val="28"/>
                  <w:szCs w:val="28"/>
                  <w:rtl/>
                </w:rPr>
                <w:alias w:val="2317"/>
                <w:tag w:val="2317"/>
                <w:id w:val="-1936432151"/>
                <w:text w:multiLine="1"/>
              </w:sdtPr>
              <w:sdtEndPr>
                <w:rPr>
                  <w:b/>
                  <w:bCs/>
                </w:rPr>
              </w:sdtEndPr>
              <w:sdtContent>
                <w:r w:rsidR="00502190">
                  <w:rPr>
                    <w:rStyle w:val="ac"/>
                    <w:b/>
                    <w:bCs/>
                    <w:color w:val="auto"/>
                    <w:sz w:val="28"/>
                    <w:szCs w:val="28"/>
                    <w:rtl/>
                  </w:rPr>
                  <w:t>חברות</w:t>
                </w:r>
              </w:sdtContent>
            </w:sdt>
            <w:r w:rsidRPr="002C4501" w:rsidR="00502190">
              <w:rPr>
                <w:rFonts w:hint="cs"/>
                <w:b/>
                <w:bCs/>
                <w:sz w:val="28"/>
                <w:szCs w:val="28"/>
                <w:rtl/>
              </w:rPr>
              <w:t xml:space="preserve"> </w:t>
            </w:r>
            <w:sdt>
              <w:sdtPr>
                <w:rPr>
                  <w:rFonts w:hint="cs"/>
                  <w:b/>
                  <w:bCs/>
                  <w:sz w:val="28"/>
                  <w:szCs w:val="28"/>
                  <w:rtl/>
                </w:rPr>
                <w:alias w:val="2318"/>
                <w:tag w:val="2318"/>
                <w:id w:val="-1333137771"/>
                <w:text w:multiLine="1"/>
              </w:sdtPr>
              <w:sdtEndPr>
                <w:rPr>
                  <w:b w:val="0"/>
                  <w:bCs w:val="0"/>
                </w:rPr>
              </w:sdtEndPr>
              <w:sdtContent>
                <w:r w:rsidR="00502190">
                  <w:rPr>
                    <w:rStyle w:val="ac"/>
                    <w:b/>
                    <w:bCs/>
                    <w:color w:val="auto"/>
                    <w:sz w:val="28"/>
                    <w:szCs w:val="28"/>
                    <w:rtl/>
                  </w:rPr>
                  <w:t>512793381</w:t>
                </w:r>
              </w:sdtContent>
            </w:sdt>
          </w:p>
          <w:p w:rsidRPr="006909FE" w:rsidR="00502190" w:rsidP="002C4501" w:rsidRDefault="00433187">
            <w:pPr>
              <w:rPr>
                <w:sz w:val="28"/>
                <w:szCs w:val="28"/>
                <w:rtl/>
              </w:rPr>
            </w:pPr>
            <w:r>
              <w:rPr>
                <w:rFonts w:hint="cs"/>
                <w:b/>
                <w:bCs/>
                <w:sz w:val="28"/>
                <w:szCs w:val="28"/>
                <w:rtl/>
              </w:rPr>
              <w:t>ע"י ב"כ: עו"ד גבריאל פרידמן</w:t>
            </w:r>
          </w:p>
        </w:tc>
      </w:tr>
    </w:tbl>
    <w:p w:rsidR="00694556" w:rsidP="002927CA" w:rsidRDefault="00694556"/>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621052" w:rsidR="00694556" w:rsidRDefault="00005C8B">
            <w:pPr>
              <w:bidi w:val="0"/>
              <w:jc w:val="center"/>
              <w:rPr>
                <w:rFonts w:ascii="Arial" w:hAnsi="Arial"/>
                <w:b/>
                <w:bCs/>
                <w:noProof w:val="0"/>
                <w:sz w:val="34"/>
                <w:szCs w:val="34"/>
                <w:u w:val="single"/>
              </w:rPr>
            </w:pPr>
            <w:r w:rsidRPr="00621052">
              <w:rPr>
                <w:rFonts w:ascii="Arial" w:hAnsi="Arial"/>
                <w:b/>
                <w:bCs/>
                <w:noProof w:val="0"/>
                <w:sz w:val="34"/>
                <w:szCs w:val="34"/>
                <w:u w:val="single"/>
                <w:rtl/>
              </w:rPr>
              <w:t>פסק דין</w:t>
            </w:r>
          </w:p>
        </w:tc>
      </w:tr>
    </w:tbl>
    <w:p w:rsidRPr="00621052" w:rsidR="00694556" w:rsidRDefault="00694556">
      <w:pPr>
        <w:spacing w:line="360" w:lineRule="auto"/>
        <w:jc w:val="both"/>
        <w:rPr>
          <w:rFonts w:ascii="Arial" w:hAnsi="Arial"/>
          <w:noProof w:val="0"/>
          <w:sz w:val="28"/>
          <w:szCs w:val="28"/>
          <w:rtl/>
        </w:rPr>
      </w:pPr>
    </w:p>
    <w:p w:rsidR="00694556" w:rsidP="00EB243F" w:rsidRDefault="00433187">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התובע, מר אילן ארד, עבד אצל הנתבעת כנהג הסעות מיום 1.9.12 עד ליום 26.11.14. לאחר סיום עבודת</w:t>
      </w:r>
      <w:r w:rsidR="00EB243F">
        <w:rPr>
          <w:rFonts w:hint="cs" w:ascii="Arial" w:hAnsi="Arial"/>
          <w:noProof w:val="0"/>
          <w:sz w:val="28"/>
          <w:szCs w:val="28"/>
          <w:rtl/>
        </w:rPr>
        <w:t>ו, ביום 17.2.15,</w:t>
      </w:r>
      <w:r>
        <w:rPr>
          <w:rFonts w:hint="cs" w:ascii="Arial" w:hAnsi="Arial"/>
          <w:noProof w:val="0"/>
          <w:sz w:val="28"/>
          <w:szCs w:val="28"/>
          <w:rtl/>
        </w:rPr>
        <w:t xml:space="preserve"> הגיש התובע תביעה זו לגמול עבודה בשעות נוספות</w:t>
      </w:r>
      <w:r w:rsidR="0080167E">
        <w:rPr>
          <w:rFonts w:hint="cs" w:ascii="Arial" w:hAnsi="Arial"/>
          <w:noProof w:val="0"/>
          <w:sz w:val="28"/>
          <w:szCs w:val="28"/>
          <w:rtl/>
        </w:rPr>
        <w:t xml:space="preserve"> ופיצויי הלנת שכר</w:t>
      </w:r>
      <w:r>
        <w:rPr>
          <w:rFonts w:hint="cs" w:ascii="Arial" w:hAnsi="Arial"/>
          <w:noProof w:val="0"/>
          <w:sz w:val="28"/>
          <w:szCs w:val="28"/>
          <w:rtl/>
        </w:rPr>
        <w:t>, דמי הבראה, פדיון חופשה, פיצוי בגין אי ביצוע הפרשות לפנסיה, השלמת פיצויי פיטורים</w:t>
      </w:r>
      <w:r w:rsidR="0004479F">
        <w:rPr>
          <w:rFonts w:hint="cs" w:ascii="Arial" w:hAnsi="Arial"/>
          <w:noProof w:val="0"/>
          <w:sz w:val="28"/>
          <w:szCs w:val="28"/>
          <w:rtl/>
        </w:rPr>
        <w:t xml:space="preserve">, </w:t>
      </w:r>
      <w:r w:rsidR="0080167E">
        <w:rPr>
          <w:rFonts w:hint="cs" w:ascii="Arial" w:hAnsi="Arial"/>
          <w:noProof w:val="0"/>
          <w:sz w:val="28"/>
          <w:szCs w:val="28"/>
          <w:rtl/>
        </w:rPr>
        <w:t>פיצויי הלנת פיצויי פיטורים</w:t>
      </w:r>
      <w:r>
        <w:rPr>
          <w:rFonts w:hint="cs" w:ascii="Arial" w:hAnsi="Arial"/>
          <w:noProof w:val="0"/>
          <w:sz w:val="28"/>
          <w:szCs w:val="28"/>
          <w:rtl/>
        </w:rPr>
        <w:t xml:space="preserve"> ודמי הודעה מוקדמת.</w:t>
      </w:r>
    </w:p>
    <w:p w:rsidR="003B3143" w:rsidP="0004479F" w:rsidRDefault="003B3143">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הנתבעת הגישה כ</w:t>
      </w:r>
      <w:r w:rsidR="00EB243F">
        <w:rPr>
          <w:rFonts w:hint="cs" w:ascii="Arial" w:hAnsi="Arial"/>
          <w:noProof w:val="0"/>
          <w:sz w:val="28"/>
          <w:szCs w:val="28"/>
          <w:rtl/>
        </w:rPr>
        <w:t xml:space="preserve">תב הגנה בו טענה להתיישנות התביעות שעילתן </w:t>
      </w:r>
      <w:r w:rsidR="0004479F">
        <w:rPr>
          <w:rFonts w:hint="cs" w:ascii="Arial" w:hAnsi="Arial"/>
          <w:noProof w:val="0"/>
          <w:sz w:val="28"/>
          <w:szCs w:val="28"/>
          <w:rtl/>
        </w:rPr>
        <w:t>קודם ל</w:t>
      </w:r>
      <w:r w:rsidR="00EB243F">
        <w:rPr>
          <w:rFonts w:hint="cs" w:ascii="Arial" w:hAnsi="Arial"/>
          <w:noProof w:val="0"/>
          <w:sz w:val="28"/>
          <w:szCs w:val="28"/>
          <w:rtl/>
        </w:rPr>
        <w:t xml:space="preserve">שישה חודשים </w:t>
      </w:r>
      <w:r w:rsidR="0004479F">
        <w:rPr>
          <w:rFonts w:hint="cs" w:ascii="Arial" w:hAnsi="Arial"/>
          <w:noProof w:val="0"/>
          <w:sz w:val="28"/>
          <w:szCs w:val="28"/>
          <w:rtl/>
        </w:rPr>
        <w:t xml:space="preserve">לפני </w:t>
      </w:r>
      <w:r w:rsidR="00EB243F">
        <w:rPr>
          <w:rFonts w:hint="cs" w:ascii="Arial" w:hAnsi="Arial"/>
          <w:noProof w:val="0"/>
          <w:sz w:val="28"/>
          <w:szCs w:val="28"/>
          <w:rtl/>
        </w:rPr>
        <w:t>מועד הגשת התביעה</w:t>
      </w:r>
      <w:r w:rsidR="0004479F">
        <w:rPr>
          <w:rFonts w:hint="cs" w:ascii="Arial" w:hAnsi="Arial"/>
          <w:noProof w:val="0"/>
          <w:sz w:val="28"/>
          <w:szCs w:val="28"/>
          <w:rtl/>
        </w:rPr>
        <w:t xml:space="preserve"> (קרי: 17.8.14)</w:t>
      </w:r>
      <w:r w:rsidR="00EB243F">
        <w:rPr>
          <w:rFonts w:hint="cs" w:ascii="Arial" w:hAnsi="Arial"/>
          <w:noProof w:val="0"/>
          <w:sz w:val="28"/>
          <w:szCs w:val="28"/>
          <w:rtl/>
        </w:rPr>
        <w:t>, וזאת</w:t>
      </w:r>
      <w:r>
        <w:rPr>
          <w:rFonts w:hint="cs" w:ascii="Arial" w:hAnsi="Arial"/>
          <w:noProof w:val="0"/>
          <w:sz w:val="28"/>
          <w:szCs w:val="28"/>
          <w:rtl/>
        </w:rPr>
        <w:t xml:space="preserve"> על סמך סעיף 10 להסכם העבודה עליו חתם התובע, לפיו "</w:t>
      </w:r>
      <w:r w:rsidR="00EB243F">
        <w:rPr>
          <w:rFonts w:hint="cs" w:ascii="Arial" w:hAnsi="Arial"/>
          <w:noProof w:val="0"/>
          <w:sz w:val="28"/>
          <w:szCs w:val="28"/>
          <w:rtl/>
        </w:rPr>
        <w:t xml:space="preserve">כל תביעה שיש לעובד תתיישן לאחר תקופה של ששה חודשים". כמו כן, הכחישה הנתבעת </w:t>
      </w:r>
      <w:r w:rsidR="00D4399B">
        <w:rPr>
          <w:rFonts w:hint="cs" w:ascii="Arial" w:hAnsi="Arial"/>
          <w:noProof w:val="0"/>
          <w:sz w:val="28"/>
          <w:szCs w:val="28"/>
          <w:rtl/>
        </w:rPr>
        <w:t>לגופה את זכאות התובע לסעדים שתבע</w:t>
      </w:r>
      <w:r w:rsidR="00E501BA">
        <w:rPr>
          <w:rFonts w:hint="cs" w:ascii="Arial" w:hAnsi="Arial"/>
          <w:noProof w:val="0"/>
          <w:sz w:val="28"/>
          <w:szCs w:val="28"/>
          <w:rtl/>
        </w:rPr>
        <w:t>, למעט דמי הבראה</w:t>
      </w:r>
      <w:r w:rsidR="0004479F">
        <w:rPr>
          <w:rFonts w:hint="cs" w:ascii="Arial" w:hAnsi="Arial"/>
          <w:noProof w:val="0"/>
          <w:sz w:val="28"/>
          <w:szCs w:val="28"/>
          <w:rtl/>
        </w:rPr>
        <w:t>,</w:t>
      </w:r>
      <w:r w:rsidR="00E501BA">
        <w:rPr>
          <w:rFonts w:hint="cs" w:ascii="Arial" w:hAnsi="Arial"/>
          <w:noProof w:val="0"/>
          <w:sz w:val="28"/>
          <w:szCs w:val="28"/>
          <w:rtl/>
        </w:rPr>
        <w:t xml:space="preserve"> </w:t>
      </w:r>
      <w:r w:rsidR="00D4399B">
        <w:rPr>
          <w:rFonts w:hint="cs" w:ascii="Arial" w:hAnsi="Arial"/>
          <w:noProof w:val="0"/>
          <w:sz w:val="28"/>
          <w:szCs w:val="28"/>
          <w:rtl/>
        </w:rPr>
        <w:t>וטענה כי יש לקזז מכל סכום המגיע לתובע פיצוי בגין התפטרות ללא הודעה מוקדמת.</w:t>
      </w:r>
    </w:p>
    <w:p w:rsidR="00433187" w:rsidP="00433187" w:rsidRDefault="00433187">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תוך כדי ההליך הגיעו הצדדים, במסגרת הליך פישור לפני נציגת הציבור גב' מרים קפלן, להסכמה חלקית לסילוק תביעות התובע לפדיון חופשה, לדמי הבראה ולפיצוי בגין אי הפרשה לפנסיה, והנתבעת שילמה לתובע את הסכומים המוסכמים</w:t>
      </w:r>
      <w:r w:rsidR="0080167E">
        <w:rPr>
          <w:rFonts w:hint="cs" w:ascii="Arial" w:hAnsi="Arial"/>
          <w:noProof w:val="0"/>
          <w:sz w:val="28"/>
          <w:szCs w:val="28"/>
          <w:rtl/>
        </w:rPr>
        <w:t>.</w:t>
      </w:r>
    </w:p>
    <w:p w:rsidR="000B2789" w:rsidP="000B2789" w:rsidRDefault="0080167E">
      <w:pPr>
        <w:pStyle w:val="ad"/>
        <w:numPr>
          <w:ilvl w:val="0"/>
          <w:numId w:val="1"/>
        </w:numPr>
        <w:spacing w:line="360" w:lineRule="auto"/>
        <w:jc w:val="both"/>
        <w:rPr>
          <w:rFonts w:ascii="Arial" w:hAnsi="Arial"/>
          <w:noProof w:val="0"/>
          <w:sz w:val="28"/>
          <w:szCs w:val="28"/>
        </w:rPr>
      </w:pPr>
      <w:r w:rsidRPr="00D4399B">
        <w:rPr>
          <w:rFonts w:hint="cs" w:ascii="Arial" w:hAnsi="Arial"/>
          <w:noProof w:val="0"/>
          <w:sz w:val="28"/>
          <w:szCs w:val="28"/>
          <w:rtl/>
        </w:rPr>
        <w:lastRenderedPageBreak/>
        <w:t xml:space="preserve">נותרו להכרעתנו תביעות התובע לגמול עבודה בשעות נוספות ולפיצויי הלנת שכר, </w:t>
      </w:r>
      <w:r w:rsidRPr="00D4399B" w:rsidR="00D4399B">
        <w:rPr>
          <w:rFonts w:hint="cs" w:ascii="Arial" w:hAnsi="Arial"/>
          <w:noProof w:val="0"/>
          <w:sz w:val="28"/>
          <w:szCs w:val="28"/>
          <w:rtl/>
        </w:rPr>
        <w:t>ו</w:t>
      </w:r>
      <w:r w:rsidR="0004479F">
        <w:rPr>
          <w:rFonts w:hint="cs" w:ascii="Arial" w:hAnsi="Arial"/>
          <w:noProof w:val="0"/>
          <w:sz w:val="28"/>
          <w:szCs w:val="28"/>
          <w:rtl/>
        </w:rPr>
        <w:t xml:space="preserve">כן </w:t>
      </w:r>
      <w:r w:rsidRPr="00D4399B">
        <w:rPr>
          <w:rFonts w:hint="cs" w:ascii="Arial" w:hAnsi="Arial"/>
          <w:noProof w:val="0"/>
          <w:sz w:val="28"/>
          <w:szCs w:val="28"/>
          <w:rtl/>
        </w:rPr>
        <w:t>להפרשי פי</w:t>
      </w:r>
      <w:r w:rsidRPr="00D4399B" w:rsidR="00D4399B">
        <w:rPr>
          <w:rFonts w:hint="cs" w:ascii="Arial" w:hAnsi="Arial"/>
          <w:noProof w:val="0"/>
          <w:sz w:val="28"/>
          <w:szCs w:val="28"/>
          <w:rtl/>
        </w:rPr>
        <w:t xml:space="preserve">צויי פיטורים ודמי הודעה מוקדמת. </w:t>
      </w:r>
    </w:p>
    <w:p w:rsidR="0010401B" w:rsidP="0010401B" w:rsidRDefault="0010401B">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נפתח בהנמקת דחיית טענת ההתיישנות שהעלתה הנתבעת, ולאחר מכן נדון בתביעות התובע לגופן.</w:t>
      </w:r>
    </w:p>
    <w:p w:rsidR="0010401B" w:rsidP="0010401B" w:rsidRDefault="0010401B">
      <w:pPr>
        <w:spacing w:line="360" w:lineRule="auto"/>
        <w:ind w:left="360"/>
        <w:jc w:val="both"/>
        <w:rPr>
          <w:rFonts w:ascii="Arial" w:hAnsi="Arial"/>
          <w:noProof w:val="0"/>
          <w:sz w:val="28"/>
          <w:szCs w:val="28"/>
          <w:rtl/>
        </w:rPr>
      </w:pPr>
    </w:p>
    <w:p w:rsidRPr="0010401B" w:rsidR="0010401B" w:rsidP="0010401B" w:rsidRDefault="0010401B">
      <w:pPr>
        <w:spacing w:line="360" w:lineRule="auto"/>
        <w:ind w:left="360"/>
        <w:jc w:val="both"/>
        <w:rPr>
          <w:rFonts w:ascii="Arial" w:hAnsi="Arial"/>
          <w:b/>
          <w:bCs/>
          <w:noProof w:val="0"/>
          <w:sz w:val="28"/>
          <w:szCs w:val="28"/>
          <w:u w:val="single"/>
        </w:rPr>
      </w:pPr>
      <w:r w:rsidRPr="0010401B">
        <w:rPr>
          <w:rFonts w:hint="cs" w:ascii="Arial" w:hAnsi="Arial"/>
          <w:b/>
          <w:bCs/>
          <w:noProof w:val="0"/>
          <w:sz w:val="28"/>
          <w:szCs w:val="28"/>
          <w:u w:val="single"/>
          <w:rtl/>
        </w:rPr>
        <w:t>דחיית טענת ההתיישנות</w:t>
      </w:r>
    </w:p>
    <w:p w:rsidR="0010401B" w:rsidP="00D4399B" w:rsidRDefault="0010401B">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על פי סעיף 5 לחוק ההתיישנות, התשי"ח-1958, תקופת ההתיישנות של עילה "שאינה במק</w:t>
      </w:r>
      <w:r w:rsidR="00256FD2">
        <w:rPr>
          <w:rFonts w:hint="cs" w:ascii="Arial" w:hAnsi="Arial"/>
          <w:noProof w:val="0"/>
          <w:sz w:val="28"/>
          <w:szCs w:val="28"/>
          <w:rtl/>
        </w:rPr>
        <w:t xml:space="preserve">רקעין" היא שבע שנים. עם זאת, על פי סעיף 19 לחוק, "רשאים בעלי הדין להסכים, בחוזה נפרד ובכתב, על תקופת התיישנות ארוכה יותר, ובתביעה שאינה במקרקעין </w:t>
      </w:r>
      <w:r w:rsidR="00256FD2">
        <w:rPr>
          <w:rFonts w:ascii="Arial" w:hAnsi="Arial"/>
          <w:noProof w:val="0"/>
          <w:sz w:val="28"/>
          <w:szCs w:val="28"/>
          <w:rtl/>
        </w:rPr>
        <w:t>–</w:t>
      </w:r>
      <w:r w:rsidR="00256FD2">
        <w:rPr>
          <w:rFonts w:hint="cs" w:ascii="Arial" w:hAnsi="Arial"/>
          <w:noProof w:val="0"/>
          <w:sz w:val="28"/>
          <w:szCs w:val="28"/>
          <w:rtl/>
        </w:rPr>
        <w:t xml:space="preserve"> גם על תקופת התיישנות קצרה מן הקבועה בחוק זה, ובלבד שלא תקצר מששה חודשים".</w:t>
      </w:r>
    </w:p>
    <w:p w:rsidR="00256FD2" w:rsidP="00CF0690" w:rsidRDefault="00256FD2">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הנתבעת אינה טוענת כי הסכם העבודה עליו חתם התובע ממלא </w:t>
      </w:r>
      <w:r w:rsidR="000B2789">
        <w:rPr>
          <w:rFonts w:hint="cs" w:ascii="Arial" w:hAnsi="Arial"/>
          <w:noProof w:val="0"/>
          <w:sz w:val="28"/>
          <w:szCs w:val="28"/>
          <w:rtl/>
        </w:rPr>
        <w:t>אחר</w:t>
      </w:r>
      <w:r>
        <w:rPr>
          <w:rFonts w:hint="cs" w:ascii="Arial" w:hAnsi="Arial"/>
          <w:noProof w:val="0"/>
          <w:sz w:val="28"/>
          <w:szCs w:val="28"/>
          <w:rtl/>
        </w:rPr>
        <w:t xml:space="preserve"> התנאי לפיו נדרש שההסכם בדב</w:t>
      </w:r>
      <w:r w:rsidR="007732A0">
        <w:rPr>
          <w:rFonts w:hint="cs" w:ascii="Arial" w:hAnsi="Arial"/>
          <w:noProof w:val="0"/>
          <w:sz w:val="28"/>
          <w:szCs w:val="28"/>
          <w:rtl/>
        </w:rPr>
        <w:t xml:space="preserve">ר קיצור תקופת ההתיישנות יהיה "בחוזה נפרד", אך לטענתה אין מקום </w:t>
      </w:r>
      <w:r w:rsidR="00CF0690">
        <w:rPr>
          <w:rFonts w:hint="cs" w:ascii="Arial" w:hAnsi="Arial"/>
          <w:noProof w:val="0"/>
          <w:sz w:val="28"/>
          <w:szCs w:val="28"/>
          <w:rtl/>
        </w:rPr>
        <w:t>לאכיפת דרישה זו</w:t>
      </w:r>
      <w:r w:rsidR="000B2789">
        <w:rPr>
          <w:rFonts w:hint="cs" w:ascii="Arial" w:hAnsi="Arial"/>
          <w:noProof w:val="0"/>
          <w:sz w:val="28"/>
          <w:szCs w:val="28"/>
          <w:rtl/>
        </w:rPr>
        <w:t>,</w:t>
      </w:r>
      <w:r w:rsidR="007732A0">
        <w:rPr>
          <w:rFonts w:hint="cs" w:ascii="Arial" w:hAnsi="Arial"/>
          <w:noProof w:val="0"/>
          <w:sz w:val="28"/>
          <w:szCs w:val="28"/>
          <w:rtl/>
        </w:rPr>
        <w:t xml:space="preserve"> שכן </w:t>
      </w:r>
      <w:r w:rsidR="000B2789">
        <w:rPr>
          <w:rFonts w:hint="cs" w:ascii="Arial" w:hAnsi="Arial"/>
          <w:noProof w:val="0"/>
          <w:sz w:val="28"/>
          <w:szCs w:val="28"/>
          <w:rtl/>
        </w:rPr>
        <w:t>לדידה התכחשות התובע</w:t>
      </w:r>
      <w:r w:rsidR="007732A0">
        <w:rPr>
          <w:rFonts w:hint="cs" w:ascii="Arial" w:hAnsi="Arial"/>
          <w:noProof w:val="0"/>
          <w:sz w:val="28"/>
          <w:szCs w:val="28"/>
          <w:rtl/>
        </w:rPr>
        <w:t xml:space="preserve"> להסכמתו על קיצור תקופת ההתיישנות</w:t>
      </w:r>
      <w:r w:rsidR="000B2789">
        <w:rPr>
          <w:rFonts w:hint="cs" w:ascii="Arial" w:hAnsi="Arial"/>
          <w:noProof w:val="0"/>
          <w:sz w:val="28"/>
          <w:szCs w:val="28"/>
          <w:rtl/>
        </w:rPr>
        <w:t xml:space="preserve"> הינה בחוסר תום לב, ויש לקבוע, על יסוד הלכת </w:t>
      </w:r>
      <w:r w:rsidR="008C23EC">
        <w:rPr>
          <w:rFonts w:hint="cs" w:ascii="Arial" w:hAnsi="Arial"/>
          <w:noProof w:val="0"/>
          <w:sz w:val="28"/>
          <w:szCs w:val="28"/>
          <w:rtl/>
        </w:rPr>
        <w:t xml:space="preserve">ע"א 986/93 קלמר </w:t>
      </w:r>
      <w:r w:rsidR="008C23EC">
        <w:rPr>
          <w:rFonts w:ascii="Arial" w:hAnsi="Arial"/>
          <w:noProof w:val="0"/>
          <w:sz w:val="28"/>
          <w:szCs w:val="28"/>
          <w:rtl/>
        </w:rPr>
        <w:t>–</w:t>
      </w:r>
      <w:r w:rsidR="008C23EC">
        <w:rPr>
          <w:rFonts w:hint="cs" w:ascii="Arial" w:hAnsi="Arial"/>
          <w:noProof w:val="0"/>
          <w:sz w:val="28"/>
          <w:szCs w:val="28"/>
          <w:rtl/>
        </w:rPr>
        <w:t xml:space="preserve"> גיא, פ"ד נ (1) 185,</w:t>
      </w:r>
      <w:r w:rsidR="000B2789">
        <w:rPr>
          <w:rFonts w:hint="cs" w:ascii="Arial" w:hAnsi="Arial"/>
          <w:noProof w:val="0"/>
          <w:sz w:val="28"/>
          <w:szCs w:val="28"/>
          <w:rtl/>
        </w:rPr>
        <w:t xml:space="preserve"> כי דרישת תום הלב גוברת על</w:t>
      </w:r>
      <w:r w:rsidR="007732A0">
        <w:rPr>
          <w:rFonts w:hint="cs" w:ascii="Arial" w:hAnsi="Arial"/>
          <w:noProof w:val="0"/>
          <w:sz w:val="28"/>
          <w:szCs w:val="28"/>
          <w:rtl/>
        </w:rPr>
        <w:t xml:space="preserve"> הדרישה הפורמלית של קיום חוזה נפרד.</w:t>
      </w:r>
    </w:p>
    <w:p w:rsidR="008C23EC" w:rsidP="001F6B20" w:rsidRDefault="0086742E">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בית הדין סבור שאין כל בסי</w:t>
      </w:r>
      <w:r w:rsidR="00CF0690">
        <w:rPr>
          <w:rFonts w:hint="cs" w:ascii="Arial" w:hAnsi="Arial"/>
          <w:noProof w:val="0"/>
          <w:sz w:val="28"/>
          <w:szCs w:val="28"/>
          <w:rtl/>
        </w:rPr>
        <w:t>ס לטענת הנתבעת כי יש להעדיף את עקרון</w:t>
      </w:r>
      <w:r>
        <w:rPr>
          <w:rFonts w:hint="cs" w:ascii="Arial" w:hAnsi="Arial"/>
          <w:noProof w:val="0"/>
          <w:sz w:val="28"/>
          <w:szCs w:val="28"/>
          <w:rtl/>
        </w:rPr>
        <w:t xml:space="preserve"> תום</w:t>
      </w:r>
      <w:r w:rsidR="00CF0690">
        <w:rPr>
          <w:rFonts w:hint="cs" w:ascii="Arial" w:hAnsi="Arial"/>
          <w:noProof w:val="0"/>
          <w:sz w:val="28"/>
          <w:szCs w:val="28"/>
          <w:rtl/>
        </w:rPr>
        <w:t xml:space="preserve"> הלב על פני דרישת החוזה הנפרד</w:t>
      </w:r>
      <w:r>
        <w:rPr>
          <w:rFonts w:hint="cs" w:ascii="Arial" w:hAnsi="Arial"/>
          <w:noProof w:val="0"/>
          <w:sz w:val="28"/>
          <w:szCs w:val="28"/>
          <w:rtl/>
        </w:rPr>
        <w:t xml:space="preserve"> לקיצור תקופת ההתיישנות</w:t>
      </w:r>
      <w:r w:rsidR="001F6B20">
        <w:rPr>
          <w:rFonts w:hint="cs" w:ascii="Arial" w:hAnsi="Arial"/>
          <w:noProof w:val="0"/>
          <w:sz w:val="28"/>
          <w:szCs w:val="28"/>
          <w:rtl/>
        </w:rPr>
        <w:t xml:space="preserve">. </w:t>
      </w:r>
      <w:r>
        <w:rPr>
          <w:rFonts w:hint="cs" w:ascii="Arial" w:hAnsi="Arial"/>
          <w:noProof w:val="0"/>
          <w:sz w:val="28"/>
          <w:szCs w:val="28"/>
          <w:rtl/>
        </w:rPr>
        <w:t>טענות הנתבעת בעניין זה נטענו ללא ביסוס</w:t>
      </w:r>
      <w:r w:rsidR="00CF0690">
        <w:rPr>
          <w:rFonts w:hint="cs" w:ascii="Arial" w:hAnsi="Arial"/>
          <w:noProof w:val="0"/>
          <w:sz w:val="28"/>
          <w:szCs w:val="28"/>
          <w:rtl/>
        </w:rPr>
        <w:t xml:space="preserve">, כאילו הלכת קלמר נ. גיא מורה כי בכל מקרה שבו ניתנת התחייבות שלא על פי דרישה צורנית שהיא תנאי לתקפותה, יש להתעלם מאותה דרישה </w:t>
      </w:r>
      <w:r w:rsidR="00CF0690">
        <w:rPr>
          <w:rFonts w:ascii="Arial" w:hAnsi="Arial"/>
          <w:noProof w:val="0"/>
          <w:sz w:val="28"/>
          <w:szCs w:val="28"/>
          <w:rtl/>
        </w:rPr>
        <w:t>–</w:t>
      </w:r>
      <w:r w:rsidR="00CF0690">
        <w:rPr>
          <w:rFonts w:hint="cs" w:ascii="Arial" w:hAnsi="Arial"/>
          <w:noProof w:val="0"/>
          <w:sz w:val="28"/>
          <w:szCs w:val="28"/>
          <w:rtl/>
        </w:rPr>
        <w:t xml:space="preserve"> ולא היא</w:t>
      </w:r>
      <w:r>
        <w:rPr>
          <w:rFonts w:hint="cs" w:ascii="Arial" w:hAnsi="Arial"/>
          <w:noProof w:val="0"/>
          <w:sz w:val="28"/>
          <w:szCs w:val="28"/>
          <w:rtl/>
        </w:rPr>
        <w:t xml:space="preserve">. </w:t>
      </w:r>
    </w:p>
    <w:p w:rsidR="007732A0" w:rsidP="008C23EC" w:rsidRDefault="0086742E">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כך, כלל לא נטענו</w:t>
      </w:r>
      <w:r w:rsidR="00CF0690">
        <w:rPr>
          <w:rFonts w:hint="cs" w:ascii="Arial" w:hAnsi="Arial"/>
          <w:noProof w:val="0"/>
          <w:sz w:val="28"/>
          <w:szCs w:val="28"/>
          <w:rtl/>
        </w:rPr>
        <w:t xml:space="preserve"> על ידי הנתבעת</w:t>
      </w:r>
      <w:r>
        <w:rPr>
          <w:rFonts w:hint="cs" w:ascii="Arial" w:hAnsi="Arial"/>
          <w:noProof w:val="0"/>
          <w:sz w:val="28"/>
          <w:szCs w:val="28"/>
          <w:rtl/>
        </w:rPr>
        <w:t>, וממילא לא הוכחו, עובדות המבססות חוסר תום לב מצדו של התובע</w:t>
      </w:r>
      <w:r w:rsidR="006655BB">
        <w:rPr>
          <w:rFonts w:hint="cs" w:ascii="Arial" w:hAnsi="Arial"/>
          <w:noProof w:val="0"/>
          <w:sz w:val="28"/>
          <w:szCs w:val="28"/>
          <w:rtl/>
        </w:rPr>
        <w:t>, ולא בוססו שיקולים כלשהם אשר יישקלו כנגד המטרה החקיקתית של דרישת "החוזה הנפרד"</w:t>
      </w:r>
      <w:r w:rsidR="00F22995">
        <w:rPr>
          <w:rFonts w:hint="cs" w:ascii="Arial" w:hAnsi="Arial"/>
          <w:noProof w:val="0"/>
          <w:sz w:val="28"/>
          <w:szCs w:val="28"/>
          <w:rtl/>
        </w:rPr>
        <w:t>, שהינה להבטיח ברמת וודאות גבוהה מאוד את רצינות גמירת הדעת והסכמת בעל הדין לקיצור תקופת ההתיישנות, בשל הוויתור המשמעותי הגלום בו על זכויותיו</w:t>
      </w:r>
      <w:r w:rsidR="008C23EC">
        <w:rPr>
          <w:rFonts w:hint="cs" w:ascii="Arial" w:hAnsi="Arial"/>
          <w:noProof w:val="0"/>
          <w:sz w:val="28"/>
          <w:szCs w:val="28"/>
          <w:rtl/>
        </w:rPr>
        <w:t>. רציונל זה מקבל משנה תוקף כאשר מדובר בחוזה עבודה, שכן כידוע מטרה עיקרית של דיני העבודה היא פריסת הגנה על עובד במצבים שבהם קיים חשש שבשל פערי הכוח בינו לבין המעסיק, תינתן על ידי העובד הסכמה אשר יש בה כדי לפגוע בזכויות</w:t>
      </w:r>
      <w:r w:rsidR="00562EF8">
        <w:rPr>
          <w:rFonts w:hint="cs" w:ascii="Arial" w:hAnsi="Arial"/>
          <w:noProof w:val="0"/>
          <w:sz w:val="28"/>
          <w:szCs w:val="28"/>
          <w:rtl/>
        </w:rPr>
        <w:t>יו</w:t>
      </w:r>
      <w:r w:rsidR="008C23EC">
        <w:rPr>
          <w:rFonts w:hint="cs" w:ascii="Arial" w:hAnsi="Arial"/>
          <w:noProof w:val="0"/>
          <w:sz w:val="28"/>
          <w:szCs w:val="28"/>
          <w:rtl/>
        </w:rPr>
        <w:t xml:space="preserve"> </w:t>
      </w:r>
      <w:r w:rsidR="008C23EC">
        <w:rPr>
          <w:rFonts w:hint="cs" w:ascii="Arial" w:hAnsi="Arial"/>
          <w:noProof w:val="0"/>
          <w:sz w:val="28"/>
          <w:szCs w:val="28"/>
          <w:rtl/>
        </w:rPr>
        <w:lastRenderedPageBreak/>
        <w:t>מכוח חוק. מן הראיות עולה שזהו בדיוק המצב שאפף את חתימת התובע על הסכם העבודה, כמפורט להלן:</w:t>
      </w:r>
    </w:p>
    <w:p w:rsidR="00F22995" w:rsidP="00F22995" w:rsidRDefault="0086742E">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התובע לא התכחש לחתימתו על העמוד השני של הסכם העבודה שצורף לכתב הה</w:t>
      </w:r>
      <w:r w:rsidR="00F22995">
        <w:rPr>
          <w:rFonts w:hint="cs" w:ascii="Arial" w:hAnsi="Arial"/>
          <w:noProof w:val="0"/>
          <w:sz w:val="28"/>
          <w:szCs w:val="28"/>
          <w:rtl/>
        </w:rPr>
        <w:t xml:space="preserve">גנה. עם זאת, התובע </w:t>
      </w:r>
      <w:r w:rsidR="008B458C">
        <w:rPr>
          <w:rFonts w:hint="cs" w:ascii="Arial" w:hAnsi="Arial"/>
          <w:noProof w:val="0"/>
          <w:sz w:val="28"/>
          <w:szCs w:val="28"/>
          <w:rtl/>
        </w:rPr>
        <w:t>טען שלא קיבל עותק ממנו, אלא</w:t>
      </w:r>
      <w:r w:rsidR="00F22995">
        <w:rPr>
          <w:rFonts w:hint="cs" w:ascii="Arial" w:hAnsi="Arial"/>
          <w:noProof w:val="0"/>
          <w:sz w:val="28"/>
          <w:szCs w:val="28"/>
          <w:rtl/>
        </w:rPr>
        <w:t xml:space="preserve"> חתם על ההסכם כאשר</w:t>
      </w:r>
      <w:r w:rsidR="008B458C">
        <w:rPr>
          <w:rFonts w:hint="cs" w:ascii="Arial" w:hAnsi="Arial"/>
          <w:noProof w:val="0"/>
          <w:sz w:val="28"/>
          <w:szCs w:val="28"/>
          <w:rtl/>
        </w:rPr>
        <w:t xml:space="preserve"> הוא התבקש</w:t>
      </w:r>
      <w:r w:rsidR="00F22995">
        <w:rPr>
          <w:rFonts w:hint="cs" w:ascii="Arial" w:hAnsi="Arial"/>
          <w:noProof w:val="0"/>
          <w:sz w:val="28"/>
          <w:szCs w:val="28"/>
          <w:rtl/>
        </w:rPr>
        <w:t>,</w:t>
      </w:r>
      <w:r w:rsidR="008B458C">
        <w:rPr>
          <w:rFonts w:hint="cs" w:ascii="Arial" w:hAnsi="Arial"/>
          <w:noProof w:val="0"/>
          <w:sz w:val="28"/>
          <w:szCs w:val="28"/>
          <w:rtl/>
        </w:rPr>
        <w:t xml:space="preserve"> עם קליטתו לעבודה</w:t>
      </w:r>
      <w:r w:rsidR="00F22995">
        <w:rPr>
          <w:rFonts w:hint="cs" w:ascii="Arial" w:hAnsi="Arial"/>
          <w:noProof w:val="0"/>
          <w:sz w:val="28"/>
          <w:szCs w:val="28"/>
          <w:rtl/>
        </w:rPr>
        <w:t>,</w:t>
      </w:r>
      <w:r w:rsidR="008B458C">
        <w:rPr>
          <w:rFonts w:hint="cs" w:ascii="Arial" w:hAnsi="Arial"/>
          <w:noProof w:val="0"/>
          <w:sz w:val="28"/>
          <w:szCs w:val="28"/>
          <w:rtl/>
        </w:rPr>
        <w:t xml:space="preserve"> לחתום על מסמכים שונים תוך שנאמר לו שהם נדרשים לצורך הנהלת חשבונות. </w:t>
      </w:r>
      <w:r w:rsidR="008C23EC">
        <w:rPr>
          <w:rFonts w:hint="cs" w:ascii="Arial" w:hAnsi="Arial"/>
          <w:noProof w:val="0"/>
          <w:sz w:val="28"/>
          <w:szCs w:val="28"/>
          <w:rtl/>
        </w:rPr>
        <w:t>עדות זו של התובע לא נסתרה על ידי כל עדות נוגדת.</w:t>
      </w:r>
    </w:p>
    <w:p w:rsidR="00F22995" w:rsidP="00562EF8" w:rsidRDefault="008B458C">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על פי חוק הודעה לעובד ולמוע</w:t>
      </w:r>
      <w:r w:rsidR="00562EF8">
        <w:rPr>
          <w:rFonts w:hint="cs" w:ascii="Arial" w:hAnsi="Arial"/>
          <w:noProof w:val="0"/>
          <w:sz w:val="28"/>
          <w:szCs w:val="28"/>
          <w:rtl/>
        </w:rPr>
        <w:t>מ</w:t>
      </w:r>
      <w:r>
        <w:rPr>
          <w:rFonts w:hint="cs" w:ascii="Arial" w:hAnsi="Arial"/>
          <w:noProof w:val="0"/>
          <w:sz w:val="28"/>
          <w:szCs w:val="28"/>
          <w:rtl/>
        </w:rPr>
        <w:t xml:space="preserve">ד לעבודה (תנאי עבודה והליכי קבלה ומיון לעבודה), התשס"ב-2002, מוטל על מעביד למסור לעובד הודעה בכתב על תנאי עבודה או חוזה עבודה. דרישה מהותית זו </w:t>
      </w:r>
      <w:r w:rsidR="00562EF8">
        <w:rPr>
          <w:rFonts w:hint="cs" w:ascii="Arial" w:hAnsi="Arial"/>
          <w:noProof w:val="0"/>
          <w:sz w:val="28"/>
          <w:szCs w:val="28"/>
          <w:rtl/>
        </w:rPr>
        <w:t xml:space="preserve">למסירת ההודעה </w:t>
      </w:r>
      <w:r>
        <w:rPr>
          <w:rFonts w:hint="cs" w:ascii="Arial" w:hAnsi="Arial"/>
          <w:noProof w:val="0"/>
          <w:sz w:val="28"/>
          <w:szCs w:val="28"/>
          <w:rtl/>
        </w:rPr>
        <w:t xml:space="preserve">מוליכה למסקנה </w:t>
      </w:r>
      <w:r w:rsidR="00562EF8">
        <w:rPr>
          <w:rFonts w:hint="cs" w:ascii="Arial" w:hAnsi="Arial"/>
          <w:noProof w:val="0"/>
          <w:sz w:val="28"/>
          <w:szCs w:val="28"/>
          <w:rtl/>
        </w:rPr>
        <w:t>כי על</w:t>
      </w:r>
      <w:r>
        <w:rPr>
          <w:rFonts w:hint="cs" w:ascii="Arial" w:hAnsi="Arial"/>
          <w:noProof w:val="0"/>
          <w:sz w:val="28"/>
          <w:szCs w:val="28"/>
          <w:rtl/>
        </w:rPr>
        <w:t xml:space="preserve"> מעסיק מוטל נטל להוכי</w:t>
      </w:r>
      <w:r w:rsidR="00612E4A">
        <w:rPr>
          <w:rFonts w:hint="cs" w:ascii="Arial" w:hAnsi="Arial"/>
          <w:noProof w:val="0"/>
          <w:sz w:val="28"/>
          <w:szCs w:val="28"/>
          <w:rtl/>
        </w:rPr>
        <w:t xml:space="preserve">ח </w:t>
      </w:r>
      <w:r w:rsidR="00562EF8">
        <w:rPr>
          <w:rFonts w:hint="cs" w:ascii="Arial" w:hAnsi="Arial"/>
          <w:noProof w:val="0"/>
          <w:sz w:val="28"/>
          <w:szCs w:val="28"/>
          <w:rtl/>
        </w:rPr>
        <w:t xml:space="preserve">את </w:t>
      </w:r>
      <w:r w:rsidR="00612E4A">
        <w:rPr>
          <w:rFonts w:hint="cs" w:ascii="Arial" w:hAnsi="Arial"/>
          <w:noProof w:val="0"/>
          <w:sz w:val="28"/>
          <w:szCs w:val="28"/>
          <w:rtl/>
        </w:rPr>
        <w:t>מסי</w:t>
      </w:r>
      <w:r w:rsidR="00F22995">
        <w:rPr>
          <w:rFonts w:hint="cs" w:ascii="Arial" w:hAnsi="Arial"/>
          <w:noProof w:val="0"/>
          <w:sz w:val="28"/>
          <w:szCs w:val="28"/>
          <w:rtl/>
        </w:rPr>
        <w:t>רת ההודעה או החוזה שבכתב לעובד, וכי עצם חתימתו של עובד על מסמך הכולל פירוט של תנאי עבודה, אינו מקיים את דרישת המסירה.</w:t>
      </w:r>
    </w:p>
    <w:p w:rsidR="00040D6E" w:rsidP="00E60476" w:rsidRDefault="00040D6E">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הנתבעת לא הרימה נטל זה וכאמור, ל</w:t>
      </w:r>
      <w:r w:rsidR="00612E4A">
        <w:rPr>
          <w:rFonts w:hint="cs" w:ascii="Arial" w:hAnsi="Arial"/>
          <w:noProof w:val="0"/>
          <w:sz w:val="28"/>
          <w:szCs w:val="28"/>
          <w:rtl/>
        </w:rPr>
        <w:t xml:space="preserve">א סתרה את טענת התובע כי לא קיבל עותק מהסכם העבודה. </w:t>
      </w:r>
    </w:p>
    <w:p w:rsidR="00040D6E" w:rsidP="00040D6E" w:rsidRDefault="00612E4A">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בנסיבות אלה, כאשר דרישת סעיף 19 לחוק ההתיישנות הינה לקיומו של חוזה נפרד לצורך קביעת הסכמה תקפה בדבר קיצור תקופת ההתיישנות, לא ניתן לקבל שהעלאת טענה מצד התובע לאי-התקיימות תנאי זה </w:t>
      </w:r>
      <w:r w:rsidR="00E60476">
        <w:rPr>
          <w:rFonts w:hint="cs" w:ascii="Arial" w:hAnsi="Arial"/>
          <w:noProof w:val="0"/>
          <w:sz w:val="28"/>
          <w:szCs w:val="28"/>
          <w:rtl/>
        </w:rPr>
        <w:t>לגבי מסמ</w:t>
      </w:r>
      <w:r w:rsidR="00040D6E">
        <w:rPr>
          <w:rFonts w:hint="cs" w:ascii="Arial" w:hAnsi="Arial"/>
          <w:noProof w:val="0"/>
          <w:sz w:val="28"/>
          <w:szCs w:val="28"/>
          <w:rtl/>
        </w:rPr>
        <w:t xml:space="preserve">ך, אשר </w:t>
      </w:r>
      <w:r w:rsidR="00E60476">
        <w:rPr>
          <w:rFonts w:hint="cs" w:ascii="Arial" w:hAnsi="Arial"/>
          <w:noProof w:val="0"/>
          <w:sz w:val="28"/>
          <w:szCs w:val="28"/>
          <w:rtl/>
        </w:rPr>
        <w:t xml:space="preserve">בניגוד לחובה חוקית המוטלת על הנתבעת לא נמסר לו - </w:t>
      </w:r>
      <w:r>
        <w:rPr>
          <w:rFonts w:hint="cs" w:ascii="Arial" w:hAnsi="Arial"/>
          <w:noProof w:val="0"/>
          <w:sz w:val="28"/>
          <w:szCs w:val="28"/>
          <w:rtl/>
        </w:rPr>
        <w:t xml:space="preserve">נגועה בחוסר תום לב כלשהו. </w:t>
      </w:r>
    </w:p>
    <w:p w:rsidR="00E60476" w:rsidP="00562EF8" w:rsidRDefault="00612E4A">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בהתאם לכך, לא עולה בענייננו כל "זעקת הגינות" אשר לגביה נפסק </w:t>
      </w:r>
      <w:r w:rsidR="00040D6E">
        <w:rPr>
          <w:rFonts w:hint="cs" w:ascii="Arial" w:hAnsi="Arial"/>
          <w:noProof w:val="0"/>
          <w:sz w:val="28"/>
          <w:szCs w:val="28"/>
          <w:rtl/>
        </w:rPr>
        <w:t>בהלכת קלמר</w:t>
      </w:r>
      <w:r w:rsidR="00562EF8">
        <w:rPr>
          <w:rFonts w:hint="cs" w:ascii="Arial" w:hAnsi="Arial"/>
          <w:noProof w:val="0"/>
          <w:sz w:val="28"/>
          <w:szCs w:val="28"/>
          <w:rtl/>
        </w:rPr>
        <w:t xml:space="preserve"> נ. גיא</w:t>
      </w:r>
      <w:r w:rsidR="00040D6E">
        <w:rPr>
          <w:rFonts w:hint="cs" w:ascii="Arial" w:hAnsi="Arial"/>
          <w:noProof w:val="0"/>
          <w:sz w:val="28"/>
          <w:szCs w:val="28"/>
          <w:rtl/>
        </w:rPr>
        <w:t xml:space="preserve">, </w:t>
      </w:r>
      <w:r>
        <w:rPr>
          <w:rFonts w:hint="cs" w:ascii="Arial" w:hAnsi="Arial"/>
          <w:noProof w:val="0"/>
          <w:sz w:val="28"/>
          <w:szCs w:val="28"/>
          <w:rtl/>
        </w:rPr>
        <w:t>בהקשר של סעיף 8 לחוק המקרקעין, התשכ"ט-1969, כי היא עשויה במקרים יוצאי דופן לגבור על "דרישת הכ</w:t>
      </w:r>
      <w:r w:rsidR="00040D6E">
        <w:rPr>
          <w:rFonts w:hint="cs" w:ascii="Arial" w:hAnsi="Arial"/>
          <w:noProof w:val="0"/>
          <w:sz w:val="28"/>
          <w:szCs w:val="28"/>
          <w:rtl/>
        </w:rPr>
        <w:t xml:space="preserve">תב" לתקפותה של "עסקה במקרקעין". </w:t>
      </w:r>
    </w:p>
    <w:p w:rsidRPr="00E60476" w:rsidR="00040D6E" w:rsidP="00040D6E" w:rsidRDefault="00040D6E">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אשר על כן נדחית טענת ההתיישנות שהעלתה הנתבעת.</w:t>
      </w:r>
    </w:p>
    <w:p w:rsidR="0080167E" w:rsidP="0080167E" w:rsidRDefault="0080167E">
      <w:pPr>
        <w:spacing w:line="360" w:lineRule="auto"/>
        <w:ind w:left="360"/>
        <w:jc w:val="both"/>
        <w:rPr>
          <w:rFonts w:ascii="Arial" w:hAnsi="Arial"/>
          <w:noProof w:val="0"/>
          <w:sz w:val="28"/>
          <w:szCs w:val="28"/>
          <w:rtl/>
        </w:rPr>
      </w:pPr>
    </w:p>
    <w:p w:rsidR="003B3143" w:rsidP="0080167E" w:rsidRDefault="003B3143">
      <w:pPr>
        <w:spacing w:line="360" w:lineRule="auto"/>
        <w:ind w:left="360"/>
        <w:jc w:val="both"/>
        <w:rPr>
          <w:rFonts w:ascii="Arial" w:hAnsi="Arial"/>
          <w:b/>
          <w:bCs/>
          <w:noProof w:val="0"/>
          <w:sz w:val="28"/>
          <w:szCs w:val="28"/>
          <w:u w:val="single"/>
          <w:rtl/>
        </w:rPr>
      </w:pPr>
      <w:r>
        <w:rPr>
          <w:rFonts w:hint="cs" w:ascii="Arial" w:hAnsi="Arial"/>
          <w:b/>
          <w:bCs/>
          <w:noProof w:val="0"/>
          <w:sz w:val="28"/>
          <w:szCs w:val="28"/>
          <w:u w:val="single"/>
          <w:rtl/>
        </w:rPr>
        <w:t>התביעה לגמול עבודה בשעות נוספות</w:t>
      </w:r>
      <w:r w:rsidR="006512FA">
        <w:rPr>
          <w:rFonts w:hint="cs" w:ascii="Arial" w:hAnsi="Arial"/>
          <w:b/>
          <w:bCs/>
          <w:noProof w:val="0"/>
          <w:sz w:val="28"/>
          <w:szCs w:val="28"/>
          <w:u w:val="single"/>
          <w:rtl/>
        </w:rPr>
        <w:t xml:space="preserve"> </w:t>
      </w:r>
      <w:r w:rsidR="006512FA">
        <w:rPr>
          <w:rFonts w:ascii="Arial" w:hAnsi="Arial"/>
          <w:b/>
          <w:bCs/>
          <w:noProof w:val="0"/>
          <w:sz w:val="28"/>
          <w:szCs w:val="28"/>
          <w:u w:val="single"/>
          <w:rtl/>
        </w:rPr>
        <w:t>–</w:t>
      </w:r>
      <w:r w:rsidR="006512FA">
        <w:rPr>
          <w:rFonts w:hint="cs" w:ascii="Arial" w:hAnsi="Arial"/>
          <w:b/>
          <w:bCs/>
          <w:noProof w:val="0"/>
          <w:sz w:val="28"/>
          <w:szCs w:val="28"/>
          <w:u w:val="single"/>
          <w:rtl/>
        </w:rPr>
        <w:t xml:space="preserve"> הרקע העובדתי</w:t>
      </w:r>
    </w:p>
    <w:p w:rsidR="003B3143" w:rsidP="00433187" w:rsidRDefault="003B3143">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העובדות שאינן במחלוקת באשר לתביעה זו הינן:</w:t>
      </w:r>
    </w:p>
    <w:p w:rsidR="0080167E" w:rsidP="007B2DA3" w:rsidRDefault="0080167E">
      <w:pPr>
        <w:pStyle w:val="ad"/>
        <w:numPr>
          <w:ilvl w:val="1"/>
          <w:numId w:val="1"/>
        </w:numPr>
        <w:spacing w:line="360" w:lineRule="auto"/>
        <w:jc w:val="both"/>
        <w:rPr>
          <w:rFonts w:ascii="Arial" w:hAnsi="Arial"/>
          <w:noProof w:val="0"/>
          <w:sz w:val="28"/>
          <w:szCs w:val="28"/>
        </w:rPr>
      </w:pPr>
      <w:r>
        <w:rPr>
          <w:rFonts w:hint="cs" w:ascii="Arial" w:hAnsi="Arial"/>
          <w:noProof w:val="0"/>
          <w:sz w:val="28"/>
          <w:szCs w:val="28"/>
          <w:rtl/>
        </w:rPr>
        <w:t xml:space="preserve">הנתבעת </w:t>
      </w:r>
      <w:r w:rsidR="007B2DA3">
        <w:rPr>
          <w:rFonts w:hint="cs" w:ascii="Arial" w:hAnsi="Arial"/>
          <w:noProof w:val="0"/>
          <w:sz w:val="28"/>
          <w:szCs w:val="28"/>
          <w:rtl/>
        </w:rPr>
        <w:t xml:space="preserve">היא חברת שנותנת ללקוחותיה שירותי הסעות. הנתבעת </w:t>
      </w:r>
      <w:r>
        <w:rPr>
          <w:rFonts w:hint="cs" w:ascii="Arial" w:hAnsi="Arial"/>
          <w:noProof w:val="0"/>
          <w:sz w:val="28"/>
          <w:szCs w:val="28"/>
          <w:rtl/>
        </w:rPr>
        <w:t>התקשרה עם משרד הביטחון בחוזה למתן שירותי הסעות לחיילים</w:t>
      </w:r>
      <w:r w:rsidR="007B2DA3">
        <w:rPr>
          <w:rFonts w:hint="cs" w:ascii="Arial" w:hAnsi="Arial"/>
          <w:noProof w:val="0"/>
          <w:sz w:val="28"/>
          <w:szCs w:val="28"/>
          <w:rtl/>
        </w:rPr>
        <w:t xml:space="preserve">. </w:t>
      </w:r>
      <w:r w:rsidR="00B675F8">
        <w:rPr>
          <w:rFonts w:hint="cs" w:ascii="Arial" w:hAnsi="Arial"/>
          <w:noProof w:val="0"/>
          <w:sz w:val="28"/>
          <w:szCs w:val="28"/>
          <w:rtl/>
        </w:rPr>
        <w:lastRenderedPageBreak/>
        <w:t>במסגרת החוזה התחייבה הנתבעת לבצע</w:t>
      </w:r>
      <w:r w:rsidR="00040D6E">
        <w:rPr>
          <w:rFonts w:hint="cs" w:ascii="Arial" w:hAnsi="Arial"/>
          <w:noProof w:val="0"/>
          <w:sz w:val="28"/>
          <w:szCs w:val="28"/>
          <w:rtl/>
        </w:rPr>
        <w:t xml:space="preserve"> הסעות ("שאטלים") של חיילים לצורך חילופי משמרות במחסומים שונים</w:t>
      </w:r>
      <w:r w:rsidR="00B675F8">
        <w:rPr>
          <w:rFonts w:hint="cs" w:ascii="Arial" w:hAnsi="Arial"/>
          <w:noProof w:val="0"/>
          <w:sz w:val="28"/>
          <w:szCs w:val="28"/>
          <w:rtl/>
        </w:rPr>
        <w:t>.</w:t>
      </w:r>
    </w:p>
    <w:p w:rsidR="007B2DA3" w:rsidP="007B2DA3" w:rsidRDefault="007B2DA3">
      <w:pPr>
        <w:pStyle w:val="ad"/>
        <w:numPr>
          <w:ilvl w:val="1"/>
          <w:numId w:val="1"/>
        </w:numPr>
        <w:spacing w:line="360" w:lineRule="auto"/>
        <w:jc w:val="both"/>
        <w:rPr>
          <w:rFonts w:ascii="Arial" w:hAnsi="Arial"/>
          <w:noProof w:val="0"/>
          <w:sz w:val="28"/>
          <w:szCs w:val="28"/>
        </w:rPr>
      </w:pPr>
      <w:r>
        <w:rPr>
          <w:rFonts w:hint="cs" w:ascii="Arial" w:hAnsi="Arial"/>
          <w:noProof w:val="0"/>
          <w:sz w:val="28"/>
          <w:szCs w:val="28"/>
          <w:rtl/>
        </w:rPr>
        <w:t xml:space="preserve">התובע הועסק על ידי הנתבעת החל מיום 1.9.12. </w:t>
      </w:r>
      <w:r w:rsidR="00203B51">
        <w:rPr>
          <w:rFonts w:hint="cs" w:ascii="Arial" w:hAnsi="Arial"/>
          <w:noProof w:val="0"/>
          <w:sz w:val="28"/>
          <w:szCs w:val="28"/>
          <w:rtl/>
        </w:rPr>
        <w:t xml:space="preserve">החל מחודש 11/12 הועסק התובע בהסעת חיילים המשרתים במחנה </w:t>
      </w:r>
      <w:r>
        <w:rPr>
          <w:rFonts w:hint="cs" w:ascii="Arial" w:hAnsi="Arial"/>
          <w:noProof w:val="0"/>
          <w:sz w:val="28"/>
          <w:szCs w:val="28"/>
          <w:rtl/>
        </w:rPr>
        <w:t xml:space="preserve">ענתות. </w:t>
      </w:r>
      <w:r w:rsidR="00203B51">
        <w:rPr>
          <w:rFonts w:hint="cs" w:ascii="Arial" w:hAnsi="Arial"/>
          <w:noProof w:val="0"/>
          <w:sz w:val="28"/>
          <w:szCs w:val="28"/>
          <w:rtl/>
        </w:rPr>
        <w:t xml:space="preserve">עיקר תפקידו היה הסעת חיילים להחלפת משמרות במחסומים. </w:t>
      </w:r>
    </w:p>
    <w:p w:rsidR="00203B51" w:rsidP="007B2DA3" w:rsidRDefault="00203B51">
      <w:pPr>
        <w:pStyle w:val="ad"/>
        <w:numPr>
          <w:ilvl w:val="1"/>
          <w:numId w:val="1"/>
        </w:numPr>
        <w:spacing w:line="360" w:lineRule="auto"/>
        <w:jc w:val="both"/>
        <w:rPr>
          <w:rFonts w:ascii="Arial" w:hAnsi="Arial"/>
          <w:noProof w:val="0"/>
          <w:sz w:val="28"/>
          <w:szCs w:val="28"/>
        </w:rPr>
      </w:pPr>
      <w:r w:rsidRPr="00731C85">
        <w:rPr>
          <w:rFonts w:hint="cs" w:ascii="Arial" w:hAnsi="Arial"/>
          <w:noProof w:val="0"/>
          <w:sz w:val="28"/>
          <w:szCs w:val="28"/>
          <w:rtl/>
        </w:rPr>
        <w:t>אין חולק על כך ש</w:t>
      </w:r>
      <w:r w:rsidR="007B2DA3">
        <w:rPr>
          <w:rFonts w:hint="cs" w:ascii="Arial" w:hAnsi="Arial"/>
          <w:noProof w:val="0"/>
          <w:sz w:val="28"/>
          <w:szCs w:val="28"/>
          <w:rtl/>
        </w:rPr>
        <w:t xml:space="preserve">ביום עבודה רגיל של התובע </w:t>
      </w:r>
      <w:r w:rsidRPr="00731C85">
        <w:rPr>
          <w:rFonts w:hint="cs" w:ascii="Arial" w:hAnsi="Arial"/>
          <w:noProof w:val="0"/>
          <w:sz w:val="28"/>
          <w:szCs w:val="28"/>
          <w:rtl/>
        </w:rPr>
        <w:t>היו חמש הסעות</w:t>
      </w:r>
      <w:r w:rsidR="00731C85">
        <w:rPr>
          <w:rFonts w:hint="cs" w:ascii="Arial" w:hAnsi="Arial"/>
          <w:noProof w:val="0"/>
          <w:sz w:val="28"/>
          <w:szCs w:val="28"/>
          <w:rtl/>
        </w:rPr>
        <w:t>, בשעות קבועות</w:t>
      </w:r>
      <w:r w:rsidR="00CC356E">
        <w:rPr>
          <w:rFonts w:hint="cs" w:ascii="Arial" w:hAnsi="Arial"/>
          <w:noProof w:val="0"/>
          <w:sz w:val="28"/>
          <w:szCs w:val="28"/>
          <w:rtl/>
        </w:rPr>
        <w:t xml:space="preserve"> (קיימת מחלוקת באשר לשעות בהן התקיימו ההסעות).</w:t>
      </w:r>
    </w:p>
    <w:p w:rsidRPr="00731C85" w:rsidR="00CC356E" w:rsidP="007B2DA3" w:rsidRDefault="007B2DA3">
      <w:pPr>
        <w:pStyle w:val="ad"/>
        <w:numPr>
          <w:ilvl w:val="1"/>
          <w:numId w:val="1"/>
        </w:numPr>
        <w:spacing w:line="360" w:lineRule="auto"/>
        <w:jc w:val="both"/>
        <w:rPr>
          <w:rFonts w:ascii="Arial" w:hAnsi="Arial"/>
          <w:noProof w:val="0"/>
          <w:sz w:val="28"/>
          <w:szCs w:val="28"/>
        </w:rPr>
      </w:pPr>
      <w:r>
        <w:rPr>
          <w:rFonts w:hint="cs" w:ascii="Arial" w:hAnsi="Arial"/>
          <w:noProof w:val="0"/>
          <w:sz w:val="28"/>
          <w:szCs w:val="28"/>
          <w:rtl/>
        </w:rPr>
        <w:t>בבסיס שבו הועסק התובע</w:t>
      </w:r>
      <w:r w:rsidR="00CC356E">
        <w:rPr>
          <w:rFonts w:hint="cs" w:ascii="Arial" w:hAnsi="Arial"/>
          <w:noProof w:val="0"/>
          <w:sz w:val="28"/>
          <w:szCs w:val="28"/>
          <w:rtl/>
        </w:rPr>
        <w:t xml:space="preserve"> היה</w:t>
      </w:r>
      <w:r w:rsidR="000459BF">
        <w:rPr>
          <w:rFonts w:hint="cs" w:ascii="Arial" w:hAnsi="Arial"/>
          <w:noProof w:val="0"/>
          <w:sz w:val="28"/>
          <w:szCs w:val="28"/>
          <w:rtl/>
        </w:rPr>
        <w:t xml:space="preserve"> חדר נהגים שבו יכלו הנהגים לנוח על גבי מיטה</w:t>
      </w:r>
      <w:r w:rsidR="00CC356E">
        <w:rPr>
          <w:rFonts w:hint="cs" w:ascii="Arial" w:hAnsi="Arial"/>
          <w:noProof w:val="0"/>
          <w:sz w:val="28"/>
          <w:szCs w:val="28"/>
          <w:rtl/>
        </w:rPr>
        <w:t xml:space="preserve">, </w:t>
      </w:r>
      <w:r>
        <w:rPr>
          <w:rFonts w:hint="cs" w:ascii="Arial" w:hAnsi="Arial"/>
          <w:noProof w:val="0"/>
          <w:sz w:val="28"/>
          <w:szCs w:val="28"/>
          <w:rtl/>
        </w:rPr>
        <w:t xml:space="preserve">והנהגים אכלו ארוחות </w:t>
      </w:r>
      <w:r w:rsidR="00CC356E">
        <w:rPr>
          <w:rFonts w:hint="cs" w:ascii="Arial" w:hAnsi="Arial"/>
          <w:noProof w:val="0"/>
          <w:sz w:val="28"/>
          <w:szCs w:val="28"/>
          <w:rtl/>
        </w:rPr>
        <w:t>בחדר האוכל של הבסיס.</w:t>
      </w:r>
    </w:p>
    <w:p w:rsidR="0073136B" w:rsidP="00B675F8" w:rsidRDefault="005C4EB0">
      <w:pPr>
        <w:pStyle w:val="ad"/>
        <w:numPr>
          <w:ilvl w:val="1"/>
          <w:numId w:val="1"/>
        </w:numPr>
        <w:spacing w:line="360" w:lineRule="auto"/>
        <w:jc w:val="both"/>
        <w:rPr>
          <w:rFonts w:ascii="Arial" w:hAnsi="Arial"/>
          <w:noProof w:val="0"/>
          <w:sz w:val="28"/>
          <w:szCs w:val="28"/>
        </w:rPr>
      </w:pPr>
      <w:r>
        <w:rPr>
          <w:rFonts w:hint="cs" w:ascii="Arial" w:hAnsi="Arial"/>
          <w:noProof w:val="0"/>
          <w:sz w:val="28"/>
          <w:szCs w:val="28"/>
          <w:rtl/>
        </w:rPr>
        <w:t>בהתאם להו</w:t>
      </w:r>
      <w:r w:rsidR="00B829E6">
        <w:rPr>
          <w:rFonts w:hint="cs" w:ascii="Arial" w:hAnsi="Arial"/>
          <w:noProof w:val="0"/>
          <w:sz w:val="28"/>
          <w:szCs w:val="28"/>
          <w:rtl/>
        </w:rPr>
        <w:t xml:space="preserve">ראות הנתבעת, היה על התובע </w:t>
      </w:r>
      <w:r w:rsidR="00B675F8">
        <w:rPr>
          <w:rFonts w:hint="cs" w:ascii="Arial" w:hAnsi="Arial"/>
          <w:noProof w:val="0"/>
          <w:sz w:val="28"/>
          <w:szCs w:val="28"/>
          <w:rtl/>
        </w:rPr>
        <w:t>להגיש לנתבעת</w:t>
      </w:r>
      <w:r>
        <w:rPr>
          <w:rFonts w:hint="cs" w:ascii="Arial" w:hAnsi="Arial"/>
          <w:noProof w:val="0"/>
          <w:sz w:val="28"/>
          <w:szCs w:val="28"/>
          <w:rtl/>
        </w:rPr>
        <w:t xml:space="preserve"> בכל סוף חודש </w:t>
      </w:r>
      <w:r w:rsidR="00B675F8">
        <w:rPr>
          <w:rFonts w:hint="cs" w:ascii="Arial" w:hAnsi="Arial"/>
          <w:noProof w:val="0"/>
          <w:sz w:val="28"/>
          <w:szCs w:val="28"/>
          <w:rtl/>
        </w:rPr>
        <w:t xml:space="preserve">דו"ח שעות עבודה ולציין לגבי </w:t>
      </w:r>
      <w:r>
        <w:rPr>
          <w:rFonts w:hint="cs" w:ascii="Arial" w:hAnsi="Arial"/>
          <w:noProof w:val="0"/>
          <w:sz w:val="28"/>
          <w:szCs w:val="28"/>
          <w:rtl/>
        </w:rPr>
        <w:t>כל יום את מספ</w:t>
      </w:r>
      <w:r w:rsidR="00B675F8">
        <w:rPr>
          <w:rFonts w:hint="cs" w:ascii="Arial" w:hAnsi="Arial"/>
          <w:noProof w:val="0"/>
          <w:sz w:val="28"/>
          <w:szCs w:val="28"/>
          <w:rtl/>
        </w:rPr>
        <w:t xml:space="preserve">ר השעות שעבד לאחר השעה העשירית. התובע קיים הנחיה זו והגיש לנתבעת, </w:t>
      </w:r>
      <w:r>
        <w:rPr>
          <w:rFonts w:hint="cs" w:ascii="Arial" w:hAnsi="Arial"/>
          <w:noProof w:val="0"/>
          <w:sz w:val="28"/>
          <w:szCs w:val="28"/>
          <w:rtl/>
        </w:rPr>
        <w:t>בתום כל חודש</w:t>
      </w:r>
      <w:r w:rsidR="00B675F8">
        <w:rPr>
          <w:rFonts w:hint="cs" w:ascii="Arial" w:hAnsi="Arial"/>
          <w:noProof w:val="0"/>
          <w:sz w:val="28"/>
          <w:szCs w:val="28"/>
          <w:rtl/>
        </w:rPr>
        <w:t>,</w:t>
      </w:r>
      <w:r>
        <w:rPr>
          <w:rFonts w:hint="cs" w:ascii="Arial" w:hAnsi="Arial"/>
          <w:noProof w:val="0"/>
          <w:sz w:val="28"/>
          <w:szCs w:val="28"/>
          <w:rtl/>
        </w:rPr>
        <w:t xml:space="preserve"> דו"ח שעות העבודה שלו תוך ציון הערות, תחילה באמצעות הפקס והחל מחודש 10/13 </w:t>
      </w:r>
      <w:r>
        <w:rPr>
          <w:rFonts w:ascii="Arial" w:hAnsi="Arial"/>
          <w:noProof w:val="0"/>
          <w:sz w:val="28"/>
          <w:szCs w:val="28"/>
          <w:rtl/>
        </w:rPr>
        <w:t>–</w:t>
      </w:r>
      <w:r>
        <w:rPr>
          <w:rFonts w:hint="cs" w:ascii="Arial" w:hAnsi="Arial"/>
          <w:noProof w:val="0"/>
          <w:sz w:val="28"/>
          <w:szCs w:val="28"/>
          <w:rtl/>
        </w:rPr>
        <w:t xml:space="preserve"> באמצעות דואר אלקטרוני.</w:t>
      </w:r>
    </w:p>
    <w:p w:rsidR="005C4EB0" w:rsidP="00B675F8" w:rsidRDefault="003B3143">
      <w:pPr>
        <w:pStyle w:val="ad"/>
        <w:numPr>
          <w:ilvl w:val="1"/>
          <w:numId w:val="1"/>
        </w:numPr>
        <w:spacing w:line="360" w:lineRule="auto"/>
        <w:jc w:val="both"/>
        <w:rPr>
          <w:rFonts w:ascii="Arial" w:hAnsi="Arial"/>
          <w:noProof w:val="0"/>
          <w:sz w:val="28"/>
          <w:szCs w:val="28"/>
        </w:rPr>
      </w:pPr>
      <w:r>
        <w:rPr>
          <w:rFonts w:hint="cs" w:ascii="Arial" w:hAnsi="Arial"/>
          <w:noProof w:val="0"/>
          <w:sz w:val="28"/>
          <w:szCs w:val="28"/>
          <w:rtl/>
        </w:rPr>
        <w:t>הנתבעת הנפיקה לתובע תלושי שכר מדי חודש ומסרה אותם לתובע, והתובע קיבל את הסכומים הרשומים בתלושים כ"נטו לתשלום".</w:t>
      </w:r>
    </w:p>
    <w:p w:rsidRPr="004B4412" w:rsidR="00393EAA" w:rsidP="004B4412" w:rsidRDefault="00393EAA">
      <w:pPr>
        <w:pStyle w:val="ad"/>
        <w:numPr>
          <w:ilvl w:val="1"/>
          <w:numId w:val="1"/>
        </w:numPr>
        <w:spacing w:line="360" w:lineRule="auto"/>
        <w:jc w:val="both"/>
        <w:rPr>
          <w:rFonts w:ascii="Arial" w:hAnsi="Arial"/>
          <w:noProof w:val="0"/>
          <w:sz w:val="28"/>
          <w:szCs w:val="28"/>
        </w:rPr>
      </w:pPr>
      <w:r>
        <w:rPr>
          <w:rFonts w:hint="cs" w:ascii="Arial" w:hAnsi="Arial"/>
          <w:noProof w:val="0"/>
          <w:sz w:val="28"/>
          <w:szCs w:val="28"/>
          <w:rtl/>
        </w:rPr>
        <w:t>בתלושי השכר של התובע פורטו, בנוסף לרכיב "משכורת", רכיבים נוספים. בחודש הראשון להעסקת התובע, "המשכורת" הייתה בסך 4,100 ₪. החל מחודש העסקתו השני של התובע עד לסוף עבודתו, המשכורת הייתה בסך 4,300 ₪.</w:t>
      </w:r>
      <w:r w:rsidR="004B4412">
        <w:rPr>
          <w:rFonts w:hint="cs" w:ascii="Arial" w:hAnsi="Arial"/>
          <w:noProof w:val="0"/>
          <w:sz w:val="28"/>
          <w:szCs w:val="28"/>
          <w:rtl/>
        </w:rPr>
        <w:t xml:space="preserve"> </w:t>
      </w:r>
      <w:r w:rsidRPr="004B4412">
        <w:rPr>
          <w:rFonts w:hint="cs" w:ascii="Arial" w:hAnsi="Arial"/>
          <w:noProof w:val="0"/>
          <w:sz w:val="28"/>
          <w:szCs w:val="28"/>
          <w:rtl/>
        </w:rPr>
        <w:t xml:space="preserve">רכיבי השכר נוספים לא היו קבועים. רכיבים אלה כללו "ש.נ. גלובלי", "תוס' פיצול", "תמריץ/כוננות", "ש. נוס' 125%", "ש. נוס' 150%". לא כל הרכיבים </w:t>
      </w:r>
      <w:r w:rsidRPr="004B4412" w:rsidR="00183FCA">
        <w:rPr>
          <w:rFonts w:hint="cs" w:ascii="Arial" w:hAnsi="Arial"/>
          <w:noProof w:val="0"/>
          <w:sz w:val="28"/>
          <w:szCs w:val="28"/>
          <w:rtl/>
        </w:rPr>
        <w:t>הופיעו בכל החודשים. אין חולק על כך שלאחר קבלת הדיווחים של התובע, הוכן תלוש השכר בהתאם לאותן שעות שאושרו על ידי הנתבעת.</w:t>
      </w:r>
    </w:p>
    <w:p w:rsidR="00EB19AE" w:rsidP="00EB19AE" w:rsidRDefault="00EB19AE">
      <w:pPr>
        <w:spacing w:line="360" w:lineRule="auto"/>
        <w:ind w:left="360"/>
        <w:jc w:val="both"/>
        <w:rPr>
          <w:rFonts w:ascii="Arial" w:hAnsi="Arial"/>
          <w:noProof w:val="0"/>
          <w:sz w:val="28"/>
          <w:szCs w:val="28"/>
          <w:rtl/>
        </w:rPr>
      </w:pPr>
    </w:p>
    <w:p w:rsidRPr="005820D8" w:rsidR="005820D8" w:rsidP="005820D8" w:rsidRDefault="005820D8">
      <w:pPr>
        <w:spacing w:line="360" w:lineRule="auto"/>
        <w:ind w:left="360"/>
        <w:jc w:val="both"/>
        <w:rPr>
          <w:rFonts w:ascii="Arial" w:hAnsi="Arial"/>
          <w:b/>
          <w:bCs/>
          <w:noProof w:val="0"/>
          <w:sz w:val="28"/>
          <w:szCs w:val="28"/>
          <w:u w:val="single"/>
        </w:rPr>
      </w:pPr>
      <w:r w:rsidRPr="005820D8">
        <w:rPr>
          <w:rFonts w:hint="cs" w:ascii="Arial" w:hAnsi="Arial"/>
          <w:b/>
          <w:bCs/>
          <w:noProof w:val="0"/>
          <w:sz w:val="28"/>
          <w:szCs w:val="28"/>
          <w:u w:val="single"/>
          <w:rtl/>
        </w:rPr>
        <w:t>תחולת חוק שעות עבודה ומנוחה</w:t>
      </w:r>
    </w:p>
    <w:p w:rsidRPr="007D30C1" w:rsidR="00E501BA" w:rsidP="004B4412" w:rsidRDefault="007D30C1">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הנתבעת העלתה, לראשונה בסיכומיה, טענה בדבר אי תחולת חוק שעות עבודה ומנוחה, התשי"א-1951, על העסקת התובע</w:t>
      </w:r>
      <w:r w:rsidRPr="004B4412" w:rsidR="004B4412">
        <w:rPr>
          <w:rFonts w:hint="cs" w:ascii="Arial" w:hAnsi="Arial"/>
          <w:noProof w:val="0"/>
          <w:sz w:val="28"/>
          <w:szCs w:val="28"/>
          <w:rtl/>
        </w:rPr>
        <w:t xml:space="preserve"> </w:t>
      </w:r>
      <w:r w:rsidR="004B4412">
        <w:rPr>
          <w:rFonts w:hint="cs" w:ascii="Arial" w:hAnsi="Arial"/>
          <w:noProof w:val="0"/>
          <w:sz w:val="28"/>
          <w:szCs w:val="28"/>
          <w:rtl/>
        </w:rPr>
        <w:t>בשל היעדר אפשרות לקיים פיקוח כלשהו על שעות העבודה והמנוחה של התובע לפי סעיף 30(א)(6) לחוק.</w:t>
      </w:r>
      <w:r>
        <w:rPr>
          <w:rFonts w:hint="cs" w:ascii="Arial" w:hAnsi="Arial"/>
          <w:noProof w:val="0"/>
          <w:sz w:val="28"/>
          <w:szCs w:val="28"/>
          <w:rtl/>
        </w:rPr>
        <w:t xml:space="preserve"> </w:t>
      </w:r>
      <w:r w:rsidRPr="007D30C1" w:rsidR="00173159">
        <w:rPr>
          <w:rFonts w:hint="cs" w:ascii="Arial" w:hAnsi="Arial"/>
          <w:noProof w:val="0"/>
          <w:sz w:val="28"/>
          <w:szCs w:val="28"/>
          <w:rtl/>
        </w:rPr>
        <w:t xml:space="preserve">דין </w:t>
      </w:r>
      <w:r>
        <w:rPr>
          <w:rFonts w:hint="cs" w:ascii="Arial" w:hAnsi="Arial"/>
          <w:noProof w:val="0"/>
          <w:sz w:val="28"/>
          <w:szCs w:val="28"/>
          <w:rtl/>
        </w:rPr>
        <w:t>הטענה</w:t>
      </w:r>
      <w:r w:rsidRPr="007D30C1" w:rsidR="00173159">
        <w:rPr>
          <w:rFonts w:hint="cs" w:ascii="Arial" w:hAnsi="Arial"/>
          <w:noProof w:val="0"/>
          <w:sz w:val="28"/>
          <w:szCs w:val="28"/>
          <w:rtl/>
        </w:rPr>
        <w:t xml:space="preserve"> להידחות בשל </w:t>
      </w:r>
      <w:r w:rsidR="004B4412">
        <w:rPr>
          <w:rFonts w:hint="cs" w:ascii="Arial" w:hAnsi="Arial"/>
          <w:noProof w:val="0"/>
          <w:sz w:val="28"/>
          <w:szCs w:val="28"/>
          <w:rtl/>
        </w:rPr>
        <w:t>הרחבת חזית, וכ</w:t>
      </w:r>
      <w:r w:rsidRPr="007D30C1" w:rsidR="00173159">
        <w:rPr>
          <w:rFonts w:hint="cs" w:ascii="Arial" w:hAnsi="Arial"/>
          <w:noProof w:val="0"/>
          <w:sz w:val="28"/>
          <w:szCs w:val="28"/>
          <w:rtl/>
        </w:rPr>
        <w:t>ן לגופה.</w:t>
      </w:r>
    </w:p>
    <w:p w:rsidR="00173159" w:rsidP="004B4412" w:rsidRDefault="00173159">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lastRenderedPageBreak/>
        <w:t xml:space="preserve">אשר להיות הטענה הרחבת חזית </w:t>
      </w:r>
      <w:r>
        <w:rPr>
          <w:rFonts w:ascii="Arial" w:hAnsi="Arial"/>
          <w:noProof w:val="0"/>
          <w:sz w:val="28"/>
          <w:szCs w:val="28"/>
          <w:rtl/>
        </w:rPr>
        <w:t>–</w:t>
      </w:r>
      <w:r>
        <w:rPr>
          <w:rFonts w:hint="cs" w:ascii="Arial" w:hAnsi="Arial"/>
          <w:noProof w:val="0"/>
          <w:sz w:val="28"/>
          <w:szCs w:val="28"/>
          <w:rtl/>
        </w:rPr>
        <w:t xml:space="preserve"> טענה זו לא פורטה בכתב ההגנה</w:t>
      </w:r>
      <w:r w:rsidR="00CC09DD">
        <w:rPr>
          <w:rFonts w:hint="cs" w:ascii="Arial" w:hAnsi="Arial"/>
          <w:noProof w:val="0"/>
          <w:sz w:val="28"/>
          <w:szCs w:val="28"/>
          <w:rtl/>
        </w:rPr>
        <w:t xml:space="preserve"> והועלתה לראשונה בסיכומי הנתבעת</w:t>
      </w:r>
      <w:r>
        <w:rPr>
          <w:rFonts w:hint="cs" w:ascii="Arial" w:hAnsi="Arial"/>
          <w:noProof w:val="0"/>
          <w:sz w:val="28"/>
          <w:szCs w:val="28"/>
          <w:rtl/>
        </w:rPr>
        <w:t>. בית הדין אינו מקבל את טענת הנתבעת כי מדובר בטענה משפטית בלבד. על מעסיק הטוען לאי-תחולת חוק שעות עבודה ומנוחה לפי אחת החלופות שבסעיף 30(א) של חוק שעות עבודה ומנוחה, לטעון את העובדו</w:t>
      </w:r>
      <w:r w:rsidR="004B4412">
        <w:rPr>
          <w:rFonts w:hint="cs" w:ascii="Arial" w:hAnsi="Arial"/>
          <w:noProof w:val="0"/>
          <w:sz w:val="28"/>
          <w:szCs w:val="28"/>
          <w:rtl/>
        </w:rPr>
        <w:t>ת המוציאות את העובד מתחולת החוק</w:t>
      </w:r>
      <w:r>
        <w:rPr>
          <w:rFonts w:hint="cs" w:ascii="Arial" w:hAnsi="Arial"/>
          <w:noProof w:val="0"/>
          <w:sz w:val="28"/>
          <w:szCs w:val="28"/>
          <w:rtl/>
        </w:rPr>
        <w:t xml:space="preserve"> בהתאם לחלופה הרלוונטית, ולהוכיח אותן. בענייננו, הנתבעת לא פירטה בכתב ההגנה טיעון עובדתי כלשהו בדבר </w:t>
      </w:r>
      <w:r w:rsidR="007D30C1">
        <w:rPr>
          <w:rFonts w:hint="cs" w:ascii="Arial" w:hAnsi="Arial"/>
          <w:noProof w:val="0"/>
          <w:sz w:val="28"/>
          <w:szCs w:val="28"/>
          <w:rtl/>
        </w:rPr>
        <w:t>ה</w:t>
      </w:r>
      <w:r>
        <w:rPr>
          <w:rFonts w:hint="cs" w:ascii="Arial" w:hAnsi="Arial"/>
          <w:noProof w:val="0"/>
          <w:sz w:val="28"/>
          <w:szCs w:val="28"/>
          <w:rtl/>
        </w:rPr>
        <w:t xml:space="preserve">יעדר יכולת </w:t>
      </w:r>
      <w:r w:rsidR="004B4412">
        <w:rPr>
          <w:rFonts w:hint="cs" w:ascii="Arial" w:hAnsi="Arial"/>
          <w:noProof w:val="0"/>
          <w:sz w:val="28"/>
          <w:szCs w:val="28"/>
          <w:rtl/>
        </w:rPr>
        <w:t xml:space="preserve">במסגרת תנאי עבודתו של התובע </w:t>
      </w:r>
      <w:r>
        <w:rPr>
          <w:rFonts w:hint="cs" w:ascii="Arial" w:hAnsi="Arial"/>
          <w:noProof w:val="0"/>
          <w:sz w:val="28"/>
          <w:szCs w:val="28"/>
          <w:rtl/>
        </w:rPr>
        <w:t>לקיים כל פיקוח על שעות העבודה והמנוחה של התובע</w:t>
      </w:r>
      <w:r w:rsidR="007D30C1">
        <w:rPr>
          <w:rFonts w:hint="cs" w:ascii="Arial" w:hAnsi="Arial"/>
          <w:noProof w:val="0"/>
          <w:sz w:val="28"/>
          <w:szCs w:val="28"/>
          <w:rtl/>
        </w:rPr>
        <w:t xml:space="preserve">, </w:t>
      </w:r>
    </w:p>
    <w:p w:rsidR="00CC09DD" w:rsidP="005820D8" w:rsidRDefault="00CC09D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נציין כי העובדה שהנתבעת צירפה לכתב ההגנה את הסכם העבודה שבו כלולה הוראה בדבר אי תחולת חוק שעות עבודה ומנוחה, אינה מהווה טיעון של עובדות המקימות את אי תחולת החוק לפי סעיף 30(א) לו, שכן תחולת החוק </w:t>
      </w:r>
      <w:r w:rsidR="005820D8">
        <w:rPr>
          <w:rFonts w:hint="cs" w:ascii="Arial" w:hAnsi="Arial"/>
          <w:noProof w:val="0"/>
          <w:sz w:val="28"/>
          <w:szCs w:val="28"/>
          <w:rtl/>
        </w:rPr>
        <w:t>נקבעת על פי העובדות שביסוד ההעסקה ולא על פי תוכן הסכמת הצדדים.</w:t>
      </w:r>
    </w:p>
    <w:p w:rsidR="00CC09DD" w:rsidP="007D30C1" w:rsidRDefault="00CC09D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לגופה של טענת הנתבעת, הרי שעיון בתצהיריהם של הסדרן יצחק שטרית ושל מנהל הנתבעת זוהר צדיק, שהעידו לנתבעת, מעלה שגם בעדויות עדיה נמנעה הנתבעת </w:t>
      </w:r>
      <w:r w:rsidR="007D30C1">
        <w:rPr>
          <w:rFonts w:hint="cs" w:ascii="Arial" w:hAnsi="Arial"/>
          <w:noProof w:val="0"/>
          <w:sz w:val="28"/>
          <w:szCs w:val="28"/>
          <w:rtl/>
        </w:rPr>
        <w:t>מ</w:t>
      </w:r>
      <w:r>
        <w:rPr>
          <w:rFonts w:hint="cs" w:ascii="Arial" w:hAnsi="Arial"/>
          <w:noProof w:val="0"/>
          <w:sz w:val="28"/>
          <w:szCs w:val="28"/>
          <w:rtl/>
        </w:rPr>
        <w:t>לנסות להוכיח את הטענה ש</w:t>
      </w:r>
      <w:r w:rsidR="007D30C1">
        <w:rPr>
          <w:rFonts w:hint="cs" w:ascii="Arial" w:hAnsi="Arial"/>
          <w:noProof w:val="0"/>
          <w:sz w:val="28"/>
          <w:szCs w:val="28"/>
          <w:rtl/>
        </w:rPr>
        <w:t xml:space="preserve">בהינתן תנאי עבודתו של התובע, </w:t>
      </w:r>
      <w:r>
        <w:rPr>
          <w:rFonts w:hint="cs" w:ascii="Arial" w:hAnsi="Arial"/>
          <w:noProof w:val="0"/>
          <w:sz w:val="28"/>
          <w:szCs w:val="28"/>
          <w:rtl/>
        </w:rPr>
        <w:t>לא הייתה לנתבעת כל אפשרות לפקח על שעות העבודה והמנוחה של</w:t>
      </w:r>
      <w:r w:rsidR="007D30C1">
        <w:rPr>
          <w:rFonts w:hint="cs" w:ascii="Arial" w:hAnsi="Arial"/>
          <w:noProof w:val="0"/>
          <w:sz w:val="28"/>
          <w:szCs w:val="28"/>
          <w:rtl/>
        </w:rPr>
        <w:t>ו</w:t>
      </w:r>
      <w:r>
        <w:rPr>
          <w:rFonts w:hint="cs" w:ascii="Arial" w:hAnsi="Arial"/>
          <w:noProof w:val="0"/>
          <w:sz w:val="28"/>
          <w:szCs w:val="28"/>
          <w:rtl/>
        </w:rPr>
        <w:t>.</w:t>
      </w:r>
    </w:p>
    <w:p w:rsidR="00CC09DD" w:rsidP="005820D8" w:rsidRDefault="00CC09D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מעבר לכך, מן הראיות עולה כי היו אמצעי פיקוח שונים אפש</w:t>
      </w:r>
      <w:r w:rsidR="005820D8">
        <w:rPr>
          <w:rFonts w:hint="cs" w:ascii="Arial" w:hAnsi="Arial"/>
          <w:noProof w:val="0"/>
          <w:sz w:val="28"/>
          <w:szCs w:val="28"/>
          <w:rtl/>
        </w:rPr>
        <w:t>ריים לקיום פיקוח על שעות העבודה, כגון מכשירי לווין ואיתוראן, הטלת חובת דיווח ורישום שעות עבודה ותקשורת טלפונית.</w:t>
      </w:r>
      <w:r w:rsidR="0052001D">
        <w:rPr>
          <w:rFonts w:hint="cs" w:ascii="Arial" w:hAnsi="Arial"/>
          <w:noProof w:val="0"/>
          <w:sz w:val="28"/>
          <w:szCs w:val="28"/>
          <w:rtl/>
        </w:rPr>
        <w:t xml:space="preserve"> הנתבעת אף מודה בכך בסיכומיה אלא שלטענתה הבלתי מוכחת קיום הפיקוח כרוך בעלויות גב</w:t>
      </w:r>
      <w:r w:rsidR="004B4412">
        <w:rPr>
          <w:rFonts w:hint="cs" w:ascii="Arial" w:hAnsi="Arial"/>
          <w:noProof w:val="0"/>
          <w:sz w:val="28"/>
          <w:szCs w:val="28"/>
          <w:rtl/>
        </w:rPr>
        <w:t>והות כך שקיום הפיקוח אינו כלכלי, טענה שממילא אין בה כדי לשלול את יכולת הפיקוח.</w:t>
      </w:r>
    </w:p>
    <w:p w:rsidR="00A27EC3" w:rsidP="005820D8" w:rsidRDefault="00A27EC3">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טענת הנתבעת בעניין זה אף אינה מתיישבת עם העובדה שהיא כללה רכיבים של גמול עבודה בשעות נוספות בתלושי השכר של התובע.</w:t>
      </w:r>
    </w:p>
    <w:p w:rsidR="00731C85" w:rsidP="00731C85" w:rsidRDefault="00731C85">
      <w:pPr>
        <w:spacing w:line="360" w:lineRule="auto"/>
        <w:ind w:left="360"/>
        <w:jc w:val="both"/>
        <w:rPr>
          <w:rFonts w:ascii="Arial" w:hAnsi="Arial"/>
          <w:noProof w:val="0"/>
          <w:sz w:val="28"/>
          <w:szCs w:val="28"/>
          <w:rtl/>
        </w:rPr>
      </w:pPr>
    </w:p>
    <w:p w:rsidRPr="00731C85" w:rsidR="0052001D" w:rsidP="00731C85" w:rsidRDefault="00731C85">
      <w:pPr>
        <w:spacing w:line="360" w:lineRule="auto"/>
        <w:ind w:left="360"/>
        <w:jc w:val="both"/>
        <w:rPr>
          <w:rFonts w:ascii="Arial" w:hAnsi="Arial"/>
          <w:b/>
          <w:bCs/>
          <w:noProof w:val="0"/>
          <w:sz w:val="28"/>
          <w:szCs w:val="28"/>
          <w:u w:val="single"/>
        </w:rPr>
      </w:pPr>
      <w:r w:rsidRPr="00731C85">
        <w:rPr>
          <w:rFonts w:hint="cs" w:ascii="Arial" w:hAnsi="Arial"/>
          <w:b/>
          <w:bCs/>
          <w:noProof w:val="0"/>
          <w:sz w:val="28"/>
          <w:szCs w:val="28"/>
          <w:u w:val="single"/>
          <w:rtl/>
        </w:rPr>
        <w:t>הכרעה בתביעה לגמול עבודה בשעות נוספות</w:t>
      </w:r>
    </w:p>
    <w:p w:rsidR="005820D8" w:rsidP="004B4412" w:rsidRDefault="005820D8">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התובע פירט בנספח ה' לכתב התביעה את התחשיב של תביעתו באמצעות טבלה אשר מפרט</w:t>
      </w:r>
      <w:r w:rsidR="004B4412">
        <w:rPr>
          <w:rFonts w:hint="cs" w:ascii="Arial" w:hAnsi="Arial"/>
          <w:noProof w:val="0"/>
          <w:sz w:val="28"/>
          <w:szCs w:val="28"/>
          <w:rtl/>
        </w:rPr>
        <w:t>ת</w:t>
      </w:r>
      <w:r>
        <w:rPr>
          <w:rFonts w:hint="cs" w:ascii="Arial" w:hAnsi="Arial"/>
          <w:noProof w:val="0"/>
          <w:sz w:val="28"/>
          <w:szCs w:val="28"/>
          <w:rtl/>
        </w:rPr>
        <w:t xml:space="preserve"> את ההפרשים </w:t>
      </w:r>
      <w:r w:rsidR="004B4412">
        <w:rPr>
          <w:rFonts w:hint="cs" w:ascii="Arial" w:hAnsi="Arial"/>
          <w:noProof w:val="0"/>
          <w:sz w:val="28"/>
          <w:szCs w:val="28"/>
          <w:rtl/>
        </w:rPr>
        <w:t>ה</w:t>
      </w:r>
      <w:r>
        <w:rPr>
          <w:rFonts w:hint="cs" w:ascii="Arial" w:hAnsi="Arial"/>
          <w:noProof w:val="0"/>
          <w:sz w:val="28"/>
          <w:szCs w:val="28"/>
          <w:rtl/>
        </w:rPr>
        <w:t xml:space="preserve">נתבעים בגין כל אחד מחודשי עבודתו של התובע. החישוב מבוסס על </w:t>
      </w:r>
      <w:r w:rsidR="0086579A">
        <w:rPr>
          <w:rFonts w:hint="cs" w:ascii="Arial" w:hAnsi="Arial"/>
          <w:noProof w:val="0"/>
          <w:sz w:val="28"/>
          <w:szCs w:val="28"/>
          <w:rtl/>
        </w:rPr>
        <w:t xml:space="preserve">נקיבה במספרי שעות בערך של 125%, 15% ו-200%, וחישוב הסכומים המגיעים בעדם. לסכומים אלה הוסיף התובע את המשכורת </w:t>
      </w:r>
      <w:r w:rsidR="004B4412">
        <w:rPr>
          <w:rFonts w:hint="cs" w:ascii="Arial" w:hAnsi="Arial"/>
          <w:noProof w:val="0"/>
          <w:sz w:val="28"/>
          <w:szCs w:val="28"/>
          <w:rtl/>
        </w:rPr>
        <w:t>החודשית</w:t>
      </w:r>
      <w:r w:rsidR="0086579A">
        <w:rPr>
          <w:rFonts w:hint="cs" w:ascii="Arial" w:hAnsi="Arial"/>
          <w:noProof w:val="0"/>
          <w:sz w:val="28"/>
          <w:szCs w:val="28"/>
          <w:rtl/>
        </w:rPr>
        <w:t xml:space="preserve"> לפי תלושי השכר והפחית את הסכום ששולם לו בפועל על פי תלושי </w:t>
      </w:r>
      <w:r w:rsidR="0086579A">
        <w:rPr>
          <w:rFonts w:hint="cs" w:ascii="Arial" w:hAnsi="Arial"/>
          <w:noProof w:val="0"/>
          <w:sz w:val="28"/>
          <w:szCs w:val="28"/>
          <w:rtl/>
        </w:rPr>
        <w:lastRenderedPageBreak/>
        <w:t>השכר.</w:t>
      </w:r>
      <w:r w:rsidR="0052001D">
        <w:rPr>
          <w:rFonts w:hint="cs" w:ascii="Arial" w:hAnsi="Arial"/>
          <w:noProof w:val="0"/>
          <w:sz w:val="28"/>
          <w:szCs w:val="28"/>
          <w:rtl/>
        </w:rPr>
        <w:t xml:space="preserve"> התובע מבסס את מספרי השעות שהציב בטבלה על הדיווחים שהגיש לנתבעת מדי חודש, תוך התעלמות משעות שהנתבעת לא אישרה.</w:t>
      </w:r>
    </w:p>
    <w:p w:rsidR="0086579A" w:rsidP="000459BF" w:rsidRDefault="00A27EC3">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הנתבעת טוענת כי אין לקבל את תחשיב התובע מאחר שהוא מבוסס על ההנחה השגויה שכל השעות בין שעת יציאת התובע מביתו עם רכב ההסעות עד לשובו לביתו הן שעות עבודה. לטענת הנתבעת, שעות נסיעת התובע לעבודה וממנה אינן שעות עבודה, ואף השעות ההפסקה הרבות בין ההסעות</w:t>
      </w:r>
      <w:r w:rsidR="000459BF">
        <w:rPr>
          <w:rFonts w:hint="cs" w:ascii="Arial" w:hAnsi="Arial"/>
          <w:noProof w:val="0"/>
          <w:sz w:val="28"/>
          <w:szCs w:val="28"/>
          <w:rtl/>
        </w:rPr>
        <w:t>, שבהן היה התובע רשאי לצאת ממחנה עופר</w:t>
      </w:r>
      <w:r>
        <w:rPr>
          <w:rFonts w:hint="cs" w:ascii="Arial" w:hAnsi="Arial"/>
          <w:noProof w:val="0"/>
          <w:sz w:val="28"/>
          <w:szCs w:val="28"/>
          <w:rtl/>
        </w:rPr>
        <w:t xml:space="preserve"> </w:t>
      </w:r>
      <w:r>
        <w:rPr>
          <w:rFonts w:ascii="Arial" w:hAnsi="Arial"/>
          <w:noProof w:val="0"/>
          <w:sz w:val="28"/>
          <w:szCs w:val="28"/>
          <w:rtl/>
        </w:rPr>
        <w:t>–</w:t>
      </w:r>
      <w:r>
        <w:rPr>
          <w:rFonts w:hint="cs" w:ascii="Arial" w:hAnsi="Arial"/>
          <w:noProof w:val="0"/>
          <w:sz w:val="28"/>
          <w:szCs w:val="28"/>
          <w:rtl/>
        </w:rPr>
        <w:t xml:space="preserve"> אינן שעות עבודה.</w:t>
      </w:r>
    </w:p>
    <w:p w:rsidR="00820B05" w:rsidP="00820B05" w:rsidRDefault="00820B05">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הכרעה בתביעה מצריכה קביעת ממצאים באשר לשעות העבודה של התובע, לרבות השאלה אם הזמן בין ההסעות נמנה עם שעות העבודה.</w:t>
      </w:r>
    </w:p>
    <w:p w:rsidR="0033611C" w:rsidP="001E4E0E" w:rsidRDefault="00D66A73">
      <w:pPr>
        <w:pStyle w:val="ad"/>
        <w:numPr>
          <w:ilvl w:val="0"/>
          <w:numId w:val="1"/>
        </w:numPr>
        <w:spacing w:line="360" w:lineRule="auto"/>
        <w:jc w:val="both"/>
        <w:rPr>
          <w:rFonts w:ascii="Arial" w:hAnsi="Arial"/>
          <w:noProof w:val="0"/>
          <w:sz w:val="28"/>
          <w:szCs w:val="28"/>
        </w:rPr>
      </w:pPr>
      <w:r w:rsidRPr="0033611C">
        <w:rPr>
          <w:rFonts w:hint="cs" w:ascii="Arial" w:hAnsi="Arial"/>
          <w:noProof w:val="0"/>
          <w:sz w:val="28"/>
          <w:szCs w:val="28"/>
          <w:rtl/>
        </w:rPr>
        <w:t xml:space="preserve">התובע העיד כי החל את יום עבודתו בשעה 04:00. בחודשיים וחצי הראשונים לעבודתו הוא עבד בשעות שונות, בחלק מהימים עבד בשעות נוספות ובחלק לא. הוא </w:t>
      </w:r>
      <w:r w:rsidRPr="0033611C" w:rsidR="00C83DC4">
        <w:rPr>
          <w:rFonts w:hint="cs" w:ascii="Arial" w:hAnsi="Arial"/>
          <w:noProof w:val="0"/>
          <w:sz w:val="28"/>
          <w:szCs w:val="28"/>
          <w:rtl/>
        </w:rPr>
        <w:t>דרש לקבוע לו ימי עבודה עם שעות קבועות ובעקבות זאת הוא הועבר, החל מ-22.11.12 לעבוד במחנה ענתות בשעות קבועות. העבודה הייתה בהסעת חיילים לחילופי משמרות במחסומים,</w:t>
      </w:r>
      <w:r w:rsidRPr="0033611C">
        <w:rPr>
          <w:rFonts w:hint="cs" w:ascii="Arial" w:hAnsi="Arial"/>
          <w:noProof w:val="0"/>
          <w:sz w:val="28"/>
          <w:szCs w:val="28"/>
          <w:rtl/>
        </w:rPr>
        <w:t xml:space="preserve"> כאשר השאטל הראשון היה ב-4:30, השני ב-5:30, השלישי ב-8:30, הרביעי ב-12:30 והאחרון ב-16:15. התובע אישר את עדותו של מר שטרית כי היו שני נהגים שהתחלקו ב"שאטלים", ובתצהירו טען שביצע ארבע הסעות ביום, השלישית בשעת צהריים והרביעית ב-16:15. </w:t>
      </w:r>
      <w:r w:rsidRPr="0033611C" w:rsidR="0033611C">
        <w:rPr>
          <w:rFonts w:hint="cs" w:ascii="Arial" w:hAnsi="Arial"/>
          <w:noProof w:val="0"/>
          <w:sz w:val="28"/>
          <w:szCs w:val="28"/>
          <w:rtl/>
        </w:rPr>
        <w:t>שעות עבודתו היו מ-04:00 עד 18:00 או 18:30</w:t>
      </w:r>
      <w:r w:rsidR="005F28F5">
        <w:rPr>
          <w:rFonts w:hint="cs" w:ascii="Arial" w:hAnsi="Arial"/>
          <w:noProof w:val="0"/>
          <w:sz w:val="28"/>
          <w:szCs w:val="28"/>
          <w:rtl/>
        </w:rPr>
        <w:t>, והייתה לו הפסקה של כשעה בלבד בין סיום הנסיעה של הצהריים לבין הנסיעה של אחר הצהריים</w:t>
      </w:r>
      <w:r w:rsidR="00E57964">
        <w:rPr>
          <w:rFonts w:hint="cs" w:ascii="Arial" w:hAnsi="Arial"/>
          <w:noProof w:val="0"/>
          <w:sz w:val="28"/>
          <w:szCs w:val="28"/>
          <w:rtl/>
        </w:rPr>
        <w:t>, שבה היה צריך להיות בכוננות בחדר נהגים בבסיס</w:t>
      </w:r>
      <w:r w:rsidRPr="0033611C" w:rsidR="0033611C">
        <w:rPr>
          <w:rFonts w:hint="cs" w:ascii="Arial" w:hAnsi="Arial"/>
          <w:noProof w:val="0"/>
          <w:sz w:val="28"/>
          <w:szCs w:val="28"/>
          <w:rtl/>
        </w:rPr>
        <w:t xml:space="preserve">. הוא לא היה רשאי לצאת מן הבסיס ללא אישורו של הקצין שהיה אחראי על הנהגים, ובין ההסעות הקבועות הנתבעת הייתה מטילה עליו נסיעות נוספות. </w:t>
      </w:r>
    </w:p>
    <w:p w:rsidRPr="0033611C" w:rsidR="00A27EC3" w:rsidP="003E118F" w:rsidRDefault="00A27EC3">
      <w:pPr>
        <w:pStyle w:val="ad"/>
        <w:numPr>
          <w:ilvl w:val="0"/>
          <w:numId w:val="1"/>
        </w:numPr>
        <w:spacing w:line="360" w:lineRule="auto"/>
        <w:jc w:val="both"/>
        <w:rPr>
          <w:rFonts w:ascii="Arial" w:hAnsi="Arial"/>
          <w:noProof w:val="0"/>
          <w:sz w:val="28"/>
          <w:szCs w:val="28"/>
        </w:rPr>
      </w:pPr>
      <w:r w:rsidRPr="0033611C">
        <w:rPr>
          <w:rFonts w:hint="cs" w:ascii="Arial" w:hAnsi="Arial"/>
          <w:noProof w:val="0"/>
          <w:sz w:val="28"/>
          <w:szCs w:val="28"/>
          <w:rtl/>
        </w:rPr>
        <w:t>מ</w:t>
      </w:r>
      <w:r w:rsidRPr="0033611C" w:rsidR="00754E95">
        <w:rPr>
          <w:rFonts w:hint="cs" w:ascii="Arial" w:hAnsi="Arial"/>
          <w:noProof w:val="0"/>
          <w:sz w:val="28"/>
          <w:szCs w:val="28"/>
          <w:rtl/>
        </w:rPr>
        <w:t xml:space="preserve">ר שטרית בתצהירו </w:t>
      </w:r>
      <w:r w:rsidRPr="0033611C" w:rsidR="0033611C">
        <w:rPr>
          <w:rFonts w:hint="cs" w:ascii="Arial" w:hAnsi="Arial"/>
          <w:noProof w:val="0"/>
          <w:sz w:val="28"/>
          <w:szCs w:val="28"/>
          <w:rtl/>
        </w:rPr>
        <w:t xml:space="preserve">העיד </w:t>
      </w:r>
      <w:r w:rsidRPr="0033611C" w:rsidR="00754E95">
        <w:rPr>
          <w:rFonts w:hint="cs" w:ascii="Arial" w:hAnsi="Arial"/>
          <w:noProof w:val="0"/>
          <w:sz w:val="28"/>
          <w:szCs w:val="28"/>
          <w:rtl/>
        </w:rPr>
        <w:t>כי ההסעות</w:t>
      </w:r>
      <w:r w:rsidRPr="0033611C" w:rsidR="006D7C05">
        <w:rPr>
          <w:rFonts w:hint="cs" w:ascii="Arial" w:hAnsi="Arial"/>
          <w:noProof w:val="0"/>
          <w:sz w:val="28"/>
          <w:szCs w:val="28"/>
          <w:rtl/>
        </w:rPr>
        <w:t xml:space="preserve"> יצאו</w:t>
      </w:r>
      <w:r w:rsidRPr="0033611C" w:rsidR="00754E95">
        <w:rPr>
          <w:rFonts w:hint="cs" w:ascii="Arial" w:hAnsi="Arial"/>
          <w:noProof w:val="0"/>
          <w:sz w:val="28"/>
          <w:szCs w:val="28"/>
          <w:rtl/>
        </w:rPr>
        <w:t xml:space="preserve"> ב-</w:t>
      </w:r>
      <w:r w:rsidRPr="0033611C" w:rsidR="0033611C">
        <w:rPr>
          <w:rFonts w:hint="cs" w:ascii="Arial" w:hAnsi="Arial"/>
          <w:noProof w:val="0"/>
          <w:sz w:val="28"/>
          <w:szCs w:val="28"/>
          <w:rtl/>
        </w:rPr>
        <w:t>4:30, 5:30, 8:30, 12:30 ו-13:30</w:t>
      </w:r>
      <w:r w:rsidRPr="0033611C" w:rsidR="00FC55C1">
        <w:rPr>
          <w:rFonts w:hint="cs" w:ascii="Arial" w:hAnsi="Arial"/>
          <w:noProof w:val="0"/>
          <w:sz w:val="28"/>
          <w:szCs w:val="28"/>
          <w:rtl/>
        </w:rPr>
        <w:t>.</w:t>
      </w:r>
      <w:r w:rsidRPr="0033611C" w:rsidR="00754E95">
        <w:rPr>
          <w:rFonts w:hint="cs" w:ascii="Arial" w:hAnsi="Arial"/>
          <w:noProof w:val="0"/>
          <w:sz w:val="28"/>
          <w:szCs w:val="28"/>
          <w:rtl/>
        </w:rPr>
        <w:t xml:space="preserve"> </w:t>
      </w:r>
      <w:r w:rsidRPr="0033611C" w:rsidR="00820B05">
        <w:rPr>
          <w:rFonts w:hint="cs" w:ascii="Arial" w:hAnsi="Arial"/>
          <w:noProof w:val="0"/>
          <w:sz w:val="28"/>
          <w:szCs w:val="28"/>
          <w:rtl/>
        </w:rPr>
        <w:t xml:space="preserve">מר שטרית טען שפעם בשבוע לערך התבקש התובע לבצע נסיעות נוספות עבור הנתבעת, מעבר להסעת החיילים. </w:t>
      </w:r>
      <w:r w:rsidRPr="0033611C" w:rsidR="006D7C05">
        <w:rPr>
          <w:rFonts w:hint="cs" w:ascii="Arial" w:hAnsi="Arial"/>
          <w:noProof w:val="0"/>
          <w:sz w:val="28"/>
          <w:szCs w:val="28"/>
          <w:rtl/>
        </w:rPr>
        <w:t xml:space="preserve">כן העיד מר שטרית כי </w:t>
      </w:r>
      <w:r w:rsidR="003E118F">
        <w:rPr>
          <w:rFonts w:hint="cs" w:ascii="Arial" w:hAnsi="Arial"/>
          <w:noProof w:val="0"/>
          <w:sz w:val="28"/>
          <w:szCs w:val="28"/>
          <w:rtl/>
        </w:rPr>
        <w:t xml:space="preserve">התובע היה </w:t>
      </w:r>
      <w:r w:rsidRPr="0033611C" w:rsidR="00754E95">
        <w:rPr>
          <w:rFonts w:hint="cs" w:ascii="Arial" w:hAnsi="Arial"/>
          <w:noProof w:val="0"/>
          <w:sz w:val="28"/>
          <w:szCs w:val="28"/>
          <w:rtl/>
        </w:rPr>
        <w:t xml:space="preserve">רשאי לצאת מהבסיס אם כי הייתה תקופה שהקצין בבסיס מחנה עופר שהיה אחראי על הפעלת ההסעות ביקש ממנו לא לצאת אם אינו מסוגל לחזור בזמן, וזאת בשל האיחורים הרבים של התובע ובשל כך שהתובע נהג לסנן שיחות טלפון. </w:t>
      </w:r>
      <w:r w:rsidR="005F28F5">
        <w:rPr>
          <w:rFonts w:hint="cs" w:ascii="Arial" w:hAnsi="Arial"/>
          <w:noProof w:val="0"/>
          <w:sz w:val="28"/>
          <w:szCs w:val="28"/>
          <w:rtl/>
        </w:rPr>
        <w:t>מר שטרית אישר בחקירתו הנגדית</w:t>
      </w:r>
      <w:r w:rsidR="008F435B">
        <w:rPr>
          <w:rFonts w:hint="cs" w:ascii="Arial" w:hAnsi="Arial"/>
          <w:noProof w:val="0"/>
          <w:sz w:val="28"/>
          <w:szCs w:val="28"/>
          <w:rtl/>
        </w:rPr>
        <w:t xml:space="preserve"> שהנתבעת לא אישרה את דיווחי השעות של התובע וטען שהתובע "לא היה אמיתי" בדיווחיו. לדבריו, הנתבעת בחנה את </w:t>
      </w:r>
      <w:r w:rsidR="008F435B">
        <w:rPr>
          <w:rFonts w:hint="cs" w:ascii="Arial" w:hAnsi="Arial"/>
          <w:noProof w:val="0"/>
          <w:sz w:val="28"/>
          <w:szCs w:val="28"/>
          <w:rtl/>
        </w:rPr>
        <w:lastRenderedPageBreak/>
        <w:t>אמיתות הדיווחים על ידי השוואתם לנתוני הלווין של רכב התובע, ובכל חודש התובע הוחתם על דו"ח שעות מתוקן ומאושר שעל פיו שולמה משכורתו, אך הנתבעת לא המציאה דוחו"ת אלה.</w:t>
      </w:r>
    </w:p>
    <w:p w:rsidR="001D77FB" w:rsidP="001D77FB" w:rsidRDefault="001D77FB">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המחלוקות הטעונות הכרעה, איפוא, הן:</w:t>
      </w:r>
    </w:p>
    <w:p w:rsidR="001D77FB" w:rsidP="00AB69F9" w:rsidRDefault="001D77FB">
      <w:pPr>
        <w:pStyle w:val="ad"/>
        <w:numPr>
          <w:ilvl w:val="1"/>
          <w:numId w:val="1"/>
        </w:numPr>
        <w:spacing w:line="360" w:lineRule="auto"/>
        <w:jc w:val="both"/>
        <w:rPr>
          <w:rFonts w:ascii="Arial" w:hAnsi="Arial"/>
          <w:noProof w:val="0"/>
          <w:sz w:val="28"/>
          <w:szCs w:val="28"/>
        </w:rPr>
      </w:pPr>
      <w:r>
        <w:rPr>
          <w:rFonts w:hint="cs" w:ascii="Arial" w:hAnsi="Arial"/>
          <w:noProof w:val="0"/>
          <w:sz w:val="28"/>
          <w:szCs w:val="28"/>
          <w:rtl/>
        </w:rPr>
        <w:t xml:space="preserve">מה </w:t>
      </w:r>
      <w:r w:rsidR="00AB69F9">
        <w:rPr>
          <w:rFonts w:hint="cs" w:ascii="Arial" w:hAnsi="Arial"/>
          <w:noProof w:val="0"/>
          <w:sz w:val="28"/>
          <w:szCs w:val="28"/>
          <w:rtl/>
        </w:rPr>
        <w:t>היו שעות עבודתו של התובע?</w:t>
      </w:r>
      <w:r w:rsidR="00AB69F9">
        <w:rPr>
          <w:rFonts w:hint="cs" w:ascii="Arial" w:hAnsi="Arial"/>
          <w:noProof w:val="0"/>
          <w:sz w:val="28"/>
          <w:szCs w:val="28"/>
        </w:rPr>
        <w:t xml:space="preserve"> </w:t>
      </w:r>
      <w:r w:rsidR="00AB69F9">
        <w:rPr>
          <w:rFonts w:hint="cs" w:ascii="Arial" w:hAnsi="Arial"/>
          <w:noProof w:val="0"/>
          <w:sz w:val="28"/>
          <w:szCs w:val="28"/>
          <w:rtl/>
        </w:rPr>
        <w:t xml:space="preserve">כאמור, אין חולק על כך שה"שאטל" הראשון היה ב-04:30, אך </w:t>
      </w:r>
      <w:r>
        <w:rPr>
          <w:rFonts w:hint="cs" w:ascii="Arial" w:hAnsi="Arial"/>
          <w:noProof w:val="0"/>
          <w:sz w:val="28"/>
          <w:szCs w:val="28"/>
          <w:rtl/>
        </w:rPr>
        <w:t xml:space="preserve">מה הייתה שעת ה"שאטל" האחרון </w:t>
      </w:r>
      <w:r>
        <w:rPr>
          <w:rFonts w:ascii="Arial" w:hAnsi="Arial"/>
          <w:noProof w:val="0"/>
          <w:sz w:val="28"/>
          <w:szCs w:val="28"/>
          <w:rtl/>
        </w:rPr>
        <w:t>–</w:t>
      </w:r>
      <w:r>
        <w:rPr>
          <w:rFonts w:hint="cs" w:ascii="Arial" w:hAnsi="Arial"/>
          <w:noProof w:val="0"/>
          <w:sz w:val="28"/>
          <w:szCs w:val="28"/>
          <w:rtl/>
        </w:rPr>
        <w:t xml:space="preserve"> האם 13:30 כטענת הנתבעת או 16:30 כטענת התובע?</w:t>
      </w:r>
    </w:p>
    <w:p w:rsidR="005F28F5" w:rsidP="00281742" w:rsidRDefault="001D77FB">
      <w:pPr>
        <w:pStyle w:val="ad"/>
        <w:numPr>
          <w:ilvl w:val="1"/>
          <w:numId w:val="1"/>
        </w:numPr>
        <w:spacing w:line="360" w:lineRule="auto"/>
        <w:jc w:val="both"/>
        <w:rPr>
          <w:rFonts w:ascii="Arial" w:hAnsi="Arial"/>
          <w:noProof w:val="0"/>
          <w:sz w:val="28"/>
          <w:szCs w:val="28"/>
        </w:rPr>
      </w:pPr>
      <w:r w:rsidRPr="005F28F5">
        <w:rPr>
          <w:rFonts w:hint="cs" w:ascii="Arial" w:hAnsi="Arial"/>
          <w:noProof w:val="0"/>
          <w:sz w:val="28"/>
          <w:szCs w:val="28"/>
          <w:rtl/>
        </w:rPr>
        <w:t>כמו כן, עולה מחלוקת בדבר תדירותן של ה"משימות הנוספות"</w:t>
      </w:r>
      <w:r w:rsidR="005F28F5">
        <w:rPr>
          <w:rFonts w:hint="cs" w:ascii="Arial" w:hAnsi="Arial"/>
          <w:noProof w:val="0"/>
          <w:sz w:val="28"/>
          <w:szCs w:val="28"/>
          <w:rtl/>
        </w:rPr>
        <w:t>.</w:t>
      </w:r>
    </w:p>
    <w:p w:rsidRPr="005F28F5" w:rsidR="001D77FB" w:rsidP="00281742" w:rsidRDefault="001D77FB">
      <w:pPr>
        <w:pStyle w:val="ad"/>
        <w:numPr>
          <w:ilvl w:val="1"/>
          <w:numId w:val="1"/>
        </w:numPr>
        <w:spacing w:line="360" w:lineRule="auto"/>
        <w:jc w:val="both"/>
        <w:rPr>
          <w:rFonts w:ascii="Arial" w:hAnsi="Arial"/>
          <w:noProof w:val="0"/>
          <w:sz w:val="28"/>
          <w:szCs w:val="28"/>
        </w:rPr>
      </w:pPr>
      <w:r w:rsidRPr="005F28F5">
        <w:rPr>
          <w:rFonts w:hint="cs" w:ascii="Arial" w:hAnsi="Arial"/>
          <w:noProof w:val="0"/>
          <w:sz w:val="28"/>
          <w:szCs w:val="28"/>
          <w:rtl/>
        </w:rPr>
        <w:t xml:space="preserve">האם יש לסווג את השעות בין סיום הסעה אחת לתחילת ההסעה הבאה </w:t>
      </w:r>
      <w:r w:rsidRPr="005F28F5">
        <w:rPr>
          <w:rFonts w:ascii="Arial" w:hAnsi="Arial"/>
          <w:noProof w:val="0"/>
          <w:sz w:val="28"/>
          <w:szCs w:val="28"/>
          <w:rtl/>
        </w:rPr>
        <w:t>–</w:t>
      </w:r>
      <w:r w:rsidRPr="005F28F5" w:rsidR="0033611C">
        <w:rPr>
          <w:rFonts w:hint="cs" w:ascii="Arial" w:hAnsi="Arial"/>
          <w:noProof w:val="0"/>
          <w:sz w:val="28"/>
          <w:szCs w:val="28"/>
          <w:rtl/>
        </w:rPr>
        <w:t xml:space="preserve"> כשעות עבודה, אם לאו. לעניין זה </w:t>
      </w:r>
      <w:r w:rsidRPr="005F28F5" w:rsidR="0033611C">
        <w:rPr>
          <w:rFonts w:ascii="Arial" w:hAnsi="Arial"/>
          <w:noProof w:val="0"/>
          <w:sz w:val="28"/>
          <w:szCs w:val="28"/>
          <w:rtl/>
        </w:rPr>
        <w:t>–</w:t>
      </w:r>
      <w:r w:rsidRPr="005F28F5" w:rsidR="0033611C">
        <w:rPr>
          <w:rFonts w:hint="cs" w:ascii="Arial" w:hAnsi="Arial"/>
          <w:noProof w:val="0"/>
          <w:sz w:val="28"/>
          <w:szCs w:val="28"/>
          <w:rtl/>
        </w:rPr>
        <w:t xml:space="preserve"> האם נכונה גרסת התובע שהוא לא היה רשאי לצאת מהבסיס ללא אישור הקצין האחראי על הנהגים?</w:t>
      </w:r>
    </w:p>
    <w:p w:rsidR="008F435B" w:rsidP="005F28F5" w:rsidRDefault="008F435B">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בהכרעה במחלוקות אלה, נקודת המוצא הינה כקבוע בסעיף 26ב(ב) לחוק הגנת השכר, לפיה בהיעדר רישומי שעות עבודה של התובע, על הנתבעת להוכיח שהתובע לא עמד לרשות העבודה בשעות להן טען, וזאת עד ל-60 שעות נוספות חודשיות.</w:t>
      </w:r>
      <w:r w:rsidR="003E118F">
        <w:rPr>
          <w:rFonts w:hint="cs" w:ascii="Arial" w:hAnsi="Arial"/>
          <w:noProof w:val="0"/>
          <w:sz w:val="28"/>
          <w:szCs w:val="28"/>
          <w:rtl/>
        </w:rPr>
        <w:t xml:space="preserve"> עם זאת, כעולה מנספח ה' לתצהירו, התובע טוען לעבודה בשעות נוספות בהיקף גבוה יותר, ובכל הנוגע להיקף העולה על 60 שעות נוספות חודשיות, הנטל להוכחת גרסת התובע רובץ עליו.</w:t>
      </w:r>
    </w:p>
    <w:p w:rsidRPr="00CC50D1" w:rsidR="001D77FB" w:rsidP="00CC50D1" w:rsidRDefault="002A127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בית הדין  סבור שבכל הנוגע </w:t>
      </w:r>
      <w:r w:rsidR="003E118F">
        <w:rPr>
          <w:rFonts w:hint="cs" w:ascii="Arial" w:hAnsi="Arial"/>
          <w:noProof w:val="0"/>
          <w:sz w:val="28"/>
          <w:szCs w:val="28"/>
          <w:rtl/>
        </w:rPr>
        <w:t>למחלוקת בעניין שעת השאטל האחרון</w:t>
      </w:r>
      <w:r w:rsidR="001D77FB">
        <w:rPr>
          <w:rFonts w:hint="cs" w:ascii="Arial" w:hAnsi="Arial"/>
          <w:noProof w:val="0"/>
          <w:sz w:val="28"/>
          <w:szCs w:val="28"/>
          <w:rtl/>
        </w:rPr>
        <w:t xml:space="preserve"> </w:t>
      </w:r>
      <w:r w:rsidR="00B32150">
        <w:rPr>
          <w:rFonts w:ascii="Arial" w:hAnsi="Arial"/>
          <w:noProof w:val="0"/>
          <w:sz w:val="28"/>
          <w:szCs w:val="28"/>
          <w:rtl/>
        </w:rPr>
        <w:t>–</w:t>
      </w:r>
      <w:r w:rsidR="00B32150">
        <w:rPr>
          <w:rFonts w:hint="cs" w:ascii="Arial" w:hAnsi="Arial"/>
          <w:noProof w:val="0"/>
          <w:sz w:val="28"/>
          <w:szCs w:val="28"/>
          <w:rtl/>
        </w:rPr>
        <w:t xml:space="preserve"> </w:t>
      </w:r>
      <w:r w:rsidR="00825D9B">
        <w:rPr>
          <w:rFonts w:hint="cs" w:ascii="Arial" w:hAnsi="Arial"/>
          <w:noProof w:val="0"/>
          <w:sz w:val="28"/>
          <w:szCs w:val="28"/>
          <w:rtl/>
        </w:rPr>
        <w:t>יש להעדיף את גרסת התובע</w:t>
      </w:r>
      <w:r w:rsidR="00B32150">
        <w:rPr>
          <w:rFonts w:hint="cs" w:ascii="Arial" w:hAnsi="Arial"/>
          <w:noProof w:val="0"/>
          <w:sz w:val="28"/>
          <w:szCs w:val="28"/>
          <w:rtl/>
        </w:rPr>
        <w:t xml:space="preserve">. מר שטרית עומת בחקירתו הנגדית עם </w:t>
      </w:r>
      <w:r w:rsidR="00825D9B">
        <w:rPr>
          <w:rFonts w:hint="cs" w:ascii="Arial" w:hAnsi="Arial"/>
          <w:noProof w:val="0"/>
          <w:sz w:val="28"/>
          <w:szCs w:val="28"/>
          <w:rtl/>
        </w:rPr>
        <w:t xml:space="preserve">גרסת התובע </w:t>
      </w:r>
      <w:r w:rsidR="008F435B">
        <w:rPr>
          <w:rFonts w:hint="cs" w:ascii="Arial" w:hAnsi="Arial"/>
          <w:noProof w:val="0"/>
          <w:sz w:val="28"/>
          <w:szCs w:val="28"/>
          <w:rtl/>
        </w:rPr>
        <w:t>לגבי שעת השאטל האחרון. הוא עמד על גרסתו ש</w:t>
      </w:r>
      <w:r w:rsidR="00CC50D1">
        <w:rPr>
          <w:rFonts w:hint="cs" w:ascii="Arial" w:hAnsi="Arial"/>
          <w:noProof w:val="0"/>
          <w:sz w:val="28"/>
          <w:szCs w:val="28"/>
          <w:rtl/>
        </w:rPr>
        <w:t xml:space="preserve">הסעה זו הייתה </w:t>
      </w:r>
      <w:r w:rsidR="00825D9B">
        <w:rPr>
          <w:rFonts w:hint="cs" w:ascii="Arial" w:hAnsi="Arial"/>
          <w:noProof w:val="0"/>
          <w:sz w:val="28"/>
          <w:szCs w:val="28"/>
          <w:rtl/>
        </w:rPr>
        <w:t>ב-13:30, אך כאשר התבקש להסביר איך הוא יודע ז</w:t>
      </w:r>
      <w:r w:rsidR="000D7F45">
        <w:rPr>
          <w:rFonts w:hint="cs" w:ascii="Arial" w:hAnsi="Arial"/>
          <w:noProof w:val="0"/>
          <w:sz w:val="28"/>
          <w:szCs w:val="28"/>
          <w:rtl/>
        </w:rPr>
        <w:t>את, לא נתן הסבר משכנע ואף</w:t>
      </w:r>
      <w:r w:rsidR="00825D9B">
        <w:rPr>
          <w:rFonts w:hint="cs" w:ascii="Arial" w:hAnsi="Arial"/>
          <w:noProof w:val="0"/>
          <w:sz w:val="28"/>
          <w:szCs w:val="28"/>
          <w:rtl/>
        </w:rPr>
        <w:t xml:space="preserve"> אישר שהיה על התובע להישאר עד השעה 16:00 אם נדרש לכך על ידי הצבא.</w:t>
      </w:r>
      <w:r w:rsidR="000D7F45">
        <w:rPr>
          <w:rFonts w:hint="cs" w:ascii="Arial" w:hAnsi="Arial"/>
          <w:noProof w:val="0"/>
          <w:sz w:val="28"/>
          <w:szCs w:val="28"/>
          <w:rtl/>
        </w:rPr>
        <w:t xml:space="preserve"> הוא גם אישר שהיה שאטל נוסף שיצא בשעות אחר הצהריים אך טען שהוא בוצע על ידי נהג אחר שהתחיל את יום עבודתו בחמש.</w:t>
      </w:r>
      <w:r w:rsidR="005F28F5">
        <w:rPr>
          <w:rFonts w:hint="cs" w:ascii="Arial" w:hAnsi="Arial"/>
          <w:noProof w:val="0"/>
          <w:sz w:val="28"/>
          <w:szCs w:val="28"/>
          <w:rtl/>
        </w:rPr>
        <w:t xml:space="preserve"> מכאן עולה מסקנה שהיו הסעות שהיה צורך לבצע בשעות שהתובע טוען להן. </w:t>
      </w:r>
      <w:r w:rsidRPr="00CC50D1" w:rsidR="001E62E5">
        <w:rPr>
          <w:rFonts w:hint="cs" w:ascii="Arial" w:hAnsi="Arial"/>
          <w:noProof w:val="0"/>
          <w:sz w:val="28"/>
          <w:szCs w:val="28"/>
          <w:rtl/>
        </w:rPr>
        <w:t>עיון בדיווחי השעות שהגיש התובע מעלה שבחלק מן הדיווחים, התובע פירט לא רק את מספר השעות בהן יום עבודתו עלה על 10 שעות, אלא גם את השעות עצמן. ריבוי הימים בהם נרשמו שעות אשר מאוחרות ל-16:15 תומך בגרסת התובע שבאופן רגיל היה</w:t>
      </w:r>
      <w:r w:rsidRPr="00CC50D1" w:rsidR="0001550A">
        <w:rPr>
          <w:rFonts w:hint="cs" w:ascii="Arial" w:hAnsi="Arial"/>
          <w:noProof w:val="0"/>
          <w:sz w:val="28"/>
          <w:szCs w:val="28"/>
          <w:rtl/>
        </w:rPr>
        <w:t xml:space="preserve"> צורך לבצע החלפת משמרות בשעה זו.</w:t>
      </w:r>
      <w:r w:rsidR="00CC50D1">
        <w:rPr>
          <w:rFonts w:hint="cs" w:ascii="Arial" w:hAnsi="Arial"/>
          <w:noProof w:val="0"/>
          <w:sz w:val="28"/>
          <w:szCs w:val="28"/>
          <w:rtl/>
        </w:rPr>
        <w:t xml:space="preserve"> בנסיבות בהן הנתבעת טוענת כי התובע הוחתם על דו"ח שעות מתוקן אך היא לא הציגה אותו או את הראיות שעל יסודן נערך.</w:t>
      </w:r>
    </w:p>
    <w:p w:rsidR="001E62E5" w:rsidP="00CC50D1" w:rsidRDefault="001E62E5">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lastRenderedPageBreak/>
        <w:t xml:space="preserve">באשר לתדירות ה"משימות הנוספות" שהוטלו על התובע </w:t>
      </w:r>
      <w:r>
        <w:rPr>
          <w:rFonts w:ascii="Arial" w:hAnsi="Arial"/>
          <w:noProof w:val="0"/>
          <w:sz w:val="28"/>
          <w:szCs w:val="28"/>
          <w:rtl/>
        </w:rPr>
        <w:t>–</w:t>
      </w:r>
      <w:r>
        <w:rPr>
          <w:rFonts w:hint="cs" w:ascii="Arial" w:hAnsi="Arial"/>
          <w:noProof w:val="0"/>
          <w:sz w:val="28"/>
          <w:szCs w:val="28"/>
          <w:rtl/>
        </w:rPr>
        <w:t xml:space="preserve"> </w:t>
      </w:r>
      <w:r w:rsidR="00CC50D1">
        <w:rPr>
          <w:rFonts w:hint="cs" w:ascii="Arial" w:hAnsi="Arial"/>
          <w:noProof w:val="0"/>
          <w:sz w:val="28"/>
          <w:szCs w:val="28"/>
          <w:rtl/>
        </w:rPr>
        <w:t xml:space="preserve">אמנם </w:t>
      </w:r>
      <w:r>
        <w:rPr>
          <w:rFonts w:hint="cs" w:ascii="Arial" w:hAnsi="Arial"/>
          <w:noProof w:val="0"/>
          <w:sz w:val="28"/>
          <w:szCs w:val="28"/>
          <w:rtl/>
        </w:rPr>
        <w:t>הנתבעת לא הוכיחה את טענתה כי היה מדובר בתדירות של פעם בשבוע בלב</w:t>
      </w:r>
      <w:r w:rsidR="00CC50D1">
        <w:rPr>
          <w:rFonts w:hint="cs" w:ascii="Arial" w:hAnsi="Arial"/>
          <w:noProof w:val="0"/>
          <w:sz w:val="28"/>
          <w:szCs w:val="28"/>
          <w:rtl/>
        </w:rPr>
        <w:t xml:space="preserve">ד, אך יש בתצהיר התובע עצמו וכן בעדותו בחקירתו הנגדית תמיכה למסקנה שלא היה מדובר בתדירות יומיומית שמנעה מהתובע לצאת להפסקות במהלך ימי העבודה. כך, התובע מסביר בתצהירו ש"במהלך החודשים הראשונים" של עבודתו במחנה </w:t>
      </w:r>
      <w:r w:rsidR="00E57964">
        <w:rPr>
          <w:rFonts w:hint="cs" w:ascii="Arial" w:hAnsi="Arial"/>
          <w:noProof w:val="0"/>
          <w:sz w:val="28"/>
          <w:szCs w:val="28"/>
          <w:rtl/>
        </w:rPr>
        <w:t>ענתות הוא התבקש לבצע נסיעות של איסוף תלמידי בתי ספר מחוץ לבסיס</w:t>
      </w:r>
      <w:r>
        <w:rPr>
          <w:rFonts w:hint="cs" w:ascii="Arial" w:hAnsi="Arial"/>
          <w:noProof w:val="0"/>
          <w:sz w:val="28"/>
          <w:szCs w:val="28"/>
          <w:rtl/>
        </w:rPr>
        <w:t>.</w:t>
      </w:r>
      <w:r w:rsidR="00E57964">
        <w:rPr>
          <w:rFonts w:hint="cs" w:ascii="Arial" w:hAnsi="Arial"/>
          <w:noProof w:val="0"/>
          <w:sz w:val="28"/>
          <w:szCs w:val="28"/>
          <w:rtl/>
        </w:rPr>
        <w:t xml:space="preserve"> כמו כן, התובע מתצהירו עולה שהתובע היה רשאי, מבחינת הנתבעת, לצאת לסידורים אישיים בין ההסעות, אך מי שהתנגד לכך היה הקצין האחראי על הנה</w:t>
      </w:r>
      <w:r w:rsidR="00BD0FAA">
        <w:rPr>
          <w:rFonts w:hint="cs" w:ascii="Arial" w:hAnsi="Arial"/>
          <w:noProof w:val="0"/>
          <w:sz w:val="28"/>
          <w:szCs w:val="28"/>
          <w:rtl/>
        </w:rPr>
        <w:t xml:space="preserve">גים בבסיס. התובע הודה במהלך חקירתו הנגדית שהיו ימים שבהם הוא היה בביתו בין ההסעות, אך לטענתו זה היה רק פעם או פעמיים בחודש. עדות זו תומכת בגרסת הנתבעת לפיה הייתה לתובע אפשרות לצאת מן הבסיס בין ההסעות. </w:t>
      </w:r>
    </w:p>
    <w:p w:rsidR="001E62E5" w:rsidP="00BD0FAA" w:rsidRDefault="001E62E5">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ובאשר לשאלה האם שעות "ההפסקות" בין משימות ההסעה הינן בגדר "שעות עבודה" </w:t>
      </w:r>
      <w:r>
        <w:rPr>
          <w:rFonts w:ascii="Arial" w:hAnsi="Arial"/>
          <w:noProof w:val="0"/>
          <w:sz w:val="28"/>
          <w:szCs w:val="28"/>
          <w:rtl/>
        </w:rPr>
        <w:t>–</w:t>
      </w:r>
      <w:r>
        <w:rPr>
          <w:rFonts w:hint="cs" w:ascii="Arial" w:hAnsi="Arial"/>
          <w:noProof w:val="0"/>
          <w:sz w:val="28"/>
          <w:szCs w:val="28"/>
          <w:rtl/>
        </w:rPr>
        <w:t xml:space="preserve"> בית הדין סבור </w:t>
      </w:r>
      <w:r w:rsidR="0052325F">
        <w:rPr>
          <w:rFonts w:hint="cs" w:ascii="Arial" w:hAnsi="Arial"/>
          <w:noProof w:val="0"/>
          <w:sz w:val="28"/>
          <w:szCs w:val="28"/>
          <w:rtl/>
        </w:rPr>
        <w:t xml:space="preserve">שיש להעדיף את עמדת </w:t>
      </w:r>
      <w:r w:rsidR="00BD0FAA">
        <w:rPr>
          <w:rFonts w:hint="cs" w:ascii="Arial" w:hAnsi="Arial"/>
          <w:noProof w:val="0"/>
          <w:sz w:val="28"/>
          <w:szCs w:val="28"/>
          <w:rtl/>
        </w:rPr>
        <w:t>הנתבעת</w:t>
      </w:r>
      <w:r w:rsidR="0052325F">
        <w:rPr>
          <w:rFonts w:hint="cs" w:ascii="Arial" w:hAnsi="Arial"/>
          <w:noProof w:val="0"/>
          <w:sz w:val="28"/>
          <w:szCs w:val="28"/>
          <w:rtl/>
        </w:rPr>
        <w:t>, מנימוקים אלה:</w:t>
      </w:r>
    </w:p>
    <w:p w:rsidR="0052325F" w:rsidP="003A5BCF" w:rsidRDefault="00AB69F9">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כידוע, "שעות עבודה" מוגדרות בחוק שעות עבודה ומנוחה כ"זמן שבו עומד העובד לרשות העבודה, לרבות הפסקות קצרות ומוסכמות הניתנות</w:t>
      </w:r>
      <w:r w:rsidR="003A5BCF">
        <w:rPr>
          <w:rFonts w:hint="cs" w:ascii="Arial" w:hAnsi="Arial"/>
          <w:noProof w:val="0"/>
          <w:sz w:val="28"/>
          <w:szCs w:val="28"/>
          <w:rtl/>
        </w:rPr>
        <w:t xml:space="preserve"> לעובד להחלפת כוח ואויר ולרבות הפסקות לפי סעיף 20א(א), חוץ מהפסקות על פי סעיף 20". סעיף 20(א) קובע חובה להפסיק את העבודה ביום עבודה שעולה על שש שעות, למנוחה ולסעודה, בשיעור של 3/4 שעה לפחות. עם זאת, סעיף 20(ג) מתנה את תוקפה של ההפסקה לפי סעיף 20(א) בכך שבעת הפסקה של חצי שעה או יותר העובד יהיה רשאי לצאת מן המקום שבו הוא עובד, וככל שהעובד נדרש על ידי המעביד להישאר במקום העבודה, ייחשב זמן ההפסקה כחלק משעות העבודה.</w:t>
      </w:r>
    </w:p>
    <w:p w:rsidR="002458C1" w:rsidP="007974E5" w:rsidRDefault="00BD0FAA">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התובע מתאר יום עבודה שמתחיל בשעה 04:00. הוא ביצע שני שאטלים מוקדם בבוקר </w:t>
      </w:r>
      <w:r>
        <w:rPr>
          <w:rFonts w:ascii="Arial" w:hAnsi="Arial"/>
          <w:noProof w:val="0"/>
          <w:sz w:val="28"/>
          <w:szCs w:val="28"/>
          <w:rtl/>
        </w:rPr>
        <w:t>–</w:t>
      </w:r>
      <w:r>
        <w:rPr>
          <w:rFonts w:hint="cs" w:ascii="Arial" w:hAnsi="Arial"/>
          <w:noProof w:val="0"/>
          <w:sz w:val="28"/>
          <w:szCs w:val="28"/>
          <w:rtl/>
        </w:rPr>
        <w:t xml:space="preserve"> בשעה 04:30 ובשעה 6:30. השאטל הבא שהתובע ביצע היה בשעת צהריים </w:t>
      </w:r>
      <w:r>
        <w:rPr>
          <w:rFonts w:ascii="Arial" w:hAnsi="Arial"/>
          <w:noProof w:val="0"/>
          <w:sz w:val="28"/>
          <w:szCs w:val="28"/>
          <w:rtl/>
        </w:rPr>
        <w:t>–</w:t>
      </w:r>
      <w:r>
        <w:rPr>
          <w:rFonts w:hint="cs" w:ascii="Arial" w:hAnsi="Arial"/>
          <w:noProof w:val="0"/>
          <w:sz w:val="28"/>
          <w:szCs w:val="28"/>
          <w:rtl/>
        </w:rPr>
        <w:t xml:space="preserve"> בשעה 12:30. הדעת נותנת שלא כל השעות בין</w:t>
      </w:r>
      <w:r w:rsidR="007974E5">
        <w:rPr>
          <w:rFonts w:hint="cs" w:ascii="Arial" w:hAnsi="Arial"/>
          <w:noProof w:val="0"/>
          <w:sz w:val="28"/>
          <w:szCs w:val="28"/>
          <w:rtl/>
        </w:rPr>
        <w:t xml:space="preserve"> סיום הסעה שיצאהבשעה</w:t>
      </w:r>
      <w:r>
        <w:rPr>
          <w:rFonts w:hint="cs" w:ascii="Arial" w:hAnsi="Arial"/>
          <w:noProof w:val="0"/>
          <w:sz w:val="28"/>
          <w:szCs w:val="28"/>
          <w:rtl/>
        </w:rPr>
        <w:t xml:space="preserve"> 06:30 עד</w:t>
      </w:r>
      <w:r w:rsidR="007974E5">
        <w:rPr>
          <w:rFonts w:hint="cs" w:ascii="Arial" w:hAnsi="Arial"/>
          <w:noProof w:val="0"/>
          <w:sz w:val="28"/>
          <w:szCs w:val="28"/>
          <w:rtl/>
        </w:rPr>
        <w:t xml:space="preserve"> לשעה</w:t>
      </w:r>
      <w:r>
        <w:rPr>
          <w:rFonts w:hint="cs" w:ascii="Arial" w:hAnsi="Arial"/>
          <w:noProof w:val="0"/>
          <w:sz w:val="28"/>
          <w:szCs w:val="28"/>
          <w:rtl/>
        </w:rPr>
        <w:t xml:space="preserve"> 12:30 היו שעות עבודה, ושבימים רבים התקיימו התנאים </w:t>
      </w:r>
      <w:r w:rsidR="007974E5">
        <w:rPr>
          <w:rFonts w:hint="cs" w:ascii="Arial" w:hAnsi="Arial"/>
          <w:noProof w:val="0"/>
          <w:sz w:val="28"/>
          <w:szCs w:val="28"/>
          <w:rtl/>
        </w:rPr>
        <w:t xml:space="preserve">שעל פי </w:t>
      </w:r>
      <w:r>
        <w:rPr>
          <w:rFonts w:hint="cs" w:ascii="Arial" w:hAnsi="Arial"/>
          <w:noProof w:val="0"/>
          <w:sz w:val="28"/>
          <w:szCs w:val="28"/>
          <w:rtl/>
        </w:rPr>
        <w:t>סעיף 20(ג) לחוק שע</w:t>
      </w:r>
      <w:r w:rsidR="007974E5">
        <w:rPr>
          <w:rFonts w:hint="cs" w:ascii="Arial" w:hAnsi="Arial"/>
          <w:noProof w:val="0"/>
          <w:sz w:val="28"/>
          <w:szCs w:val="28"/>
          <w:rtl/>
        </w:rPr>
        <w:t xml:space="preserve">ות עבודה ומנוחה, </w:t>
      </w:r>
      <w:r w:rsidR="002458C1">
        <w:rPr>
          <w:rFonts w:hint="cs" w:ascii="Arial" w:hAnsi="Arial"/>
          <w:noProof w:val="0"/>
          <w:sz w:val="28"/>
          <w:szCs w:val="28"/>
          <w:rtl/>
        </w:rPr>
        <w:t xml:space="preserve">אין למנות שעות הפסקה עם שעות עבודה. נכון הוא שבהיעדר רישום מדויק של הנתבעת של שעות העבודה וההפסקה של התובע, לא ניתן לקבוע באופן מדויק באיזו שעה סיים </w:t>
      </w:r>
      <w:r w:rsidR="002458C1">
        <w:rPr>
          <w:rFonts w:hint="cs" w:ascii="Arial" w:hAnsi="Arial"/>
          <w:noProof w:val="0"/>
          <w:sz w:val="28"/>
          <w:szCs w:val="28"/>
          <w:rtl/>
        </w:rPr>
        <w:lastRenderedPageBreak/>
        <w:t>התובע את ההסעה השניה ובאיזו שעה החל את העבודה לקראת ההסעה השלישית. אך מכלול העדויות והראיות, לרבות הודאה של התובע כי היו ימים בהם הגיע באמצע יום העבודה לביתו, מצביע על כך שככלל, בין ההסעה השניה לשלישית היו לתובע שעות הפסקה</w:t>
      </w:r>
      <w:r w:rsidR="007974E5">
        <w:rPr>
          <w:rFonts w:hint="cs" w:ascii="Arial" w:hAnsi="Arial"/>
          <w:noProof w:val="0"/>
          <w:sz w:val="28"/>
          <w:szCs w:val="28"/>
          <w:rtl/>
        </w:rPr>
        <w:t>. התבטאויות שונות של התובע בתצהירו בדבר יציאות ל"סידורים אישיים" אף הן תומכות במסקנה זו</w:t>
      </w:r>
      <w:r w:rsidR="002458C1">
        <w:rPr>
          <w:rFonts w:hint="cs" w:ascii="Arial" w:hAnsi="Arial"/>
          <w:noProof w:val="0"/>
          <w:sz w:val="28"/>
          <w:szCs w:val="28"/>
          <w:rtl/>
        </w:rPr>
        <w:t xml:space="preserve">. </w:t>
      </w:r>
    </w:p>
    <w:p w:rsidR="0001550A" w:rsidP="004B149B" w:rsidRDefault="00582378">
      <w:pPr>
        <w:pStyle w:val="ad"/>
        <w:numPr>
          <w:ilvl w:val="0"/>
          <w:numId w:val="1"/>
        </w:numPr>
        <w:spacing w:line="360" w:lineRule="auto"/>
        <w:jc w:val="both"/>
        <w:rPr>
          <w:rFonts w:ascii="Arial" w:hAnsi="Arial"/>
          <w:noProof w:val="0"/>
          <w:sz w:val="28"/>
          <w:szCs w:val="28"/>
        </w:rPr>
      </w:pPr>
      <w:r w:rsidRPr="00582378">
        <w:rPr>
          <w:rFonts w:hint="cs" w:ascii="Arial" w:hAnsi="Arial"/>
          <w:noProof w:val="0"/>
          <w:sz w:val="28"/>
          <w:szCs w:val="28"/>
          <w:rtl/>
        </w:rPr>
        <w:t>בהקשר זה יש לציין, ש</w:t>
      </w:r>
      <w:r w:rsidRPr="00582378" w:rsidR="0001550A">
        <w:rPr>
          <w:rFonts w:hint="cs" w:ascii="Arial" w:hAnsi="Arial"/>
          <w:noProof w:val="0"/>
          <w:sz w:val="28"/>
          <w:szCs w:val="28"/>
          <w:rtl/>
        </w:rPr>
        <w:t>על פי תנאי העבודה המוסכמים</w:t>
      </w:r>
      <w:r w:rsidRPr="00582378">
        <w:rPr>
          <w:rFonts w:hint="cs" w:ascii="Arial" w:hAnsi="Arial"/>
          <w:noProof w:val="0"/>
          <w:sz w:val="28"/>
          <w:szCs w:val="28"/>
          <w:rtl/>
        </w:rPr>
        <w:t xml:space="preserve"> בין הצדדים,</w:t>
      </w:r>
      <w:r w:rsidRPr="00582378" w:rsidR="0001550A">
        <w:rPr>
          <w:rFonts w:hint="cs" w:ascii="Arial" w:hAnsi="Arial"/>
          <w:noProof w:val="0"/>
          <w:sz w:val="28"/>
          <w:szCs w:val="28"/>
          <w:rtl/>
        </w:rPr>
        <w:t xml:space="preserve"> </w:t>
      </w:r>
      <w:r>
        <w:rPr>
          <w:rFonts w:hint="cs" w:ascii="Arial" w:hAnsi="Arial"/>
          <w:noProof w:val="0"/>
          <w:sz w:val="28"/>
          <w:szCs w:val="28"/>
          <w:rtl/>
        </w:rPr>
        <w:t>נקבע כי ככלל הפסקות בין ביצוע הסעות תיחשבנה כחלק משעות העבודה, למעט הפסקות העולות על שעה</w:t>
      </w:r>
      <w:r w:rsidRPr="00582378">
        <w:rPr>
          <w:rFonts w:hint="cs" w:ascii="Arial" w:hAnsi="Arial"/>
          <w:noProof w:val="0"/>
          <w:sz w:val="28"/>
          <w:szCs w:val="28"/>
          <w:rtl/>
        </w:rPr>
        <w:t>.</w:t>
      </w:r>
      <w:r w:rsidRPr="00582378" w:rsidR="0001550A">
        <w:rPr>
          <w:rFonts w:hint="cs" w:ascii="Arial" w:hAnsi="Arial"/>
          <w:noProof w:val="0"/>
          <w:sz w:val="28"/>
          <w:szCs w:val="28"/>
          <w:rtl/>
        </w:rPr>
        <w:t xml:space="preserve"> </w:t>
      </w:r>
      <w:r>
        <w:rPr>
          <w:rFonts w:hint="cs" w:ascii="Arial" w:hAnsi="Arial"/>
          <w:noProof w:val="0"/>
          <w:sz w:val="28"/>
          <w:szCs w:val="28"/>
          <w:rtl/>
        </w:rPr>
        <w:t>לעניין זה נקבע בהסכם העבודה:</w:t>
      </w:r>
    </w:p>
    <w:p w:rsidRPr="00E60476" w:rsidR="00582378" w:rsidP="00582378" w:rsidRDefault="00582378">
      <w:pPr>
        <w:pStyle w:val="ad"/>
        <w:spacing w:line="360" w:lineRule="auto"/>
        <w:ind w:left="1440" w:right="1077"/>
        <w:jc w:val="both"/>
        <w:rPr>
          <w:rFonts w:ascii="Arial" w:hAnsi="Arial"/>
          <w:b/>
          <w:bCs/>
          <w:noProof w:val="0"/>
          <w:sz w:val="28"/>
          <w:szCs w:val="28"/>
        </w:rPr>
      </w:pPr>
      <w:r>
        <w:rPr>
          <w:rFonts w:hint="cs" w:ascii="Arial" w:hAnsi="Arial"/>
          <w:b/>
          <w:bCs/>
          <w:noProof w:val="0"/>
          <w:sz w:val="28"/>
          <w:szCs w:val="28"/>
          <w:rtl/>
        </w:rPr>
        <w:t>"</w:t>
      </w:r>
      <w:r w:rsidRPr="00E60476">
        <w:rPr>
          <w:rFonts w:hint="cs" w:ascii="Arial" w:hAnsi="Arial"/>
          <w:b/>
          <w:bCs/>
          <w:noProof w:val="0"/>
          <w:sz w:val="28"/>
          <w:szCs w:val="28"/>
          <w:rtl/>
        </w:rPr>
        <w:t>שעות העבודה של העובד תהיינה כפי שיוסכם בין הצד</w:t>
      </w:r>
      <w:r>
        <w:rPr>
          <w:rFonts w:hint="cs" w:ascii="Arial" w:hAnsi="Arial"/>
          <w:b/>
          <w:bCs/>
          <w:noProof w:val="0"/>
          <w:sz w:val="28"/>
          <w:szCs w:val="28"/>
          <w:rtl/>
        </w:rPr>
        <w:t>ד</w:t>
      </w:r>
      <w:r w:rsidRPr="00E60476">
        <w:rPr>
          <w:rFonts w:hint="cs" w:ascii="Arial" w:hAnsi="Arial"/>
          <w:b/>
          <w:bCs/>
          <w:noProof w:val="0"/>
          <w:sz w:val="28"/>
          <w:szCs w:val="28"/>
          <w:rtl/>
        </w:rPr>
        <w:t>ים מעת לעת. שעות הברוטו לא יעלו על 10 שעות כאשר ההפסקות שאינן נכללות בשעות אלה. הפסקות בין ביצוע הסעות תיחשבנה כחלק משעות העבודה של</w:t>
      </w:r>
      <w:r>
        <w:rPr>
          <w:rFonts w:hint="cs" w:ascii="Arial" w:hAnsi="Arial"/>
          <w:b/>
          <w:bCs/>
          <w:noProof w:val="0"/>
          <w:sz w:val="28"/>
          <w:szCs w:val="28"/>
          <w:rtl/>
        </w:rPr>
        <w:t xml:space="preserve"> העובד וזאת למעט הפסקות העולות ע</w:t>
      </w:r>
      <w:r w:rsidRPr="00E60476">
        <w:rPr>
          <w:rFonts w:hint="cs" w:ascii="Arial" w:hAnsi="Arial"/>
          <w:b/>
          <w:bCs/>
          <w:noProof w:val="0"/>
          <w:sz w:val="28"/>
          <w:szCs w:val="28"/>
          <w:rtl/>
        </w:rPr>
        <w:t>ל שעה אשר לא תיחשבנה כחלק משעות עבודה. העובד מתחייב לנהל רישום מדוייק בקשר לשעות העבודה ההפסקות ולמסור את הרישום לידי המעביד בסוף כל חודש. בשל התפקיד בו נושא העובד, ויחסי האמון המתחייבים ממנו, לא יחול חוק שעות עבודה ומנוחה, התשי"א-1951, והעובד לא יהיה זכ</w:t>
      </w:r>
      <w:r>
        <w:rPr>
          <w:rFonts w:hint="cs" w:ascii="Arial" w:hAnsi="Arial"/>
          <w:b/>
          <w:bCs/>
          <w:noProof w:val="0"/>
          <w:sz w:val="28"/>
          <w:szCs w:val="28"/>
          <w:rtl/>
        </w:rPr>
        <w:t>א</w:t>
      </w:r>
      <w:r w:rsidRPr="00E60476">
        <w:rPr>
          <w:rFonts w:hint="cs" w:ascii="Arial" w:hAnsi="Arial"/>
          <w:b/>
          <w:bCs/>
          <w:noProof w:val="0"/>
          <w:sz w:val="28"/>
          <w:szCs w:val="28"/>
          <w:rtl/>
        </w:rPr>
        <w:t>י לדרוש תשלום נפרד ונוסף על פי חוק בגין עבודה בשעות נוספות או בימי שבת וחג, מעבר לסכום הקבוע בהסכם זה, המשקף בין היתר את שעות העבודה החורגות מן המקובל. הצדדים מעריכים כי עבודת העובד יהא בערך 10 שעות עבודה ברוטו ליום ועל כן מוסכם כי -25% משכר העבודה היווה תשלום גלובלי עבור ביצוע עבודה בשעות נוספות. מעבר ל-10 שעות ביום ישולם לעובד 150% מערך שעה לכל שעת עבודה".</w:t>
      </w:r>
    </w:p>
    <w:p w:rsidR="00876512" w:rsidP="007974E5" w:rsidRDefault="00582378">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בית הדין ער לכך שהנתבעת טוענת כי התובע הפר את הסכם העבודה בכך שלא ני</w:t>
      </w:r>
      <w:r w:rsidR="002458C1">
        <w:rPr>
          <w:rFonts w:hint="cs" w:ascii="Arial" w:hAnsi="Arial"/>
          <w:noProof w:val="0"/>
          <w:sz w:val="28"/>
          <w:szCs w:val="28"/>
          <w:rtl/>
        </w:rPr>
        <w:t>הל רישום של שעות ההפסקה. ככלל אין מעסיק רש</w:t>
      </w:r>
      <w:r w:rsidR="00EE5A36">
        <w:rPr>
          <w:rFonts w:hint="cs" w:ascii="Arial" w:hAnsi="Arial"/>
          <w:noProof w:val="0"/>
          <w:sz w:val="28"/>
          <w:szCs w:val="28"/>
          <w:rtl/>
        </w:rPr>
        <w:t xml:space="preserve">אי להעביר לעובד את חובת רישום ותיעוד שעות העבודה של העובד, אך </w:t>
      </w:r>
      <w:r w:rsidR="002458C1">
        <w:rPr>
          <w:rFonts w:hint="cs" w:ascii="Arial" w:hAnsi="Arial"/>
          <w:noProof w:val="0"/>
          <w:sz w:val="28"/>
          <w:szCs w:val="28"/>
          <w:rtl/>
        </w:rPr>
        <w:t xml:space="preserve">אין צורך שהנתבעת תסמוך על </w:t>
      </w:r>
      <w:r w:rsidR="007974E5">
        <w:rPr>
          <w:rFonts w:hint="cs" w:ascii="Arial" w:hAnsi="Arial"/>
          <w:noProof w:val="0"/>
          <w:sz w:val="28"/>
          <w:szCs w:val="28"/>
          <w:rtl/>
        </w:rPr>
        <w:t xml:space="preserve">הטענה בדבר הפרת התחייבות התובע לפי ההסכם, </w:t>
      </w:r>
      <w:r w:rsidR="00EE5A36">
        <w:rPr>
          <w:rFonts w:hint="cs" w:ascii="Arial" w:hAnsi="Arial"/>
          <w:noProof w:val="0"/>
          <w:sz w:val="28"/>
          <w:szCs w:val="28"/>
          <w:rtl/>
        </w:rPr>
        <w:t>בשים לב לממצאינו דלעיל לפי</w:t>
      </w:r>
      <w:r w:rsidR="007974E5">
        <w:rPr>
          <w:rFonts w:hint="cs" w:ascii="Arial" w:hAnsi="Arial"/>
          <w:noProof w:val="0"/>
          <w:sz w:val="28"/>
          <w:szCs w:val="28"/>
          <w:rtl/>
        </w:rPr>
        <w:t>הם</w:t>
      </w:r>
      <w:r w:rsidR="00EE5A36">
        <w:rPr>
          <w:rFonts w:hint="cs" w:ascii="Arial" w:hAnsi="Arial"/>
          <w:noProof w:val="0"/>
          <w:sz w:val="28"/>
          <w:szCs w:val="28"/>
          <w:rtl/>
        </w:rPr>
        <w:t xml:space="preserve"> ככלל היו במהלך ימי העבודה הרגילים של התובע שעות הפסקה שאינן "שעות עבודה".</w:t>
      </w:r>
    </w:p>
    <w:p w:rsidR="00582378" w:rsidP="00876512" w:rsidRDefault="00EE5A36">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lastRenderedPageBreak/>
        <w:t>בנסיבות אלה, בית הדין אינו מאמץ את התחשיב שעל פיו הוגשה התביעה, שכן התחשיב מתעלם משעות ההפסקה שהיוו באופן רגיל חלק מיום העבודה של התובע.</w:t>
      </w:r>
    </w:p>
    <w:p w:rsidR="00E56B5D" w:rsidP="00EE5A36" w:rsidRDefault="00EE5A36">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כמו כן, מקובלת על בית הדין </w:t>
      </w:r>
      <w:r w:rsidR="00E56B5D">
        <w:rPr>
          <w:rFonts w:hint="cs" w:ascii="Arial" w:hAnsi="Arial"/>
          <w:noProof w:val="0"/>
          <w:sz w:val="28"/>
          <w:szCs w:val="28"/>
          <w:rtl/>
        </w:rPr>
        <w:t xml:space="preserve">הסתייגותה של הנתבעת מהכללת זמן הנסיעה של התובע לעבודה מביתו ומהעבודה חזרה לביתו </w:t>
      </w:r>
      <w:r w:rsidR="00E56B5D">
        <w:rPr>
          <w:rFonts w:ascii="Arial" w:hAnsi="Arial"/>
          <w:noProof w:val="0"/>
          <w:sz w:val="28"/>
          <w:szCs w:val="28"/>
          <w:rtl/>
        </w:rPr>
        <w:t>–</w:t>
      </w:r>
      <w:r w:rsidR="00E56B5D">
        <w:rPr>
          <w:rFonts w:hint="cs" w:ascii="Arial" w:hAnsi="Arial"/>
          <w:noProof w:val="0"/>
          <w:sz w:val="28"/>
          <w:szCs w:val="28"/>
          <w:rtl/>
        </w:rPr>
        <w:t xml:space="preserve"> בחשבון שעות העבודה.</w:t>
      </w:r>
    </w:p>
    <w:p w:rsidR="00E56B5D" w:rsidP="00EE5A36" w:rsidRDefault="00EE5A36">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עם זאת, </w:t>
      </w:r>
      <w:r w:rsidR="00E56B5D">
        <w:rPr>
          <w:rFonts w:hint="cs" w:ascii="Arial" w:hAnsi="Arial"/>
          <w:noProof w:val="0"/>
          <w:sz w:val="28"/>
          <w:szCs w:val="28"/>
          <w:rtl/>
        </w:rPr>
        <w:t>הנתבעת לא ס</w:t>
      </w:r>
      <w:r w:rsidR="001A09EB">
        <w:rPr>
          <w:rFonts w:hint="cs" w:ascii="Arial" w:hAnsi="Arial"/>
          <w:noProof w:val="0"/>
          <w:sz w:val="28"/>
          <w:szCs w:val="28"/>
          <w:rtl/>
        </w:rPr>
        <w:t xml:space="preserve">תרה את החזקה בדבר עבודת התובע </w:t>
      </w:r>
      <w:r w:rsidR="00060C58">
        <w:rPr>
          <w:rFonts w:hint="cs" w:ascii="Arial" w:hAnsi="Arial"/>
          <w:noProof w:val="0"/>
          <w:sz w:val="28"/>
          <w:szCs w:val="28"/>
          <w:rtl/>
        </w:rPr>
        <w:t>במשך 60 שעות נוספות חודשיות</w:t>
      </w:r>
      <w:r>
        <w:rPr>
          <w:rFonts w:hint="cs" w:ascii="Arial" w:hAnsi="Arial"/>
          <w:noProof w:val="0"/>
          <w:sz w:val="28"/>
          <w:szCs w:val="28"/>
          <w:rtl/>
        </w:rPr>
        <w:t xml:space="preserve"> לפי סעיף 26ב(ב) לחוק הגנת השכר, אלא שמתלושי השכר של התובע עולה כי שולם לתובע גמול עבודה בשעות נוספות בהיקף זה (מדובר בסך של 1,906 ₪ בכל חודש בגין 30 שעות נוספות לפי ערך 125% ו-30 שעות בערך 150%, על בסיס שכר שעתי בסך 23.11 ₪ (המנה המתקבלת מחלוקת 4,300 ₪ ב-186).</w:t>
      </w:r>
    </w:p>
    <w:p w:rsidRPr="00582378" w:rsidR="00060C58" w:rsidP="00E56B5D" w:rsidRDefault="00EF71EB">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בהתאם לכך, בית הדין מחליט לדחות את תביעת התובע לגמול עבודה בשעות נוספות.</w:t>
      </w:r>
    </w:p>
    <w:p w:rsidRPr="0033611C" w:rsidR="003D114D" w:rsidP="00EF71EB" w:rsidRDefault="003D114D">
      <w:pPr>
        <w:spacing w:line="360" w:lineRule="auto"/>
        <w:jc w:val="both"/>
        <w:rPr>
          <w:rFonts w:ascii="Arial" w:hAnsi="Arial"/>
          <w:noProof w:val="0"/>
          <w:sz w:val="28"/>
          <w:szCs w:val="28"/>
          <w:rtl/>
        </w:rPr>
      </w:pPr>
    </w:p>
    <w:p w:rsidRPr="003D114D" w:rsidR="003D114D" w:rsidP="003D114D" w:rsidRDefault="003D114D">
      <w:pPr>
        <w:spacing w:line="360" w:lineRule="auto"/>
        <w:ind w:left="360"/>
        <w:jc w:val="both"/>
        <w:rPr>
          <w:rFonts w:ascii="Arial" w:hAnsi="Arial"/>
          <w:b/>
          <w:bCs/>
          <w:noProof w:val="0"/>
          <w:sz w:val="28"/>
          <w:szCs w:val="28"/>
          <w:u w:val="single"/>
        </w:rPr>
      </w:pPr>
      <w:r w:rsidRPr="003D114D">
        <w:rPr>
          <w:rFonts w:hint="cs" w:ascii="Arial" w:hAnsi="Arial"/>
          <w:b/>
          <w:bCs/>
          <w:noProof w:val="0"/>
          <w:sz w:val="28"/>
          <w:szCs w:val="28"/>
          <w:u w:val="single"/>
          <w:rtl/>
        </w:rPr>
        <w:t>התביעה להשלמת פיצויי פיטורים</w:t>
      </w:r>
    </w:p>
    <w:p w:rsidR="003D114D" w:rsidP="003D114D" w:rsidRDefault="003D114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הצדדים הסכימו, בפתח דיון ההוכחות, כי סכום דמי ההודעה המוקדמת הינו 4,000 ₪, וכי ככל שייקבע כי התובע פוטר, סכום השלמת פיצויי הפיטורים הינו 4,500, אלא אם כן יוכח שהנתבעת מסרה לתובע מכתב שחרור של קופת הפיצויים בחברת הראל, שאז סכום ההשלמה הינו 2,800 ₪.</w:t>
      </w:r>
    </w:p>
    <w:p w:rsidR="003A5BCF" w:rsidP="003A5BCF" w:rsidRDefault="00EF71EB">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המחלוקת הטעונה הכרעה בעניין זה הינה </w:t>
      </w:r>
      <w:r>
        <w:rPr>
          <w:rFonts w:ascii="Arial" w:hAnsi="Arial"/>
          <w:noProof w:val="0"/>
          <w:sz w:val="28"/>
          <w:szCs w:val="28"/>
          <w:rtl/>
        </w:rPr>
        <w:t>–</w:t>
      </w:r>
      <w:r>
        <w:rPr>
          <w:rFonts w:hint="cs" w:ascii="Arial" w:hAnsi="Arial"/>
          <w:noProof w:val="0"/>
          <w:sz w:val="28"/>
          <w:szCs w:val="28"/>
          <w:rtl/>
        </w:rPr>
        <w:t xml:space="preserve"> האם התובע פוטר או התפטר.</w:t>
      </w:r>
    </w:p>
    <w:p w:rsidR="00EF71EB" w:rsidP="00AE09BB" w:rsidRDefault="00EF71EB">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גרסת התובע הינה כדלהלן: </w:t>
      </w:r>
      <w:r w:rsidR="008C1493">
        <w:rPr>
          <w:rFonts w:hint="cs" w:ascii="Arial" w:hAnsi="Arial"/>
          <w:noProof w:val="0"/>
          <w:sz w:val="28"/>
          <w:szCs w:val="28"/>
          <w:rtl/>
        </w:rPr>
        <w:t>ביום 26.11.14 התובע הודיע לסדרן הנתבעת שקבע תור דחוף לקבלת עזרה ראשונה לטיפול שיניים</w:t>
      </w:r>
      <w:r w:rsidR="00AE09BB">
        <w:rPr>
          <w:rFonts w:hint="cs" w:ascii="Arial" w:hAnsi="Arial"/>
          <w:noProof w:val="0"/>
          <w:sz w:val="28"/>
          <w:szCs w:val="28"/>
          <w:rtl/>
        </w:rPr>
        <w:t xml:space="preserve">, וקיבל אישור לסיים את יום העבודה מוקדם, אלא שבשעה 16:00, כשעה לפני התור לרופא השיניים, הוא התבקש על ידי מר שטרית לוותר על התור ולבצע הסעה. התובע סירב לכך אך לפי דרישת הנתבעת השאיר את רכב החברה ליד ביתו על מנת שייאסף על ידי החברה, ובימים הבאים </w:t>
      </w:r>
      <w:r w:rsidR="00AE09BB">
        <w:rPr>
          <w:rFonts w:ascii="Arial" w:hAnsi="Arial"/>
          <w:noProof w:val="0"/>
          <w:sz w:val="28"/>
          <w:szCs w:val="28"/>
          <w:rtl/>
        </w:rPr>
        <w:t>–</w:t>
      </w:r>
      <w:r w:rsidR="00AE09BB">
        <w:rPr>
          <w:rFonts w:hint="cs" w:ascii="Arial" w:hAnsi="Arial"/>
          <w:noProof w:val="0"/>
          <w:sz w:val="28"/>
          <w:szCs w:val="28"/>
          <w:rtl/>
        </w:rPr>
        <w:t xml:space="preserve"> מ-27.11.14 עד 30.11.14 </w:t>
      </w:r>
      <w:r w:rsidR="00AE09BB">
        <w:rPr>
          <w:rFonts w:ascii="Arial" w:hAnsi="Arial"/>
          <w:noProof w:val="0"/>
          <w:sz w:val="28"/>
          <w:szCs w:val="28"/>
          <w:rtl/>
        </w:rPr>
        <w:t>–</w:t>
      </w:r>
      <w:r w:rsidR="00AE09BB">
        <w:rPr>
          <w:rFonts w:hint="cs" w:ascii="Arial" w:hAnsi="Arial"/>
          <w:noProof w:val="0"/>
          <w:sz w:val="28"/>
          <w:szCs w:val="28"/>
          <w:rtl/>
        </w:rPr>
        <w:t xml:space="preserve"> התובע לא שובץ ומר שטרית סינן את שיחותיו. ביום 1.12.14 התובע התקשר לכפיר צדוק, בעל החברה, ומר שטרית ענה לטלפון ובשיחה מר שטרית אמר לו ש"הדלת פתוחה אני לא צריך אותך יותר ואין בעיה ניתן לכך מכתב פיטורים". כעבור זמן קצר התקשר אליו מר שטרית והזמינו לשימוע. </w:t>
      </w:r>
      <w:r w:rsidR="00830063">
        <w:rPr>
          <w:rFonts w:hint="cs" w:ascii="Arial" w:hAnsi="Arial"/>
          <w:noProof w:val="0"/>
          <w:sz w:val="28"/>
          <w:szCs w:val="28"/>
          <w:rtl/>
        </w:rPr>
        <w:t xml:space="preserve">התובע הגיע למשרדי הנתבעת </w:t>
      </w:r>
      <w:r w:rsidR="00830063">
        <w:rPr>
          <w:rFonts w:hint="cs" w:ascii="Arial" w:hAnsi="Arial"/>
          <w:noProof w:val="0"/>
          <w:sz w:val="28"/>
          <w:szCs w:val="28"/>
          <w:rtl/>
        </w:rPr>
        <w:lastRenderedPageBreak/>
        <w:t>לשימוע אצל מר זוהר צדיק, שטען לפניו כי יש נגדו תלונות רבות בדבר נהיגה בלתי זהירה. התובע טען כי מאז שהובאו לידיעתו בעבר הרחוק תלונות על נהיגה לא זהירה הוא שיפר את נהיגתו. התובע טען לפני זוהר שהוא פוטר על ידי מר שטרית שהבטיח לתת לו מכתב פיטורים אך זוהר טען שהנתבעת לא פיטרה אותו</w:t>
      </w:r>
      <w:r w:rsidR="002D5874">
        <w:rPr>
          <w:rFonts w:hint="cs" w:ascii="Arial" w:hAnsi="Arial"/>
          <w:noProof w:val="0"/>
          <w:sz w:val="28"/>
          <w:szCs w:val="28"/>
          <w:rtl/>
        </w:rPr>
        <w:t xml:space="preserve">. התובע הבהיר שאי שיבוצו במשך חמישה ימים, בצירוף דבריו של מר שטרית, כמוהם כפיטורים ואין בדעתו לחזור לעבודה, וזוהר אמר לו </w:t>
      </w:r>
      <w:r w:rsidR="002D5874">
        <w:rPr>
          <w:rFonts w:ascii="Arial" w:hAnsi="Arial"/>
          <w:noProof w:val="0"/>
          <w:sz w:val="28"/>
          <w:szCs w:val="28"/>
          <w:rtl/>
        </w:rPr>
        <w:t>–</w:t>
      </w:r>
      <w:r w:rsidR="002D5874">
        <w:rPr>
          <w:rFonts w:hint="cs" w:ascii="Arial" w:hAnsi="Arial"/>
          <w:noProof w:val="0"/>
          <w:sz w:val="28"/>
          <w:szCs w:val="28"/>
          <w:rtl/>
        </w:rPr>
        <w:t xml:space="preserve"> "תעשה מה שאתה מבין".</w:t>
      </w:r>
    </w:p>
    <w:p w:rsidR="002D5874" w:rsidP="002D5874" w:rsidRDefault="002D5874">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זוהר ומר שטרית העידו שהתובע הוזמן לשימוע עקב תלונות על נהיגה לא זהירה ובמהלך השימוע הוא נדרש לשפר את נהיגתו. הם העידו שהתובע ידע היטב שלמר שטרית, שהועסק כסדרן שכיר בחברה, לא הייתה סמכות לפטר את התובע. </w:t>
      </w:r>
    </w:p>
    <w:p w:rsidR="002D5874" w:rsidP="00AE09BB" w:rsidRDefault="002D5874">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כאשר </w:t>
      </w:r>
      <w:r w:rsidR="007834AA">
        <w:rPr>
          <w:rFonts w:hint="cs" w:ascii="Arial" w:hAnsi="Arial"/>
          <w:noProof w:val="0"/>
          <w:sz w:val="28"/>
          <w:szCs w:val="28"/>
          <w:rtl/>
        </w:rPr>
        <w:t>בית הדין צריך להכריע בשאלה אם סיום עבודתו של עובד בא כתוצאה מהתפטרות או מפיטורים, עליו לבחון לאיזה צד מהצדדים ליחסי העבודה הייתה המוטיבציה ליזום את סיום הקשר.</w:t>
      </w:r>
    </w:p>
    <w:p w:rsidR="007834AA" w:rsidP="00AE09BB" w:rsidRDefault="007834AA">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בענייננו שוכנענו כי לנתבעת היה עניין בסיום ההתקשרות עם התובע. העובדות התומכות במסקנה זו הן אי שיבוץ התובע למשך מספר ימי עבודה לאחר האירוע של אי התייצבות התובע לקריאה שהייתה כרוכה בביטול התור שלו לרופא השיניים, וזימונו לשימוע בנימוק של תלונות על נהיגה לא זהירה, כאשר המסמכים שהנתבעת צירפה בדבר תלונות על נהיגה בלתי זהירה הינם קודמים בחודשים לא מעטים למועד סיום העבודה (מחודשים יוני ויולי 2014). </w:t>
      </w:r>
      <w:r w:rsidR="00F62FC8">
        <w:rPr>
          <w:rFonts w:hint="cs" w:ascii="Arial" w:hAnsi="Arial"/>
          <w:noProof w:val="0"/>
          <w:sz w:val="28"/>
          <w:szCs w:val="28"/>
          <w:rtl/>
        </w:rPr>
        <w:t>לכך מצטרפים דבריו של מר שטרית בשיחה הטלפונית עם התובע. גם אם מר שטרית לא היה מוסמך לפטר את התובע, דבריו מצביעים על עניין שהיה לנתבעת להביא לקיצם את יחסי העבודה בין הצדדים.</w:t>
      </w:r>
    </w:p>
    <w:p w:rsidR="007834AA" w:rsidP="00AE09BB" w:rsidRDefault="007834AA">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 xml:space="preserve">העובדה שזוהר אמר לתובע בפגישה שהתקיימה ביניהם ביום 1.12.14 כי הנתבעת לא פיטרה את התובע וכי מר שטרית לא היה מוסמך </w:t>
      </w:r>
      <w:r w:rsidR="00F62FC8">
        <w:rPr>
          <w:rFonts w:hint="cs" w:ascii="Arial" w:hAnsi="Arial"/>
          <w:noProof w:val="0"/>
          <w:sz w:val="28"/>
          <w:szCs w:val="28"/>
          <w:rtl/>
        </w:rPr>
        <w:t xml:space="preserve">לפטרו </w:t>
      </w:r>
      <w:r w:rsidR="00F62FC8">
        <w:rPr>
          <w:rFonts w:ascii="Arial" w:hAnsi="Arial"/>
          <w:noProof w:val="0"/>
          <w:sz w:val="28"/>
          <w:szCs w:val="28"/>
          <w:rtl/>
        </w:rPr>
        <w:t>–</w:t>
      </w:r>
      <w:r w:rsidR="00F62FC8">
        <w:rPr>
          <w:rFonts w:hint="cs" w:ascii="Arial" w:hAnsi="Arial"/>
          <w:noProof w:val="0"/>
          <w:sz w:val="28"/>
          <w:szCs w:val="28"/>
          <w:rtl/>
        </w:rPr>
        <w:t xml:space="preserve"> אינה שוקלת לעניין זה. גם העובדה, שאינה במחלוקת, שהתובע עבר לגור באשדוד ושכר בה דירה, אינה משנה מסקנה זו ולעניין זה מקובלת על בית הדין עדותו של התובע כי בשיחה שקיים עם כפיר צדיק אמר לו כפיר שהנתבעת תוכל להמשיך להעסיקו לכשיעבור לגור </w:t>
      </w:r>
      <w:r w:rsidR="00237B1D">
        <w:rPr>
          <w:rFonts w:hint="cs" w:ascii="Arial" w:hAnsi="Arial"/>
          <w:noProof w:val="0"/>
          <w:sz w:val="28"/>
          <w:szCs w:val="28"/>
          <w:rtl/>
        </w:rPr>
        <w:t>באשדוד שכן יש לנתבעת עבודה בבסיסים באזור זה. הנתבעת לא סתרה עדות זו משלא הביאה לעדות את כפיר זוהר.</w:t>
      </w:r>
    </w:p>
    <w:p w:rsidR="00237B1D" w:rsidP="00AE09BB" w:rsidRDefault="00237B1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lastRenderedPageBreak/>
        <w:t xml:space="preserve">הנתבעת לא הוכיחה כי ניתן לתובע מכתב שחרור לחברת הראל. </w:t>
      </w:r>
    </w:p>
    <w:p w:rsidR="00F62FC8" w:rsidP="00AE09BB" w:rsidRDefault="00237B1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בהתאם לכך, בית הדין מחייב את הנתבעת לשלם לתובע השלמת פיצויי פיטורים בסך 4,500 ₪ וכן דמי הודעה מוקדמת בסך 4,000 ₪.</w:t>
      </w:r>
    </w:p>
    <w:p w:rsidR="00237B1D" w:rsidP="00237B1D" w:rsidRDefault="00237B1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אין מקום לפסיקת פיצויי הלנת פיצויי פיטורים וזאת בשל מחלוקת שלדעת בית הדין יש בה ממש באשר לזכאות התובע להשלמת פיצויי פיטורים.</w:t>
      </w:r>
    </w:p>
    <w:p w:rsidR="00237B1D" w:rsidP="00237B1D" w:rsidRDefault="00237B1D">
      <w:pPr>
        <w:spacing w:line="360" w:lineRule="auto"/>
        <w:ind w:left="360"/>
        <w:jc w:val="both"/>
        <w:rPr>
          <w:rFonts w:ascii="Arial" w:hAnsi="Arial"/>
          <w:noProof w:val="0"/>
          <w:sz w:val="28"/>
          <w:szCs w:val="28"/>
          <w:rtl/>
        </w:rPr>
      </w:pPr>
    </w:p>
    <w:p w:rsidRPr="00237B1D" w:rsidR="00237B1D" w:rsidP="00237B1D" w:rsidRDefault="00237B1D">
      <w:pPr>
        <w:spacing w:line="360" w:lineRule="auto"/>
        <w:ind w:left="360"/>
        <w:jc w:val="both"/>
        <w:rPr>
          <w:rFonts w:ascii="Arial" w:hAnsi="Arial"/>
          <w:b/>
          <w:bCs/>
          <w:noProof w:val="0"/>
          <w:sz w:val="28"/>
          <w:szCs w:val="28"/>
          <w:u w:val="single"/>
        </w:rPr>
      </w:pPr>
      <w:r w:rsidRPr="00237B1D">
        <w:rPr>
          <w:rFonts w:hint="cs" w:ascii="Arial" w:hAnsi="Arial"/>
          <w:b/>
          <w:bCs/>
          <w:noProof w:val="0"/>
          <w:sz w:val="28"/>
          <w:szCs w:val="28"/>
          <w:u w:val="single"/>
          <w:rtl/>
        </w:rPr>
        <w:t>סוף דבר</w:t>
      </w:r>
    </w:p>
    <w:p w:rsidR="00237B1D" w:rsidP="00237B1D" w:rsidRDefault="00237B1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התביעה מתקבלת חלקית.</w:t>
      </w:r>
    </w:p>
    <w:p w:rsidR="00237B1D" w:rsidP="00237B1D" w:rsidRDefault="00237B1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הנתבעת תשלם לתובע את הסכומים הבאים:</w:t>
      </w:r>
    </w:p>
    <w:p w:rsidR="00237B1D" w:rsidP="00237B1D" w:rsidRDefault="00237B1D">
      <w:pPr>
        <w:pStyle w:val="ad"/>
        <w:numPr>
          <w:ilvl w:val="1"/>
          <w:numId w:val="1"/>
        </w:numPr>
        <w:spacing w:line="360" w:lineRule="auto"/>
        <w:jc w:val="both"/>
        <w:rPr>
          <w:rFonts w:ascii="Arial" w:hAnsi="Arial"/>
          <w:noProof w:val="0"/>
          <w:sz w:val="28"/>
          <w:szCs w:val="28"/>
        </w:rPr>
      </w:pPr>
      <w:r>
        <w:rPr>
          <w:rFonts w:hint="cs" w:ascii="Arial" w:hAnsi="Arial"/>
          <w:noProof w:val="0"/>
          <w:sz w:val="28"/>
          <w:szCs w:val="28"/>
          <w:rtl/>
        </w:rPr>
        <w:t>השלמת פיצויי פיטורים בסך 4,500 ₪, בצירוף הפרשי הצמדה וריבית מיום 1.12.14 עד לתשלום בפועל.</w:t>
      </w:r>
    </w:p>
    <w:p w:rsidR="00237B1D" w:rsidP="00237B1D" w:rsidRDefault="00237B1D">
      <w:pPr>
        <w:pStyle w:val="ad"/>
        <w:numPr>
          <w:ilvl w:val="1"/>
          <w:numId w:val="1"/>
        </w:numPr>
        <w:spacing w:line="360" w:lineRule="auto"/>
        <w:jc w:val="both"/>
        <w:rPr>
          <w:rFonts w:ascii="Arial" w:hAnsi="Arial"/>
          <w:noProof w:val="0"/>
          <w:sz w:val="28"/>
          <w:szCs w:val="28"/>
        </w:rPr>
      </w:pPr>
      <w:r>
        <w:rPr>
          <w:rFonts w:hint="cs" w:ascii="Arial" w:hAnsi="Arial"/>
          <w:noProof w:val="0"/>
          <w:sz w:val="28"/>
          <w:szCs w:val="28"/>
          <w:rtl/>
        </w:rPr>
        <w:t>דמי הודעה מוקדמת בסך 4,000 ₪, בצירוף הפרשי הצמדה וריבית מיום 1.12.14 עד לתשלום בפועל.</w:t>
      </w:r>
    </w:p>
    <w:p w:rsidR="00237B1D" w:rsidP="00237B1D" w:rsidRDefault="00237B1D">
      <w:pPr>
        <w:pStyle w:val="ad"/>
        <w:numPr>
          <w:ilvl w:val="0"/>
          <w:numId w:val="1"/>
        </w:numPr>
        <w:spacing w:line="360" w:lineRule="auto"/>
        <w:jc w:val="both"/>
        <w:rPr>
          <w:rFonts w:ascii="Arial" w:hAnsi="Arial"/>
          <w:noProof w:val="0"/>
          <w:sz w:val="28"/>
          <w:szCs w:val="28"/>
        </w:rPr>
      </w:pPr>
      <w:r>
        <w:rPr>
          <w:rFonts w:hint="cs" w:ascii="Arial" w:hAnsi="Arial"/>
          <w:noProof w:val="0"/>
          <w:sz w:val="28"/>
          <w:szCs w:val="28"/>
          <w:rtl/>
        </w:rPr>
        <w:t>ב</w:t>
      </w:r>
      <w:r w:rsidR="001B6BA3">
        <w:rPr>
          <w:rFonts w:hint="cs" w:ascii="Arial" w:hAnsi="Arial"/>
          <w:noProof w:val="0"/>
          <w:sz w:val="28"/>
          <w:szCs w:val="28"/>
          <w:rtl/>
        </w:rPr>
        <w:t>הסדר הפישור שחתמו הצדדים נקבע שפסיקת שכר טירחת עורך דין תיעשה במסגרת פסק דין זה. לפיכך בית הדין מתחשב בסכומים שנפסקו בפסק דין זה ואשר שולמו לפי הסדר הפישור שניתן לו תוקף של פסק דין, ומחייב את הנתבעת לשלם לתובע שכר טירחת עורך דין בסך 4,000 ₪.</w:t>
      </w:r>
    </w:p>
    <w:p w:rsidRPr="000B79B9" w:rsidR="00694556" w:rsidP="000B79B9" w:rsidRDefault="001B6BA3">
      <w:pPr>
        <w:pStyle w:val="ad"/>
        <w:numPr>
          <w:ilvl w:val="0"/>
          <w:numId w:val="1"/>
        </w:numPr>
        <w:spacing w:line="360" w:lineRule="auto"/>
        <w:jc w:val="both"/>
        <w:rPr>
          <w:rFonts w:ascii="Arial" w:hAnsi="Arial"/>
          <w:noProof w:val="0"/>
          <w:sz w:val="28"/>
          <w:szCs w:val="28"/>
          <w:rtl/>
        </w:rPr>
      </w:pPr>
      <w:r>
        <w:rPr>
          <w:rFonts w:hint="cs" w:ascii="Arial" w:hAnsi="Arial"/>
          <w:noProof w:val="0"/>
          <w:sz w:val="28"/>
          <w:szCs w:val="28"/>
          <w:rtl/>
        </w:rPr>
        <w:t>זכות ערעור לבית הדין הארצי לעבודה תוך 30 ימים.</w:t>
      </w:r>
    </w:p>
    <w:p w:rsidRPr="00621052" w:rsidR="00694556" w:rsidRDefault="00694556">
      <w:pPr>
        <w:spacing w:line="360" w:lineRule="auto"/>
        <w:jc w:val="both"/>
        <w:rPr>
          <w:rFonts w:ascii="Arial" w:hAnsi="Arial"/>
          <w:noProof w:val="0"/>
          <w:sz w:val="28"/>
          <w:szCs w:val="28"/>
          <w:rtl/>
        </w:rPr>
      </w:pPr>
    </w:p>
    <w:p w:rsidRPr="00621052" w:rsidR="00694556" w:rsidP="000B79B9" w:rsidRDefault="00005C8B">
      <w:pPr>
        <w:spacing w:line="360" w:lineRule="auto"/>
        <w:jc w:val="both"/>
        <w:rPr>
          <w:rFonts w:ascii="Arial" w:hAnsi="Arial"/>
          <w:b/>
          <w:bCs/>
          <w:noProof w:val="0"/>
          <w:sz w:val="28"/>
          <w:szCs w:val="28"/>
          <w:rtl/>
        </w:rPr>
      </w:pPr>
      <w:r w:rsidRPr="00621052">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כ"ו ניסן תשע"ח</w:t>
          </w:r>
        </w:sdtContent>
      </w:sdt>
      <w:r w:rsidRPr="00621052">
        <w:rPr>
          <w:rFonts w:ascii="Arial" w:hAnsi="Arial"/>
          <w:b/>
          <w:bCs/>
          <w:noProof w:val="0"/>
          <w:sz w:val="28"/>
          <w:szCs w:val="28"/>
          <w:rtl/>
        </w:rPr>
        <w:t xml:space="preserve">, </w:t>
      </w:r>
      <w:r w:rsidRPr="00621052"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hint="cs" w:ascii="Arial" w:hAnsi="Arial"/>
              <w:b/>
              <w:bCs/>
              <w:noProof w:val="0"/>
              <w:sz w:val="28"/>
              <w:szCs w:val="28"/>
              <w:rtl/>
            </w:rPr>
            <w:t>11 אפריל 2018</w:t>
          </w:r>
        </w:sdtContent>
      </w:sdt>
      <w:r w:rsidRPr="00621052" w:rsidR="00621052">
        <w:rPr>
          <w:rFonts w:hint="cs"/>
          <w:b/>
          <w:bCs/>
          <w:sz w:val="28"/>
          <w:szCs w:val="28"/>
          <w:rtl/>
        </w:rPr>
        <w:t>)</w:t>
      </w:r>
      <w:r w:rsidRPr="00621052">
        <w:rPr>
          <w:rFonts w:ascii="Arial" w:hAnsi="Arial"/>
          <w:b/>
          <w:bCs/>
          <w:noProof w:val="0"/>
          <w:sz w:val="28"/>
          <w:szCs w:val="28"/>
          <w:rtl/>
        </w:rPr>
        <w:t>, בהעדר הצדדים</w:t>
      </w:r>
      <w:r w:rsidRPr="00621052" w:rsidR="00621052">
        <w:rPr>
          <w:rFonts w:hint="cs" w:ascii="Arial" w:hAnsi="Arial"/>
          <w:b/>
          <w:bCs/>
          <w:noProof w:val="0"/>
          <w:sz w:val="28"/>
          <w:szCs w:val="28"/>
          <w:rtl/>
        </w:rPr>
        <w:t xml:space="preserve"> ויישלח אליהם</w:t>
      </w:r>
      <w:r w:rsidRPr="00621052">
        <w:rPr>
          <w:rFonts w:ascii="Arial" w:hAnsi="Arial"/>
          <w:b/>
          <w:bCs/>
          <w:noProof w:val="0"/>
          <w:sz w:val="28"/>
          <w:szCs w:val="28"/>
          <w:rtl/>
        </w:rPr>
        <w:t>.</w:t>
      </w:r>
    </w:p>
    <w:p w:rsidR="00694556" w:rsidRDefault="00694556">
      <w:pPr>
        <w:spacing w:line="360" w:lineRule="auto"/>
        <w:jc w:val="both"/>
        <w:rPr>
          <w:rFonts w:ascii="Arial" w:hAnsi="Arial"/>
          <w:noProof w:val="0"/>
          <w:rtl/>
        </w:rPr>
      </w:pPr>
    </w:p>
    <w:p w:rsidR="001B6BA3" w:rsidP="00312F00" w:rsidRDefault="001B6BA3">
      <w:pPr>
        <w:rPr>
          <w:b/>
          <w:bCs/>
        </w:rPr>
      </w:pPr>
      <w:r>
        <w:rPr>
          <w:rFonts w:hint="cs"/>
          <w:b/>
          <w:bCs/>
          <w:rtl/>
        </w:rPr>
        <w:t>"ההחלטה נחתמה בידי נציגי הציבור ועותק נמצא בתיק בבית הדין. לצדדים מופץ עותק בחתימה אלקטרונית של השופט לבדו".</w:t>
      </w:r>
    </w:p>
    <w:p w:rsidRPr="00E40BA2" w:rsidR="001B6BA3" w:rsidRDefault="001B6BA3"/>
    <w:tbl>
      <w:tblPr>
        <w:tblStyle w:val="a9"/>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442"/>
        <w:gridCol w:w="236"/>
        <w:gridCol w:w="2262"/>
        <w:gridCol w:w="236"/>
        <w:gridCol w:w="2226"/>
      </w:tblGrid>
      <w:tr w:rsidR="001B6BA3" w:rsidTr="00312F00">
        <w:tc>
          <w:tcPr>
            <w:tcW w:w="2114" w:type="dxa"/>
            <w:tcBorders>
              <w:top w:val="nil"/>
              <w:left w:val="nil"/>
              <w:bottom w:val="single" w:color="auto" w:sz="4" w:space="0"/>
              <w:right w:val="nil"/>
            </w:tcBorders>
            <w:vAlign w:val="center"/>
          </w:tcPr>
          <w:tbl>
            <w:tblPr>
              <w:tblStyle w:val="a9"/>
              <w:bidiVisual/>
              <w:tblW w:w="0" w:type="auto"/>
              <w:tblBorders>
                <w:top w:val="none" w:color="auto" w:sz="0" w:space="0"/>
                <w:left w:val="none" w:color="auto" w:sz="0" w:space="0"/>
                <w:bottom w:val="none" w:color="auto" w:sz="0" w:space="0"/>
                <w:right w:val="none" w:color="auto" w:sz="0" w:space="0"/>
                <w:insideH w:val="none" w:color="auto" w:sz="0" w:space="0"/>
              </w:tblBorders>
              <w:tblLook w:val="01E0" w:firstRow="1" w:lastRow="1" w:firstColumn="1" w:lastColumn="1" w:noHBand="0" w:noVBand="0"/>
            </w:tblPr>
            <w:tblGrid>
              <w:gridCol w:w="2226"/>
            </w:tblGrid>
            <w:tr w:rsidR="000B79B9" w:rsidTr="00DB59E1">
              <w:trPr>
                <w:trHeight w:val="1079"/>
              </w:trPr>
              <w:tc>
                <w:tcPr>
                  <w:tcW w:w="2780" w:type="dxa"/>
                  <w:vAlign w:val="center"/>
                </w:tcPr>
                <w:p w:rsidRPr="0097030B" w:rsidR="000B79B9" w:rsidRDefault="000B79B9">
                  <w:pPr>
                    <w:jc w:val="center"/>
                    <w:rPr>
                      <w:rFonts w:ascii="Courier New" w:hAnsi="Courier New"/>
                      <w:b/>
                      <w:bCs/>
                      <w:rtl/>
                    </w:rPr>
                  </w:pPr>
                  <w:r>
                    <w:drawing>
                      <wp:inline distT="0" distB="0" distL="0" distR="0">
                        <wp:extent cx="1272540" cy="922020"/>
                        <wp:effectExtent l="0" t="0" r="3810" b="0"/>
                        <wp:docPr id="3" name="תמונה 3" descr="C:\Users\ShimiG\AppData\Local\Microsoft\Windows\Temporary Internet Files\Content.Word\017602756 משה אגל-טל.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17602756 משה אגל-טל.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2540" cy="922020"/>
                                </a:xfrm>
                                <a:prstGeom prst="rect">
                                  <a:avLst/>
                                </a:prstGeom>
                                <a:noFill/>
                                <a:ln>
                                  <a:noFill/>
                                </a:ln>
                              </pic:spPr>
                            </pic:pic>
                          </a:graphicData>
                        </a:graphic>
                      </wp:inline>
                    </w:drawing>
                  </w:r>
                </w:p>
              </w:tc>
            </w:tr>
          </w:tbl>
          <w:p w:rsidR="000B79B9" w:rsidRDefault="000B79B9">
            <w:pPr>
              <w:jc w:val="center"/>
              <w:rPr>
                <w:rtl/>
              </w:rPr>
            </w:pPr>
          </w:p>
          <w:p w:rsidR="001B6BA3" w:rsidRDefault="001B6BA3">
            <w:pPr>
              <w:jc w:val="center"/>
              <w:rPr>
                <w:rFonts w:ascii="Courier New" w:hAnsi="Courier New"/>
                <w:b/>
                <w:bCs/>
              </w:rPr>
            </w:pPr>
          </w:p>
        </w:tc>
        <w:tc>
          <w:tcPr>
            <w:tcW w:w="236" w:type="dxa"/>
            <w:vAlign w:val="center"/>
          </w:tcPr>
          <w:p w:rsidR="001B6BA3" w:rsidRDefault="001B6BA3">
            <w:pPr>
              <w:jc w:val="center"/>
              <w:rPr>
                <w:rFonts w:ascii="Courier New" w:hAnsi="Courier New"/>
                <w:b/>
                <w:bCs/>
              </w:rPr>
            </w:pPr>
          </w:p>
        </w:tc>
        <w:tc>
          <w:tcPr>
            <w:tcW w:w="2104" w:type="dxa"/>
            <w:tcBorders>
              <w:top w:val="nil"/>
              <w:left w:val="nil"/>
              <w:bottom w:val="single" w:color="auto" w:sz="4" w:space="0"/>
              <w:right w:val="nil"/>
            </w:tcBorders>
            <w:vAlign w:val="center"/>
          </w:tcPr>
          <w:tbl>
            <w:tblPr>
              <w:tblStyle w:val="a9"/>
              <w:bidiVisual/>
              <w:tblW w:w="0" w:type="auto"/>
              <w:tblBorders>
                <w:top w:val="none" w:color="auto" w:sz="0" w:space="0"/>
                <w:left w:val="none" w:color="auto" w:sz="0" w:space="0"/>
                <w:bottom w:val="none" w:color="auto" w:sz="0" w:space="0"/>
                <w:right w:val="none" w:color="auto" w:sz="0" w:space="0"/>
                <w:insideH w:val="none" w:color="auto" w:sz="0" w:space="0"/>
              </w:tblBorders>
              <w:tblLook w:val="01E0" w:firstRow="1" w:lastRow="1" w:firstColumn="1" w:lastColumn="1" w:noHBand="0" w:noVBand="0"/>
            </w:tblPr>
            <w:tblGrid>
              <w:gridCol w:w="2046"/>
            </w:tblGrid>
            <w:tr w:rsidR="000B79B9" w:rsidTr="00DB59E1">
              <w:trPr>
                <w:trHeight w:val="1079"/>
              </w:trPr>
              <w:tc>
                <w:tcPr>
                  <w:tcW w:w="2780" w:type="dxa"/>
                  <w:vAlign w:val="center"/>
                </w:tcPr>
                <w:p w:rsidRPr="0097030B" w:rsidR="000B79B9" w:rsidRDefault="000B79B9">
                  <w:pPr>
                    <w:jc w:val="center"/>
                    <w:rPr>
                      <w:rFonts w:ascii="Courier New" w:hAnsi="Courier New"/>
                      <w:b/>
                      <w:bCs/>
                      <w:rtl/>
                    </w:rPr>
                  </w:pPr>
                  <w:r>
                    <w:drawing>
                      <wp:inline distT="0" distB="0" distL="0" distR="0">
                        <wp:extent cx="1157086" cy="1190625"/>
                        <wp:effectExtent l="0" t="0" r="5080" b="0"/>
                        <wp:docPr id="4" name="תמונה 4" descr="C:\Users\ShimiG\AppData\Local\Microsoft\Windows\Temporary Internet Files\Content.Word\058699596 עופר נוריאני.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58699596 עופר נוריאני.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7086" cy="1190625"/>
                                </a:xfrm>
                                <a:prstGeom prst="rect">
                                  <a:avLst/>
                                </a:prstGeom>
                                <a:noFill/>
                                <a:ln>
                                  <a:noFill/>
                                </a:ln>
                              </pic:spPr>
                            </pic:pic>
                          </a:graphicData>
                        </a:graphic>
                      </wp:inline>
                    </w:drawing>
                  </w:r>
                </w:p>
              </w:tc>
            </w:tr>
          </w:tbl>
          <w:p w:rsidR="000B79B9" w:rsidRDefault="000B79B9">
            <w:pPr>
              <w:jc w:val="center"/>
              <w:rPr>
                <w:rtl/>
              </w:rPr>
            </w:pPr>
          </w:p>
          <w:p w:rsidR="001B6BA3" w:rsidRDefault="001B6BA3">
            <w:pPr>
              <w:jc w:val="center"/>
              <w:rPr>
                <w:rFonts w:ascii="Courier New" w:hAnsi="Courier New"/>
                <w:b/>
                <w:bCs/>
                <w:rtl/>
              </w:rPr>
            </w:pPr>
          </w:p>
        </w:tc>
        <w:tc>
          <w:tcPr>
            <w:tcW w:w="236" w:type="dxa"/>
            <w:vAlign w:val="center"/>
          </w:tcPr>
          <w:p w:rsidR="001B6BA3" w:rsidRDefault="001B6BA3">
            <w:pPr>
              <w:jc w:val="center"/>
              <w:rPr>
                <w:rFonts w:ascii="Courier New" w:hAnsi="Courier New"/>
                <w:b/>
                <w:bCs/>
              </w:rPr>
            </w:pPr>
          </w:p>
        </w:tc>
        <w:tc>
          <w:tcPr>
            <w:tcW w:w="2226" w:type="dxa"/>
            <w:tcBorders>
              <w:top w:val="nil"/>
              <w:left w:val="nil"/>
              <w:bottom w:val="single" w:color="auto" w:sz="4" w:space="0"/>
              <w:right w:val="nil"/>
            </w:tcBorders>
            <w:vAlign w:val="center"/>
          </w:tcPr>
          <w:p w:rsidRPr="008830CA" w:rsidR="001B6BA3" w:rsidRDefault="001B6BA3">
            <w:pPr>
              <w:jc w:val="center"/>
            </w:pPr>
            <w:r>
              <w:drawing>
                <wp:inline distT="0" distB="0" distL="0" distR="0">
                  <wp:extent cx="1276350" cy="666750"/>
                  <wp:effectExtent l="0" t="0" r="0" b="0"/>
                  <wp:docPr id="2" name="Picture 1" descr="גולדבר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גולדברג"/>
                          <pic:cNvPicPr>
                            <a:picLocks noChangeAspect="1" noChangeArrowheads="1"/>
                          </pic:cNvPicPr>
                        </pic:nvPicPr>
                        <pic:blipFill>
                          <a:blip r:embed="rId11">
                            <a:lum bright="-18000" contrast="30000"/>
                            <a:extLst>
                              <a:ext uri="{28A0092B-C50C-407E-A947-70E740481C1C}">
                                <a14:useLocalDpi xmlns:a14="http://schemas.microsoft.com/office/drawing/2010/main" val="0"/>
                              </a:ext>
                            </a:extLst>
                          </a:blip>
                          <a:srcRect/>
                          <a:stretch>
                            <a:fillRect/>
                          </a:stretch>
                        </pic:blipFill>
                        <pic:spPr bwMode="auto">
                          <a:xfrm>
                            <a:off x="0" y="0"/>
                            <a:ext cx="1276350" cy="666750"/>
                          </a:xfrm>
                          <a:prstGeom prst="rect">
                            <a:avLst/>
                          </a:prstGeom>
                          <a:noFill/>
                          <a:ln>
                            <a:noFill/>
                          </a:ln>
                        </pic:spPr>
                      </pic:pic>
                    </a:graphicData>
                  </a:graphic>
                </wp:inline>
              </w:drawing>
            </w:r>
          </w:p>
        </w:tc>
      </w:tr>
      <w:tr w:rsidR="001B6BA3" w:rsidTr="00C568D0">
        <w:trPr>
          <w:trHeight w:val="238"/>
        </w:trPr>
        <w:tc>
          <w:tcPr>
            <w:tcW w:w="0" w:type="auto"/>
            <w:tcBorders>
              <w:top w:val="single" w:color="auto" w:sz="4" w:space="0"/>
              <w:left w:val="nil"/>
              <w:bottom w:val="nil"/>
              <w:right w:val="nil"/>
            </w:tcBorders>
          </w:tcPr>
          <w:p w:rsidR="001B6BA3" w:rsidP="00C568D0" w:rsidRDefault="001B6BA3">
            <w:pPr>
              <w:jc w:val="center"/>
              <w:rPr>
                <w:b/>
                <w:bCs/>
              </w:rPr>
            </w:pPr>
            <w:r>
              <w:rPr>
                <w:rFonts w:hint="cs"/>
                <w:b/>
                <w:bCs/>
                <w:rtl/>
              </w:rPr>
              <w:t>נציג ציבור</w:t>
            </w:r>
          </w:p>
        </w:tc>
        <w:tc>
          <w:tcPr>
            <w:tcW w:w="0" w:type="auto"/>
          </w:tcPr>
          <w:p w:rsidR="001B6BA3" w:rsidP="00C568D0" w:rsidRDefault="001B6BA3">
            <w:pPr>
              <w:jc w:val="center"/>
              <w:rPr>
                <w:b/>
                <w:bCs/>
              </w:rPr>
            </w:pPr>
          </w:p>
        </w:tc>
        <w:tc>
          <w:tcPr>
            <w:tcW w:w="0" w:type="auto"/>
            <w:tcBorders>
              <w:top w:val="single" w:color="auto" w:sz="4" w:space="0"/>
              <w:left w:val="nil"/>
              <w:bottom w:val="nil"/>
              <w:right w:val="nil"/>
            </w:tcBorders>
          </w:tcPr>
          <w:p w:rsidR="001B6BA3" w:rsidP="00C568D0" w:rsidRDefault="001B6BA3">
            <w:pPr>
              <w:jc w:val="center"/>
              <w:rPr>
                <w:b/>
                <w:bCs/>
              </w:rPr>
            </w:pPr>
            <w:r>
              <w:rPr>
                <w:rFonts w:hint="cs"/>
                <w:b/>
                <w:bCs/>
                <w:rtl/>
              </w:rPr>
              <w:t>נציג ציבור</w:t>
            </w:r>
          </w:p>
        </w:tc>
        <w:tc>
          <w:tcPr>
            <w:tcW w:w="0" w:type="auto"/>
          </w:tcPr>
          <w:p w:rsidR="001B6BA3" w:rsidP="00C568D0" w:rsidRDefault="001B6BA3">
            <w:pPr>
              <w:jc w:val="center"/>
              <w:rPr>
                <w:b/>
                <w:bCs/>
              </w:rPr>
            </w:pPr>
          </w:p>
        </w:tc>
        <w:tc>
          <w:tcPr>
            <w:tcW w:w="0" w:type="auto"/>
            <w:tcBorders>
              <w:top w:val="single" w:color="auto" w:sz="4" w:space="0"/>
              <w:left w:val="nil"/>
              <w:bottom w:val="nil"/>
              <w:right w:val="nil"/>
            </w:tcBorders>
          </w:tcPr>
          <w:p w:rsidR="001B6BA3" w:rsidP="000B79B9" w:rsidRDefault="001B6BA3">
            <w:pPr>
              <w:jc w:val="center"/>
              <w:rPr>
                <w:b/>
                <w:bCs/>
              </w:rPr>
            </w:pPr>
            <w:r>
              <w:rPr>
                <w:rFonts w:hint="cs"/>
                <w:b/>
                <w:bCs/>
                <w:rtl/>
              </w:rPr>
              <w:t>דניאל גולדברג, שופט</w:t>
            </w:r>
            <w:bookmarkStart w:name="_GoBack" w:id="0"/>
            <w:bookmarkEnd w:id="0"/>
          </w:p>
        </w:tc>
      </w:tr>
    </w:tbl>
    <w:p w:rsidR="001B6BA3" w:rsidP="00664A66" w:rsidRDefault="001B6BA3">
      <w:pPr>
        <w:rPr>
          <w:rtl/>
        </w:rPr>
      </w:pPr>
    </w:p>
    <w:p w:rsidR="001B6BA3" w:rsidRDefault="001B6BA3">
      <w:pPr>
        <w:rPr>
          <w:rtl/>
        </w:rPr>
      </w:pPr>
    </w:p>
    <w:p w:rsidR="001B6BA3" w:rsidRDefault="001B6BA3">
      <w:pPr>
        <w:rPr>
          <w:rtl/>
        </w:rPr>
      </w:pPr>
    </w:p>
    <w:p w:rsidR="001B6BA3" w:rsidRDefault="001B6BA3">
      <w:pPr>
        <w:rPr>
          <w:rtl/>
        </w:rPr>
      </w:pPr>
    </w:p>
    <w:p w:rsidR="001B6BA3" w:rsidRDefault="001B6BA3">
      <w:pPr>
        <w:rPr>
          <w:rtl/>
        </w:rPr>
      </w:pPr>
    </w:p>
    <w:p w:rsidR="00694556" w:rsidP="001B6BA3" w:rsidRDefault="001B6BA3">
      <w:pPr>
        <w:rPr>
          <w:rFonts w:ascii="Arial" w:hAnsi="Arial"/>
          <w:noProof w:val="0"/>
          <w:rtl/>
        </w:rPr>
      </w:pPr>
      <w:r>
        <w:rPr>
          <w:rFonts w:hint="cs"/>
          <w:rtl/>
        </w:rPr>
        <w:tab/>
      </w:r>
      <w:r>
        <w:rPr>
          <w:rFonts w:hint="cs"/>
          <w:rtl/>
        </w:rPr>
        <w:tab/>
      </w:r>
    </w:p>
    <w:sectPr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D75B8">
      <w:rPr>
        <w:rStyle w:val="ab"/>
        <w:rFonts w:cs="Times New Roman"/>
        <w:rtl/>
      </w:rPr>
      <w:t>12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D75B8">
      <w:rPr>
        <w:rStyle w:val="ab"/>
        <w:rtl/>
      </w:rPr>
      <w:t>13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D75B8">
    <w:pPr>
      <w:pStyle w:val="a3"/>
      <w:jc w:val="center"/>
      <w:rPr>
        <w:rFonts w:cs="FrankRuehl"/>
        <w:noProof w:val="0"/>
        <w:sz w:val="28"/>
        <w:szCs w:val="28"/>
        <w:rtl/>
      </w:rPr>
    </w:pPr>
    <w:r>
      <w:rPr>
        <w:rFonts w:cs="FrankRuehl"/>
        <w:sz w:val="28"/>
        <w:szCs w:val="28"/>
        <w:rtl/>
      </w:rPr>
    </w:r>
    <w:r w:rsidR="004121E7">
      <w:rPr>
        <w:rFonts w:cs="FrankRuehl"/>
        <w:sz w:val="28"/>
        <w:szCs w:val="28"/>
      </w:rPr>
      <w:drawing>
        <wp:inline distT="0" distB="0" distL="0" distR="0" wp14:anchorId="36CE7AED" wp14:editId="2A4EB50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P="00011AA5" w:rsidRDefault="007D75B8">
          <w:pPr>
            <w:jc w:val="right"/>
            <w:rPr>
              <w:rtl/>
            </w:rPr>
          </w:pPr>
          <w:sdt>
            <w:sdtPr>
              <w:rPr>
                <w:rtl/>
              </w:rPr>
              <w:alias w:val="1170"/>
              <w:tag w:val="1170"/>
              <w:id w:val="1147020335"/>
              <w:text w:multiLine="1"/>
            </w:sdtPr>
            <w:sdtEndPr/>
            <w:sdtContent>
              <w:r w:rsidR="00502190">
                <w:rPr>
                  <w:b/>
                  <w:bCs/>
                  <w:noProof w:val="0"/>
                  <w:sz w:val="26"/>
                  <w:szCs w:val="26"/>
                  <w:rtl/>
                </w:rPr>
                <w:t>סע"ש</w:t>
              </w:r>
            </w:sdtContent>
          </w:sdt>
          <w:r w:rsidR="00621052">
            <w:rPr>
              <w:b/>
              <w:bCs/>
              <w:noProof w:val="0"/>
              <w:sz w:val="26"/>
              <w:szCs w:val="26"/>
              <w:rtl/>
            </w:rPr>
            <w:t xml:space="preserve"> </w:t>
          </w:r>
          <w:sdt>
            <w:sdtPr>
              <w:rPr>
                <w:rtl/>
              </w:rPr>
              <w:alias w:val="1171"/>
              <w:tag w:val="1171"/>
              <w:id w:val="2066985782"/>
              <w:text w:multiLine="1"/>
            </w:sdtPr>
            <w:sdtEndPr/>
            <w:sdtContent>
              <w:r w:rsidR="00502190">
                <w:rPr>
                  <w:b/>
                  <w:bCs/>
                  <w:noProof w:val="0"/>
                  <w:sz w:val="26"/>
                  <w:szCs w:val="26"/>
                  <w:rtl/>
                </w:rPr>
                <w:t>35320-02-15</w:t>
              </w:r>
            </w:sdtContent>
          </w:sdt>
        </w:p>
        <w:p w:rsidR="008E6107" w:rsidRDefault="008E6107">
          <w:pPr>
            <w:jc w:val="right"/>
            <w:rPr>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C018E"/>
    <w:multiLevelType w:val="hybridMultilevel"/>
    <w:tmpl w:val="60A28BC4"/>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6498"/>
    <o:shapelayout v:ext="edit">
      <o:idmap v:ext="edit" data="10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1AA5"/>
    <w:rsid w:val="0001550A"/>
    <w:rsid w:val="00040D6E"/>
    <w:rsid w:val="0004479F"/>
    <w:rsid w:val="000459BF"/>
    <w:rsid w:val="000564AB"/>
    <w:rsid w:val="00060C58"/>
    <w:rsid w:val="0009379D"/>
    <w:rsid w:val="000B2789"/>
    <w:rsid w:val="000B79B9"/>
    <w:rsid w:val="000D7F45"/>
    <w:rsid w:val="0010401B"/>
    <w:rsid w:val="0014234E"/>
    <w:rsid w:val="00173159"/>
    <w:rsid w:val="00183FCA"/>
    <w:rsid w:val="001A09EB"/>
    <w:rsid w:val="001B6BA3"/>
    <w:rsid w:val="001C4003"/>
    <w:rsid w:val="001D77FB"/>
    <w:rsid w:val="001D7CB6"/>
    <w:rsid w:val="001E62E5"/>
    <w:rsid w:val="001F4CDB"/>
    <w:rsid w:val="001F6B20"/>
    <w:rsid w:val="00203B51"/>
    <w:rsid w:val="00237B1D"/>
    <w:rsid w:val="002458C1"/>
    <w:rsid w:val="0025187E"/>
    <w:rsid w:val="00256FD2"/>
    <w:rsid w:val="002927CA"/>
    <w:rsid w:val="002A127D"/>
    <w:rsid w:val="002B6A54"/>
    <w:rsid w:val="002C4501"/>
    <w:rsid w:val="002D5874"/>
    <w:rsid w:val="003104AC"/>
    <w:rsid w:val="0033611C"/>
    <w:rsid w:val="00343B39"/>
    <w:rsid w:val="003473AB"/>
    <w:rsid w:val="00393EAA"/>
    <w:rsid w:val="003A5BCF"/>
    <w:rsid w:val="003B3143"/>
    <w:rsid w:val="003D114D"/>
    <w:rsid w:val="003E118F"/>
    <w:rsid w:val="004121E7"/>
    <w:rsid w:val="00433187"/>
    <w:rsid w:val="004B149B"/>
    <w:rsid w:val="004B4412"/>
    <w:rsid w:val="004E6E3C"/>
    <w:rsid w:val="00502190"/>
    <w:rsid w:val="00510FDB"/>
    <w:rsid w:val="0052001D"/>
    <w:rsid w:val="0052325F"/>
    <w:rsid w:val="00530A40"/>
    <w:rsid w:val="00547DB7"/>
    <w:rsid w:val="00562EF8"/>
    <w:rsid w:val="005820D8"/>
    <w:rsid w:val="00582378"/>
    <w:rsid w:val="005C4EB0"/>
    <w:rsid w:val="005F28F5"/>
    <w:rsid w:val="00612E4A"/>
    <w:rsid w:val="00621052"/>
    <w:rsid w:val="00622BAA"/>
    <w:rsid w:val="006512FA"/>
    <w:rsid w:val="006655BB"/>
    <w:rsid w:val="00671BD5"/>
    <w:rsid w:val="006805C1"/>
    <w:rsid w:val="006909FE"/>
    <w:rsid w:val="00694556"/>
    <w:rsid w:val="006D7C05"/>
    <w:rsid w:val="006E1A53"/>
    <w:rsid w:val="00726274"/>
    <w:rsid w:val="0073136B"/>
    <w:rsid w:val="00731C85"/>
    <w:rsid w:val="00754E95"/>
    <w:rsid w:val="00755057"/>
    <w:rsid w:val="007732A0"/>
    <w:rsid w:val="007834AA"/>
    <w:rsid w:val="007974E5"/>
    <w:rsid w:val="007B2DA3"/>
    <w:rsid w:val="007C4F95"/>
    <w:rsid w:val="007D30C1"/>
    <w:rsid w:val="007D75B8"/>
    <w:rsid w:val="0080167E"/>
    <w:rsid w:val="00820005"/>
    <w:rsid w:val="00820B05"/>
    <w:rsid w:val="00825D9B"/>
    <w:rsid w:val="00830063"/>
    <w:rsid w:val="008653F9"/>
    <w:rsid w:val="0086579A"/>
    <w:rsid w:val="0086742E"/>
    <w:rsid w:val="00876512"/>
    <w:rsid w:val="008A58D0"/>
    <w:rsid w:val="008B458C"/>
    <w:rsid w:val="008C1493"/>
    <w:rsid w:val="008C23EC"/>
    <w:rsid w:val="008D2FCE"/>
    <w:rsid w:val="008E6107"/>
    <w:rsid w:val="008F435B"/>
    <w:rsid w:val="00900F2B"/>
    <w:rsid w:val="00903896"/>
    <w:rsid w:val="0095102F"/>
    <w:rsid w:val="009721F7"/>
    <w:rsid w:val="009E1541"/>
    <w:rsid w:val="00A27EC3"/>
    <w:rsid w:val="00A81710"/>
    <w:rsid w:val="00AB390C"/>
    <w:rsid w:val="00AB69F9"/>
    <w:rsid w:val="00AE09BB"/>
    <w:rsid w:val="00B22806"/>
    <w:rsid w:val="00B32150"/>
    <w:rsid w:val="00B675F8"/>
    <w:rsid w:val="00B71911"/>
    <w:rsid w:val="00B80CBD"/>
    <w:rsid w:val="00B829E6"/>
    <w:rsid w:val="00B92863"/>
    <w:rsid w:val="00BD0FAA"/>
    <w:rsid w:val="00C83DC4"/>
    <w:rsid w:val="00C91670"/>
    <w:rsid w:val="00C97E9B"/>
    <w:rsid w:val="00CC09DD"/>
    <w:rsid w:val="00CC356E"/>
    <w:rsid w:val="00CC50D1"/>
    <w:rsid w:val="00CF0690"/>
    <w:rsid w:val="00D4399B"/>
    <w:rsid w:val="00D53924"/>
    <w:rsid w:val="00D66A73"/>
    <w:rsid w:val="00D96D8C"/>
    <w:rsid w:val="00E501BA"/>
    <w:rsid w:val="00E522BC"/>
    <w:rsid w:val="00E54642"/>
    <w:rsid w:val="00E56B5D"/>
    <w:rsid w:val="00E57964"/>
    <w:rsid w:val="00E60476"/>
    <w:rsid w:val="00E97908"/>
    <w:rsid w:val="00EB19AE"/>
    <w:rsid w:val="00EB243F"/>
    <w:rsid w:val="00ED242C"/>
    <w:rsid w:val="00EE5A36"/>
    <w:rsid w:val="00EF71EB"/>
    <w:rsid w:val="00F22995"/>
    <w:rsid w:val="00F62FC8"/>
    <w:rsid w:val="00F642FD"/>
    <w:rsid w:val="00FC55C1"/>
    <w:rsid w:val="00FD70B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14:docId w14:val="6FF055AE"/>
  <w15:docId w15:val="{C9A8AB97-5B8C-4EEA-8CC6-1E3F6B42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2C4501"/>
    <w:rPr>
      <w:color w:val="808080"/>
    </w:rPr>
  </w:style>
  <w:style w:type="paragraph" w:styleId="ad">
    <w:name w:val="List Paragraph"/>
    <w:basedOn w:val="a"/>
    <w:uiPriority w:val="34"/>
    <w:qFormat/>
    <w:rsid w:val="00433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image" Target="media/image2.tiff" Id="rId10" /><Relationship Type="http://schemas.openxmlformats.org/officeDocument/2006/relationships/styles" Target="styles.xml" Id="rId4" /><Relationship Type="http://schemas.openxmlformats.org/officeDocument/2006/relationships/image" Target="media/image1.tiff"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13</Pages>
  <Words>3257</Words>
  <Characters>16289</Characters>
  <Application>Microsoft Office Word</Application>
  <DocSecurity>0</DocSecurity>
  <Lines>135</Lines>
  <Paragraphs>39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דניאל גולדברג</cp:lastModifiedBy>
  <cp:revision>121</cp:revision>
  <cp:lastPrinted>2018-04-10T09:03:00Z</cp:lastPrinted>
  <dcterms:created xsi:type="dcterms:W3CDTF">2012-08-06T01:26:00Z</dcterms:created>
  <dcterms:modified xsi:type="dcterms:W3CDTF">2018-04-11T07:48:00Z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