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Pr="00A368DB" w:rsidR="0094424E">
        <w:trPr>
          <w:jc w:val="center"/>
        </w:trPr>
        <w:tc>
          <w:tcPr>
            <w:tcW w:w="743" w:type="dxa"/>
          </w:tcPr>
          <w:p w:rsidRPr="00A368DB" w:rsidR="0094424E" w:rsidP="00E962E3" w:rsidRDefault="00D74378">
            <w:pPr>
              <w:jc w:val="both"/>
              <w:rPr>
                <w:rFonts w:ascii="Arial" w:hAnsi="Arial"/>
                <w:b/>
                <w:bCs/>
                <w:sz w:val="26"/>
                <w:szCs w:val="26"/>
                <w:rtl/>
              </w:rPr>
            </w:pPr>
            <w:bookmarkStart w:name="_GoBack" w:id="0"/>
            <w:bookmarkEnd w:id="0"/>
            <w:r w:rsidRPr="00A368DB">
              <w:rPr>
                <w:rFonts w:hint="cs" w:ascii="Arial" w:hAnsi="Arial"/>
                <w:b/>
                <w:bCs/>
                <w:sz w:val="26"/>
                <w:szCs w:val="26"/>
                <w:rtl/>
              </w:rPr>
              <w:t>ל</w:t>
            </w:r>
            <w:r w:rsidRPr="00A368DB" w:rsidR="0094424E">
              <w:rPr>
                <w:rFonts w:ascii="Arial" w:hAnsi="Arial"/>
                <w:b/>
                <w:bCs/>
                <w:sz w:val="26"/>
                <w:szCs w:val="26"/>
                <w:rtl/>
              </w:rPr>
              <w:t xml:space="preserve">פני </w:t>
            </w:r>
          </w:p>
        </w:tc>
        <w:tc>
          <w:tcPr>
            <w:tcW w:w="8077" w:type="dxa"/>
            <w:gridSpan w:val="2"/>
          </w:tcPr>
          <w:p w:rsidRPr="00A368DB" w:rsidR="0094424E" w:rsidRDefault="000529D2">
            <w:pPr>
              <w:rPr>
                <w:rFonts w:ascii="Arial" w:hAnsi="Arial"/>
                <w:b/>
                <w:bCs/>
                <w:sz w:val="26"/>
                <w:szCs w:val="26"/>
                <w:rtl/>
              </w:rPr>
            </w:pPr>
            <w:r w:rsidRPr="00A368DB">
              <w:rPr>
                <w:rFonts w:hint="cs" w:ascii="Arial" w:hAnsi="Arial"/>
                <w:b/>
                <w:bCs/>
                <w:sz w:val="26"/>
                <w:szCs w:val="26"/>
                <w:rtl/>
              </w:rPr>
              <w:t>כבוד</w:t>
            </w:r>
            <w:r w:rsidRPr="00A368DB" w:rsidR="0094424E">
              <w:rPr>
                <w:rFonts w:hint="cs" w:ascii="Arial" w:hAnsi="Arial"/>
                <w:b/>
                <w:bCs/>
                <w:sz w:val="26"/>
                <w:szCs w:val="26"/>
                <w:rtl/>
              </w:rPr>
              <w:t xml:space="preserve"> ה</w:t>
            </w:r>
            <w:sdt>
              <w:sdtPr>
                <w:rPr>
                  <w:b/>
                  <w:bCs/>
                  <w:sz w:val="26"/>
                  <w:szCs w:val="26"/>
                  <w:rtl/>
                </w:rPr>
                <w:alias w:val="1574"/>
                <w:tag w:val="1574"/>
                <w:id w:val="414602899"/>
                <w:text w:multiLine="1"/>
              </w:sdtPr>
              <w:sdtEndPr/>
              <w:sdtContent>
                <w:r w:rsidRPr="00A368DB">
                  <w:rPr>
                    <w:rFonts w:ascii="Arial" w:hAnsi="Arial"/>
                    <w:b/>
                    <w:bCs/>
                    <w:sz w:val="26"/>
                    <w:szCs w:val="26"/>
                    <w:rtl/>
                  </w:rPr>
                  <w:t>שופט</w:t>
                </w:r>
              </w:sdtContent>
            </w:sdt>
            <w:r w:rsidRPr="00A368DB" w:rsidR="0094424E">
              <w:rPr>
                <w:rFonts w:hint="cs" w:ascii="Arial" w:hAnsi="Arial"/>
                <w:b/>
                <w:bCs/>
                <w:sz w:val="26"/>
                <w:szCs w:val="26"/>
                <w:rtl/>
              </w:rPr>
              <w:t xml:space="preserve">  </w:t>
            </w:r>
            <w:sdt>
              <w:sdtPr>
                <w:rPr>
                  <w:b/>
                  <w:bCs/>
                  <w:sz w:val="26"/>
                  <w:szCs w:val="26"/>
                  <w:rtl/>
                </w:rPr>
                <w:alias w:val="1573"/>
                <w:tag w:val="1573"/>
                <w:id w:val="-1751030614"/>
                <w:text w:multiLine="1"/>
              </w:sdtPr>
              <w:sdtEndPr/>
              <w:sdtContent>
                <w:r w:rsidRPr="00A368DB">
                  <w:rPr>
                    <w:rFonts w:ascii="Arial" w:hAnsi="Arial"/>
                    <w:b/>
                    <w:bCs/>
                    <w:sz w:val="26"/>
                    <w:szCs w:val="26"/>
                    <w:rtl/>
                  </w:rPr>
                  <w:t>מרדכי לוי</w:t>
                </w:r>
              </w:sdtContent>
            </w:sdt>
          </w:p>
          <w:p w:rsidRPr="00A368DB" w:rsidR="0094424E" w:rsidRDefault="0094424E">
            <w:pPr>
              <w:rPr>
                <w:rFonts w:ascii="Arial" w:hAnsi="Arial" w:cs="FrankRuehl"/>
                <w:b/>
                <w:bCs/>
                <w:sz w:val="26"/>
                <w:szCs w:val="26"/>
                <w:highlight w:val="yellow"/>
              </w:rPr>
            </w:pPr>
          </w:p>
        </w:tc>
      </w:tr>
      <w:tr w:rsidRPr="00A368DB" w:rsidR="0094424E" w:rsidTr="00465D36">
        <w:trPr>
          <w:jc w:val="center"/>
        </w:trPr>
        <w:tc>
          <w:tcPr>
            <w:tcW w:w="3249" w:type="dxa"/>
            <w:gridSpan w:val="2"/>
          </w:tcPr>
          <w:sdt>
            <w:sdtPr>
              <w:rPr>
                <w:b/>
                <w:bCs/>
                <w:sz w:val="26"/>
                <w:szCs w:val="26"/>
                <w:rtl/>
              </w:rPr>
              <w:alias w:val="1180"/>
              <w:tag w:val="1180"/>
              <w:id w:val="637458750"/>
              <w:text w:multiLine="1"/>
            </w:sdtPr>
            <w:sdtEndPr/>
            <w:sdtContent>
              <w:p w:rsidRPr="00A368DB" w:rsidR="00BD3475" w:rsidP="00B53E9C" w:rsidRDefault="00B53E9C">
                <w:pPr>
                  <w:rPr>
                    <w:rFonts w:ascii="Arial" w:hAnsi="Arial"/>
                    <w:b/>
                    <w:bCs/>
                    <w:noProof w:val="0"/>
                    <w:sz w:val="26"/>
                    <w:szCs w:val="26"/>
                    <w:rtl/>
                  </w:rPr>
                </w:pPr>
                <w:r w:rsidRPr="00A368DB">
                  <w:rPr>
                    <w:rFonts w:ascii="Arial" w:hAnsi="Arial"/>
                    <w:b/>
                    <w:bCs/>
                    <w:noProof w:val="0"/>
                    <w:sz w:val="26"/>
                    <w:szCs w:val="26"/>
                    <w:rtl/>
                  </w:rPr>
                  <w:t>מ</w:t>
                </w:r>
                <w:r w:rsidRPr="00A368DB">
                  <w:rPr>
                    <w:rFonts w:hint="cs" w:ascii="Arial" w:hAnsi="Arial"/>
                    <w:b/>
                    <w:bCs/>
                    <w:noProof w:val="0"/>
                    <w:sz w:val="26"/>
                    <w:szCs w:val="26"/>
                    <w:rtl/>
                  </w:rPr>
                  <w:t>ערער</w:t>
                </w:r>
              </w:p>
            </w:sdtContent>
          </w:sdt>
        </w:tc>
        <w:tc>
          <w:tcPr>
            <w:tcW w:w="5571" w:type="dxa"/>
          </w:tcPr>
          <w:p w:rsidRPr="00A368DB" w:rsidR="003763AB" w:rsidRDefault="009F3149">
            <w:pPr>
              <w:rPr>
                <w:b/>
                <w:bCs/>
                <w:sz w:val="26"/>
                <w:szCs w:val="26"/>
                <w:rtl/>
              </w:rPr>
            </w:pPr>
            <w:sdt>
              <w:sdtPr>
                <w:rPr>
                  <w:b/>
                  <w:bCs/>
                  <w:sz w:val="26"/>
                  <w:szCs w:val="26"/>
                  <w:rtl/>
                </w:rPr>
                <w:alias w:val="1478"/>
                <w:tag w:val="1478"/>
                <w:id w:val="-2076122985"/>
                <w:text w:multiLine="1"/>
              </w:sdtPr>
              <w:sdtEndPr/>
              <w:sdtContent>
                <w:r w:rsidRPr="00A368DB" w:rsidR="00B95A71">
                  <w:rPr>
                    <w:rFonts w:ascii="Arial" w:hAnsi="Arial"/>
                    <w:b/>
                    <w:bCs/>
                    <w:noProof w:val="0"/>
                    <w:sz w:val="26"/>
                    <w:szCs w:val="26"/>
                    <w:rtl/>
                  </w:rPr>
                  <w:t>אור ביטון</w:t>
                </w:r>
              </w:sdtContent>
            </w:sdt>
          </w:p>
          <w:p w:rsidRPr="00A368DB" w:rsidR="0094424E" w:rsidRDefault="001D3441">
            <w:pPr>
              <w:rPr>
                <w:b/>
                <w:bCs/>
                <w:noProof w:val="0"/>
                <w:sz w:val="26"/>
                <w:szCs w:val="26"/>
              </w:rPr>
            </w:pPr>
            <w:r w:rsidRPr="00A368DB">
              <w:rPr>
                <w:rFonts w:hint="cs"/>
                <w:b/>
                <w:bCs/>
                <w:sz w:val="26"/>
                <w:szCs w:val="26"/>
                <w:rtl/>
              </w:rPr>
              <w:t>ע"י ב"כ עו"ד</w:t>
            </w:r>
            <w:r w:rsidRPr="00A368DB" w:rsidR="00B53E9C">
              <w:rPr>
                <w:rFonts w:hint="cs"/>
                <w:b/>
                <w:bCs/>
                <w:noProof w:val="0"/>
                <w:sz w:val="26"/>
                <w:szCs w:val="26"/>
                <w:rtl/>
              </w:rPr>
              <w:t xml:space="preserve"> יעקב נתנאל</w:t>
            </w:r>
          </w:p>
        </w:tc>
      </w:tr>
      <w:tr w:rsidRPr="00A368DB" w:rsidR="0094424E">
        <w:trPr>
          <w:jc w:val="center"/>
        </w:trPr>
        <w:tc>
          <w:tcPr>
            <w:tcW w:w="8820" w:type="dxa"/>
            <w:gridSpan w:val="3"/>
          </w:tcPr>
          <w:p w:rsidRPr="00A368DB" w:rsidR="0094424E" w:rsidRDefault="0094424E">
            <w:pPr>
              <w:rPr>
                <w:rFonts w:ascii="Arial" w:hAnsi="Arial"/>
                <w:b/>
                <w:bCs/>
                <w:noProof w:val="0"/>
                <w:sz w:val="26"/>
                <w:szCs w:val="26"/>
                <w:rtl/>
              </w:rPr>
            </w:pPr>
          </w:p>
          <w:p w:rsidRPr="00A368DB" w:rsidR="0094424E" w:rsidP="00A368DB" w:rsidRDefault="0094424E">
            <w:pPr>
              <w:jc w:val="center"/>
              <w:rPr>
                <w:rFonts w:ascii="Arial" w:hAnsi="Arial"/>
                <w:b/>
                <w:bCs/>
                <w:noProof w:val="0"/>
                <w:sz w:val="26"/>
                <w:szCs w:val="26"/>
              </w:rPr>
            </w:pPr>
            <w:r w:rsidRPr="00A368DB">
              <w:rPr>
                <w:rFonts w:ascii="Arial" w:hAnsi="Arial"/>
                <w:b/>
                <w:bCs/>
                <w:noProof w:val="0"/>
                <w:sz w:val="26"/>
                <w:szCs w:val="26"/>
                <w:rtl/>
              </w:rPr>
              <w:t>נגד</w:t>
            </w:r>
          </w:p>
        </w:tc>
      </w:tr>
      <w:tr w:rsidRPr="00A368DB" w:rsidR="0094424E">
        <w:trPr>
          <w:jc w:val="center"/>
        </w:trPr>
        <w:tc>
          <w:tcPr>
            <w:tcW w:w="3249" w:type="dxa"/>
            <w:gridSpan w:val="2"/>
          </w:tcPr>
          <w:p w:rsidRPr="00A368DB" w:rsidR="0094424E" w:rsidRDefault="0094424E">
            <w:pPr>
              <w:rPr>
                <w:rFonts w:ascii="Arial" w:hAnsi="Arial"/>
                <w:b/>
                <w:bCs/>
                <w:noProof w:val="0"/>
                <w:sz w:val="26"/>
                <w:szCs w:val="26"/>
                <w:rtl/>
              </w:rPr>
            </w:pPr>
          </w:p>
          <w:p w:rsidRPr="00A368DB" w:rsidR="0094424E" w:rsidP="00B53E9C" w:rsidRDefault="009F3149">
            <w:pPr>
              <w:rPr>
                <w:rFonts w:ascii="Arial" w:hAnsi="Arial"/>
                <w:b/>
                <w:bCs/>
                <w:noProof w:val="0"/>
                <w:sz w:val="26"/>
                <w:szCs w:val="26"/>
              </w:rPr>
            </w:pPr>
            <w:sdt>
              <w:sdtPr>
                <w:rPr>
                  <w:b/>
                  <w:bCs/>
                  <w:sz w:val="26"/>
                  <w:szCs w:val="26"/>
                  <w:rtl/>
                </w:rPr>
                <w:alias w:val="1184"/>
                <w:tag w:val="1184"/>
                <w:id w:val="-340621022"/>
                <w:text w:multiLine="1"/>
              </w:sdtPr>
              <w:sdtEndPr/>
              <w:sdtContent>
                <w:r w:rsidRPr="00A368DB" w:rsidR="00B95A71">
                  <w:rPr>
                    <w:rFonts w:ascii="Arial" w:hAnsi="Arial"/>
                    <w:b/>
                    <w:bCs/>
                    <w:noProof w:val="0"/>
                    <w:sz w:val="26"/>
                    <w:szCs w:val="26"/>
                    <w:rtl/>
                  </w:rPr>
                  <w:t>משיב</w:t>
                </w:r>
              </w:sdtContent>
            </w:sdt>
          </w:p>
        </w:tc>
        <w:tc>
          <w:tcPr>
            <w:tcW w:w="5571" w:type="dxa"/>
          </w:tcPr>
          <w:p w:rsidRPr="00A368DB" w:rsidR="0094424E" w:rsidRDefault="0094424E">
            <w:pPr>
              <w:rPr>
                <w:rFonts w:ascii="Arial" w:hAnsi="Arial"/>
                <w:b/>
                <w:bCs/>
                <w:noProof w:val="0"/>
                <w:sz w:val="26"/>
                <w:szCs w:val="26"/>
                <w:rtl/>
              </w:rPr>
            </w:pPr>
          </w:p>
          <w:p w:rsidRPr="00A368DB" w:rsidR="003763AB" w:rsidRDefault="009F3149">
            <w:pPr>
              <w:rPr>
                <w:b/>
                <w:bCs/>
                <w:sz w:val="26"/>
                <w:szCs w:val="26"/>
                <w:rtl/>
              </w:rPr>
            </w:pPr>
            <w:sdt>
              <w:sdtPr>
                <w:rPr>
                  <w:b/>
                  <w:bCs/>
                  <w:sz w:val="26"/>
                  <w:szCs w:val="26"/>
                  <w:rtl/>
                </w:rPr>
                <w:alias w:val="1486"/>
                <w:tag w:val="1486"/>
                <w:id w:val="-309872140"/>
                <w:text w:multiLine="1"/>
              </w:sdtPr>
              <w:sdtEndPr/>
              <w:sdtContent>
                <w:r w:rsidRPr="00A368DB" w:rsidR="00B95A71">
                  <w:rPr>
                    <w:rFonts w:ascii="Arial" w:hAnsi="Arial"/>
                    <w:b/>
                    <w:bCs/>
                    <w:noProof w:val="0"/>
                    <w:sz w:val="26"/>
                    <w:szCs w:val="26"/>
                    <w:rtl/>
                  </w:rPr>
                  <w:t>חן משיח</w:t>
                </w:r>
              </w:sdtContent>
            </w:sdt>
          </w:p>
          <w:p w:rsidRPr="00A368DB" w:rsidR="0094424E" w:rsidRDefault="001D3441">
            <w:pPr>
              <w:rPr>
                <w:b/>
                <w:bCs/>
                <w:noProof w:val="0"/>
                <w:sz w:val="26"/>
                <w:szCs w:val="26"/>
                <w:rtl/>
              </w:rPr>
            </w:pPr>
            <w:r w:rsidRPr="00A368DB">
              <w:rPr>
                <w:rFonts w:hint="cs"/>
                <w:b/>
                <w:bCs/>
                <w:sz w:val="26"/>
                <w:szCs w:val="26"/>
                <w:rtl/>
              </w:rPr>
              <w:t>ע"י ב"כ עו"ד</w:t>
            </w:r>
            <w:r w:rsidRPr="00A368DB" w:rsidR="00B53E9C">
              <w:rPr>
                <w:rFonts w:hint="cs"/>
                <w:b/>
                <w:bCs/>
                <w:noProof w:val="0"/>
                <w:sz w:val="26"/>
                <w:szCs w:val="26"/>
                <w:rtl/>
              </w:rPr>
              <w:t xml:space="preserve"> גיל לוי</w:t>
            </w:r>
          </w:p>
        </w:tc>
      </w:tr>
      <w:tr w:rsidRPr="00A368DB" w:rsidR="004C17EE" w:rsidTr="00D620FD">
        <w:trPr>
          <w:jc w:val="center"/>
        </w:trPr>
        <w:tc>
          <w:tcPr>
            <w:tcW w:w="8820" w:type="dxa"/>
            <w:gridSpan w:val="3"/>
          </w:tcPr>
          <w:p w:rsidRPr="00A368DB" w:rsidR="00BD3475" w:rsidRDefault="00BD3475">
            <w:pPr>
              <w:rPr>
                <w:rFonts w:ascii="Arial" w:hAnsi="Arial"/>
                <w:b/>
                <w:bCs/>
                <w:noProof w:val="0"/>
                <w:sz w:val="26"/>
                <w:szCs w:val="26"/>
                <w:rtl/>
              </w:rPr>
            </w:pPr>
          </w:p>
        </w:tc>
      </w:tr>
    </w:tbl>
    <w:p w:rsidRPr="00A368DB" w:rsidR="00E31C2B" w:rsidP="006D3B31" w:rsidRDefault="00E31C2B">
      <w:pPr>
        <w:suppressLineNumbers/>
        <w:rPr>
          <w:sz w:val="26"/>
          <w:szCs w:val="26"/>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A368DB" w:rsidR="00694556">
        <w:trPr>
          <w:jc w:val="center"/>
        </w:trPr>
        <w:tc>
          <w:tcPr>
            <w:tcW w:w="8820" w:type="dxa"/>
          </w:tcPr>
          <w:p w:rsidRPr="00A368DB" w:rsidR="00694556" w:rsidRDefault="00180519">
            <w:pPr>
              <w:bidi w:val="0"/>
              <w:jc w:val="center"/>
              <w:rPr>
                <w:rFonts w:ascii="Arial" w:hAnsi="Arial"/>
                <w:b/>
                <w:bCs/>
                <w:noProof w:val="0"/>
                <w:sz w:val="26"/>
                <w:szCs w:val="26"/>
                <w:u w:val="single"/>
              </w:rPr>
            </w:pPr>
            <w:r w:rsidRPr="00A368DB">
              <w:rPr>
                <w:rFonts w:hint="cs" w:ascii="Arial" w:hAnsi="Arial"/>
                <w:b/>
                <w:bCs/>
                <w:noProof w:val="0"/>
                <w:sz w:val="32"/>
                <w:szCs w:val="32"/>
                <w:u w:val="single"/>
                <w:rtl/>
              </w:rPr>
              <w:t>החלטה</w:t>
            </w:r>
          </w:p>
        </w:tc>
      </w:tr>
    </w:tbl>
    <w:p w:rsidRPr="00A368DB" w:rsidR="00694556" w:rsidRDefault="00694556">
      <w:pPr>
        <w:spacing w:line="360" w:lineRule="auto"/>
        <w:jc w:val="both"/>
        <w:rPr>
          <w:rFonts w:ascii="Arial" w:hAnsi="Arial"/>
          <w:noProof w:val="0"/>
          <w:sz w:val="26"/>
          <w:szCs w:val="26"/>
          <w:rtl/>
        </w:rPr>
      </w:pPr>
      <w:bookmarkStart w:name="NGCSBookmark" w:id="1"/>
      <w:bookmarkEnd w:id="1"/>
    </w:p>
    <w:p w:rsidRPr="00A368DB" w:rsidR="009957AA" w:rsidRDefault="009957AA">
      <w:pPr>
        <w:spacing w:line="360" w:lineRule="auto"/>
        <w:jc w:val="both"/>
        <w:rPr>
          <w:rFonts w:ascii="Arial" w:hAnsi="Arial"/>
          <w:noProof w:val="0"/>
          <w:sz w:val="26"/>
          <w:szCs w:val="26"/>
          <w:rtl/>
        </w:rPr>
      </w:pPr>
      <w:r w:rsidRPr="00A368DB">
        <w:rPr>
          <w:rFonts w:hint="cs" w:ascii="Arial" w:hAnsi="Arial"/>
          <w:noProof w:val="0"/>
          <w:sz w:val="26"/>
          <w:szCs w:val="26"/>
          <w:rtl/>
        </w:rPr>
        <w:t xml:space="preserve">בקשה </w:t>
      </w:r>
      <w:r w:rsidRPr="00A368DB" w:rsidR="00205BF0">
        <w:rPr>
          <w:rFonts w:hint="cs" w:ascii="Arial" w:hAnsi="Arial"/>
          <w:noProof w:val="0"/>
          <w:sz w:val="26"/>
          <w:szCs w:val="26"/>
          <w:rtl/>
        </w:rPr>
        <w:t xml:space="preserve">לעיכוב ביצוע פסק דין (ת.א. 5288-10-16) של בית משפט השלום בת"א מיום 18.2.18). </w:t>
      </w:r>
    </w:p>
    <w:p w:rsidRPr="00A368DB" w:rsidR="009957AA" w:rsidP="00DE7172" w:rsidRDefault="009957AA">
      <w:pPr>
        <w:spacing w:line="360" w:lineRule="auto"/>
        <w:jc w:val="both"/>
        <w:rPr>
          <w:rFonts w:ascii="Arial" w:hAnsi="Arial"/>
          <w:noProof w:val="0"/>
          <w:sz w:val="26"/>
          <w:szCs w:val="26"/>
          <w:rtl/>
        </w:rPr>
      </w:pPr>
      <w:r w:rsidRPr="00A368DB">
        <w:rPr>
          <w:rFonts w:hint="cs" w:ascii="Arial" w:hAnsi="Arial"/>
          <w:noProof w:val="0"/>
          <w:sz w:val="26"/>
          <w:szCs w:val="26"/>
          <w:rtl/>
        </w:rPr>
        <w:t>הצדדים התקשרו בהסכם למכירת דירה. בהמשך התגלעו בין הצדדים מחלוקות בגינן הוגשו תביעות הדדיות. במסגרת ההליכים דנן נכרת בין הצדדים הסכם גישור שבסיומו הגיעו הצדדים להסכם פשרה, אשר כלל תשלומים של המערער למשיב ו</w:t>
      </w:r>
      <w:r w:rsidRPr="00A368DB" w:rsidR="00DE7172">
        <w:rPr>
          <w:rFonts w:hint="cs" w:ascii="Arial" w:hAnsi="Arial"/>
          <w:noProof w:val="0"/>
          <w:sz w:val="26"/>
          <w:szCs w:val="26"/>
          <w:rtl/>
        </w:rPr>
        <w:t>כ</w:t>
      </w:r>
      <w:r w:rsidRPr="00A368DB">
        <w:rPr>
          <w:rFonts w:hint="cs" w:ascii="Arial" w:hAnsi="Arial"/>
          <w:noProof w:val="0"/>
          <w:sz w:val="26"/>
          <w:szCs w:val="26"/>
          <w:rtl/>
        </w:rPr>
        <w:t>ן התחייבות למסירת הדירה.</w:t>
      </w:r>
    </w:p>
    <w:p w:rsidRPr="00A368DB" w:rsidR="009957AA" w:rsidRDefault="009957AA">
      <w:pPr>
        <w:spacing w:line="360" w:lineRule="auto"/>
        <w:jc w:val="both"/>
        <w:rPr>
          <w:rFonts w:ascii="Arial" w:hAnsi="Arial"/>
          <w:noProof w:val="0"/>
          <w:sz w:val="26"/>
          <w:szCs w:val="26"/>
          <w:rtl/>
        </w:rPr>
      </w:pPr>
      <w:r w:rsidRPr="00A368DB">
        <w:rPr>
          <w:rFonts w:hint="cs" w:ascii="Arial" w:hAnsi="Arial"/>
          <w:noProof w:val="0"/>
          <w:sz w:val="26"/>
          <w:szCs w:val="26"/>
          <w:rtl/>
        </w:rPr>
        <w:t xml:space="preserve">התביעה נשוא הערעור שלפני </w:t>
      </w:r>
      <w:r w:rsidRPr="00A368DB" w:rsidR="00AE4D57">
        <w:rPr>
          <w:rFonts w:hint="cs" w:ascii="Arial" w:hAnsi="Arial"/>
          <w:noProof w:val="0"/>
          <w:sz w:val="26"/>
          <w:szCs w:val="26"/>
          <w:rtl/>
        </w:rPr>
        <w:t xml:space="preserve">הוגשה מאחר שעל הדירה רבצה משכנתא, שלא הוסרה עובר למסירתה. </w:t>
      </w:r>
    </w:p>
    <w:p w:rsidRPr="00A368DB" w:rsidR="00AE4D57" w:rsidRDefault="00AE4D57">
      <w:pPr>
        <w:spacing w:line="360" w:lineRule="auto"/>
        <w:jc w:val="both"/>
        <w:rPr>
          <w:rFonts w:ascii="Arial" w:hAnsi="Arial"/>
          <w:noProof w:val="0"/>
          <w:sz w:val="26"/>
          <w:szCs w:val="26"/>
          <w:rtl/>
        </w:rPr>
      </w:pPr>
      <w:r w:rsidRPr="00A368DB">
        <w:rPr>
          <w:rFonts w:hint="cs" w:ascii="Arial" w:hAnsi="Arial"/>
          <w:noProof w:val="0"/>
          <w:sz w:val="26"/>
          <w:szCs w:val="26"/>
          <w:rtl/>
        </w:rPr>
        <w:t xml:space="preserve">בכתב התביעה נכללו שני סעדים. הראשון הסרת המשכנתא והשני תשלום הפיצוי המוסכם על פי חוזה המכר. </w:t>
      </w:r>
    </w:p>
    <w:p w:rsidRPr="00A368DB" w:rsidR="00AE4D57" w:rsidRDefault="00AE4D57">
      <w:pPr>
        <w:spacing w:line="360" w:lineRule="auto"/>
        <w:jc w:val="both"/>
        <w:rPr>
          <w:rFonts w:ascii="Arial" w:hAnsi="Arial"/>
          <w:noProof w:val="0"/>
          <w:sz w:val="26"/>
          <w:szCs w:val="26"/>
          <w:rtl/>
        </w:rPr>
      </w:pPr>
      <w:r w:rsidRPr="00A368DB">
        <w:rPr>
          <w:rFonts w:hint="cs" w:ascii="Arial" w:hAnsi="Arial"/>
          <w:noProof w:val="0"/>
          <w:sz w:val="26"/>
          <w:szCs w:val="26"/>
          <w:rtl/>
        </w:rPr>
        <w:t xml:space="preserve">המערער טען בפני כב' השופטת קמא כי, בהסכם הגישור נבלעו כל עילות התביעה של המשיב וטענתו נדחתה. </w:t>
      </w:r>
    </w:p>
    <w:p w:rsidRPr="00A368DB" w:rsidR="00AE4D57" w:rsidRDefault="00AE4D57">
      <w:pPr>
        <w:spacing w:line="360" w:lineRule="auto"/>
        <w:jc w:val="both"/>
        <w:rPr>
          <w:rFonts w:ascii="Arial" w:hAnsi="Arial"/>
          <w:noProof w:val="0"/>
          <w:sz w:val="26"/>
          <w:szCs w:val="26"/>
          <w:rtl/>
        </w:rPr>
      </w:pPr>
      <w:r w:rsidRPr="00A368DB">
        <w:rPr>
          <w:rFonts w:hint="cs" w:ascii="Arial" w:hAnsi="Arial"/>
          <w:noProof w:val="0"/>
          <w:sz w:val="26"/>
          <w:szCs w:val="26"/>
          <w:rtl/>
        </w:rPr>
        <w:t xml:space="preserve">בבקשתו לעיכוב </w:t>
      </w:r>
      <w:r w:rsidRPr="00A368DB" w:rsidR="00DE7172">
        <w:rPr>
          <w:rFonts w:hint="cs" w:ascii="Arial" w:hAnsi="Arial"/>
          <w:noProof w:val="0"/>
          <w:sz w:val="26"/>
          <w:szCs w:val="26"/>
          <w:rtl/>
        </w:rPr>
        <w:t>ב</w:t>
      </w:r>
      <w:r w:rsidRPr="00A368DB">
        <w:rPr>
          <w:rFonts w:hint="cs" w:ascii="Arial" w:hAnsi="Arial"/>
          <w:noProof w:val="0"/>
          <w:sz w:val="26"/>
          <w:szCs w:val="26"/>
          <w:rtl/>
        </w:rPr>
        <w:t>יצוע פסק הדין, לפיו חוייב בהסרת המשכנתא ותשלום הפיצוי המוסכם, טען המערער כי, סיכויי הערעור טובים, וזאת בשל משגה משפטי אשר בגינו חוייב בתשלום הפיצוי המוסכם.</w:t>
      </w:r>
    </w:p>
    <w:p w:rsidRPr="00A368DB" w:rsidR="00AE4D57" w:rsidP="00DE7172" w:rsidRDefault="00AE4D57">
      <w:pPr>
        <w:spacing w:line="360" w:lineRule="auto"/>
        <w:jc w:val="both"/>
        <w:rPr>
          <w:rFonts w:ascii="Arial" w:hAnsi="Arial"/>
          <w:noProof w:val="0"/>
          <w:sz w:val="26"/>
          <w:szCs w:val="26"/>
          <w:rtl/>
        </w:rPr>
      </w:pPr>
      <w:r w:rsidRPr="00A368DB">
        <w:rPr>
          <w:rFonts w:hint="cs" w:ascii="Arial" w:hAnsi="Arial"/>
          <w:noProof w:val="0"/>
          <w:sz w:val="26"/>
          <w:szCs w:val="26"/>
          <w:rtl/>
        </w:rPr>
        <w:t xml:space="preserve">עיינתי </w:t>
      </w:r>
      <w:r w:rsidRPr="00A368DB" w:rsidR="00E3740A">
        <w:rPr>
          <w:rFonts w:hint="cs" w:ascii="Arial" w:hAnsi="Arial"/>
          <w:noProof w:val="0"/>
          <w:sz w:val="26"/>
          <w:szCs w:val="26"/>
          <w:rtl/>
        </w:rPr>
        <w:t>בפסק הדין ובטיעוני ב"כ הצדדים, ונראה לכאורה כי, שאלת הפיצוי המוסכם טעונה בירור, וזאת לנוכח העובדה שבתביעתו בת.א. 18409-10-15 כלל המשיב את רכיב הפיצוי המוסכם שבחוזה המכר. מכיוון שההסכם ש</w:t>
      </w:r>
      <w:r w:rsidRPr="00A368DB" w:rsidR="00DE7172">
        <w:rPr>
          <w:rFonts w:hint="cs" w:ascii="Arial" w:hAnsi="Arial"/>
          <w:noProof w:val="0"/>
          <w:sz w:val="26"/>
          <w:szCs w:val="26"/>
          <w:rtl/>
        </w:rPr>
        <w:t xml:space="preserve">גובש </w:t>
      </w:r>
      <w:r w:rsidRPr="00A368DB" w:rsidR="00E3740A">
        <w:rPr>
          <w:rFonts w:hint="cs" w:ascii="Arial" w:hAnsi="Arial"/>
          <w:noProof w:val="0"/>
          <w:sz w:val="26"/>
          <w:szCs w:val="26"/>
          <w:rtl/>
        </w:rPr>
        <w:t xml:space="preserve">לאחר הליך הגישור כלל פיצוי כספי, נשאלת השאלה האם רשאי היה המשיב לשוב ולתבוע את הפיצוי המוסכם על פי החוזה, וזאת בשונה מהסעד של הסרת המשכנתא. </w:t>
      </w:r>
    </w:p>
    <w:p w:rsidRPr="00A368DB" w:rsidR="00E3740A" w:rsidP="00DE7172" w:rsidRDefault="00E3740A">
      <w:pPr>
        <w:spacing w:line="360" w:lineRule="auto"/>
        <w:jc w:val="both"/>
        <w:rPr>
          <w:rFonts w:ascii="Arial" w:hAnsi="Arial"/>
          <w:noProof w:val="0"/>
          <w:sz w:val="26"/>
          <w:szCs w:val="26"/>
          <w:rtl/>
        </w:rPr>
      </w:pPr>
      <w:r w:rsidRPr="00A368DB">
        <w:rPr>
          <w:rFonts w:hint="cs" w:ascii="Arial" w:hAnsi="Arial"/>
          <w:noProof w:val="0"/>
          <w:sz w:val="26"/>
          <w:szCs w:val="26"/>
          <w:rtl/>
        </w:rPr>
        <w:lastRenderedPageBreak/>
        <w:t xml:space="preserve">באשר למאזן הנוחות, מקובלת עלי עמדתו של ב"כ המשיב לפיה הטענה כי השהייה קצרת מועד של ביצוע פסק הדין לא </w:t>
      </w:r>
      <w:r w:rsidRPr="00A368DB" w:rsidR="00DE7172">
        <w:rPr>
          <w:rFonts w:hint="cs" w:ascii="Arial" w:hAnsi="Arial"/>
          <w:noProof w:val="0"/>
          <w:sz w:val="26"/>
          <w:szCs w:val="26"/>
          <w:rtl/>
        </w:rPr>
        <w:t>ת</w:t>
      </w:r>
      <w:r w:rsidRPr="00A368DB">
        <w:rPr>
          <w:rFonts w:hint="cs" w:ascii="Arial" w:hAnsi="Arial"/>
          <w:noProof w:val="0"/>
          <w:sz w:val="26"/>
          <w:szCs w:val="26"/>
          <w:rtl/>
        </w:rPr>
        <w:t>גרום למשיב נזק הינה טענה</w:t>
      </w:r>
      <w:r w:rsidRPr="00A368DB" w:rsidR="00A57CE4">
        <w:rPr>
          <w:rFonts w:hint="cs" w:ascii="Arial" w:hAnsi="Arial"/>
          <w:noProof w:val="0"/>
          <w:sz w:val="26"/>
          <w:szCs w:val="26"/>
          <w:rtl/>
        </w:rPr>
        <w:t xml:space="preserve"> סתמית ובלתי מגובה בראיות.</w:t>
      </w:r>
    </w:p>
    <w:p w:rsidRPr="00A368DB" w:rsidR="00A57CE4" w:rsidP="00E3740A" w:rsidRDefault="00A57CE4">
      <w:pPr>
        <w:spacing w:line="360" w:lineRule="auto"/>
        <w:jc w:val="both"/>
        <w:rPr>
          <w:rFonts w:ascii="Arial" w:hAnsi="Arial"/>
          <w:noProof w:val="0"/>
          <w:sz w:val="26"/>
          <w:szCs w:val="26"/>
          <w:rtl/>
        </w:rPr>
      </w:pPr>
      <w:r w:rsidRPr="00A368DB">
        <w:rPr>
          <w:rFonts w:hint="cs" w:ascii="Arial" w:hAnsi="Arial"/>
          <w:noProof w:val="0"/>
          <w:sz w:val="26"/>
          <w:szCs w:val="26"/>
          <w:rtl/>
        </w:rPr>
        <w:t xml:space="preserve">אולם, בחינת סיכויי הערעור מול מאזן הנוחות מטים את הכף לטובת </w:t>
      </w:r>
      <w:r w:rsidRPr="00A368DB" w:rsidR="00B53E9C">
        <w:rPr>
          <w:rFonts w:hint="cs" w:ascii="Arial" w:hAnsi="Arial"/>
          <w:noProof w:val="0"/>
          <w:sz w:val="26"/>
          <w:szCs w:val="26"/>
          <w:rtl/>
        </w:rPr>
        <w:t>עיכוב ביצוע חלקו הכספי של פסק הדין, דהיינו, הפיצוי המוסכם.</w:t>
      </w:r>
    </w:p>
    <w:p w:rsidRPr="00A368DB" w:rsidR="00B53E9C" w:rsidP="00E3740A" w:rsidRDefault="00B53E9C">
      <w:pPr>
        <w:spacing w:line="360" w:lineRule="auto"/>
        <w:jc w:val="both"/>
        <w:rPr>
          <w:rFonts w:ascii="Arial" w:hAnsi="Arial"/>
          <w:noProof w:val="0"/>
          <w:sz w:val="26"/>
          <w:szCs w:val="26"/>
          <w:rtl/>
        </w:rPr>
      </w:pPr>
    </w:p>
    <w:p w:rsidRPr="00A368DB" w:rsidR="00B53E9C" w:rsidP="00B53E9C" w:rsidRDefault="00B53E9C">
      <w:pPr>
        <w:spacing w:line="360" w:lineRule="auto"/>
        <w:jc w:val="both"/>
        <w:rPr>
          <w:rFonts w:ascii="Arial" w:hAnsi="Arial"/>
          <w:noProof w:val="0"/>
          <w:sz w:val="26"/>
          <w:szCs w:val="26"/>
          <w:rtl/>
        </w:rPr>
      </w:pPr>
      <w:r w:rsidRPr="00A368DB">
        <w:rPr>
          <w:rFonts w:hint="cs" w:ascii="Arial" w:hAnsi="Arial"/>
          <w:noProof w:val="0"/>
          <w:sz w:val="26"/>
          <w:szCs w:val="26"/>
          <w:rtl/>
        </w:rPr>
        <w:t>אשר על כן, אני מורה על עיכוב ביצוע התשלום של 126,561 ₪</w:t>
      </w:r>
      <w:r w:rsidR="00A368DB">
        <w:rPr>
          <w:rFonts w:hint="cs" w:ascii="Arial" w:hAnsi="Arial"/>
          <w:noProof w:val="0"/>
          <w:sz w:val="26"/>
          <w:szCs w:val="26"/>
          <w:rtl/>
        </w:rPr>
        <w:t xml:space="preserve"> עד למתן פסק הדין בערעור</w:t>
      </w:r>
      <w:r w:rsidRPr="00A368DB">
        <w:rPr>
          <w:rFonts w:hint="cs" w:ascii="Arial" w:hAnsi="Arial"/>
          <w:noProof w:val="0"/>
          <w:sz w:val="26"/>
          <w:szCs w:val="26"/>
          <w:rtl/>
        </w:rPr>
        <w:t>.</w:t>
      </w:r>
    </w:p>
    <w:p w:rsidR="00B53E9C" w:rsidP="00B53E9C" w:rsidRDefault="00B53E9C">
      <w:pPr>
        <w:spacing w:line="360" w:lineRule="auto"/>
        <w:jc w:val="both"/>
        <w:rPr>
          <w:rFonts w:ascii="Arial" w:hAnsi="Arial"/>
          <w:noProof w:val="0"/>
          <w:sz w:val="26"/>
          <w:szCs w:val="26"/>
          <w:rtl/>
        </w:rPr>
      </w:pPr>
      <w:r w:rsidRPr="00A368DB">
        <w:rPr>
          <w:rFonts w:hint="cs" w:ascii="Arial" w:hAnsi="Arial"/>
          <w:noProof w:val="0"/>
          <w:sz w:val="26"/>
          <w:szCs w:val="26"/>
          <w:rtl/>
        </w:rPr>
        <w:t xml:space="preserve">לא מצאתי לנכון לעכב ביצוע תשלום ההוצאות להן זכאי המשיב בהמשך לקבלת תביעתו להסרת המשכנתא. </w:t>
      </w:r>
    </w:p>
    <w:p w:rsidRPr="00A368DB" w:rsidR="00A368DB" w:rsidP="00B53E9C" w:rsidRDefault="00A368DB">
      <w:pPr>
        <w:spacing w:line="360" w:lineRule="auto"/>
        <w:jc w:val="both"/>
        <w:rPr>
          <w:rFonts w:ascii="Arial" w:hAnsi="Arial"/>
          <w:noProof w:val="0"/>
          <w:sz w:val="26"/>
          <w:szCs w:val="26"/>
          <w:rtl/>
        </w:rPr>
      </w:pPr>
      <w:r>
        <w:rPr>
          <w:rFonts w:hint="cs" w:ascii="Arial" w:hAnsi="Arial"/>
          <w:noProof w:val="0"/>
          <w:sz w:val="26"/>
          <w:szCs w:val="26"/>
          <w:rtl/>
        </w:rPr>
        <w:t>על מנת להסיר ספק</w:t>
      </w:r>
      <w:r w:rsidR="00AC4254">
        <w:rPr>
          <w:rFonts w:hint="cs" w:ascii="Arial" w:hAnsi="Arial"/>
          <w:noProof w:val="0"/>
          <w:sz w:val="26"/>
          <w:szCs w:val="26"/>
          <w:rtl/>
        </w:rPr>
        <w:t xml:space="preserve">, אני מבהירה כי, עיכוב הביצוע </w:t>
      </w:r>
      <w:r w:rsidR="00674B45">
        <w:rPr>
          <w:rFonts w:hint="cs" w:ascii="Arial" w:hAnsi="Arial"/>
          <w:noProof w:val="0"/>
          <w:sz w:val="26"/>
          <w:szCs w:val="26"/>
          <w:rtl/>
        </w:rPr>
        <w:t>אינו חל על חלקו האופרטיבי של פסק הדין המחייב הסרת המשכנתא.</w:t>
      </w:r>
    </w:p>
    <w:p w:rsidRPr="00A368DB" w:rsidR="00B53E9C" w:rsidP="00B53E9C" w:rsidRDefault="00B53E9C">
      <w:pPr>
        <w:spacing w:line="360" w:lineRule="auto"/>
        <w:jc w:val="both"/>
        <w:rPr>
          <w:rFonts w:ascii="Arial" w:hAnsi="Arial"/>
          <w:noProof w:val="0"/>
          <w:sz w:val="26"/>
          <w:szCs w:val="26"/>
          <w:rtl/>
        </w:rPr>
      </w:pPr>
    </w:p>
    <w:p w:rsidRPr="00A368DB" w:rsidR="00B53E9C" w:rsidP="00B53E9C" w:rsidRDefault="00B53E9C">
      <w:pPr>
        <w:spacing w:line="360" w:lineRule="auto"/>
        <w:jc w:val="both"/>
        <w:rPr>
          <w:rFonts w:ascii="Arial" w:hAnsi="Arial"/>
          <w:b/>
          <w:bCs/>
          <w:noProof w:val="0"/>
          <w:sz w:val="26"/>
          <w:szCs w:val="26"/>
          <w:u w:val="single"/>
          <w:rtl/>
        </w:rPr>
      </w:pPr>
      <w:r w:rsidRPr="00A368DB">
        <w:rPr>
          <w:rFonts w:hint="cs" w:ascii="Arial" w:hAnsi="Arial"/>
          <w:b/>
          <w:bCs/>
          <w:noProof w:val="0"/>
          <w:sz w:val="26"/>
          <w:szCs w:val="26"/>
          <w:u w:val="single"/>
          <w:rtl/>
        </w:rPr>
        <w:t>המזכירות תשלח העתק ההחלטה לב"כ הצדדים.</w:t>
      </w:r>
    </w:p>
    <w:p w:rsidRPr="00A368DB" w:rsidR="00B53E9C" w:rsidRDefault="00B53E9C">
      <w:pPr>
        <w:spacing w:line="360" w:lineRule="auto"/>
        <w:jc w:val="both"/>
        <w:rPr>
          <w:rFonts w:ascii="Arial" w:hAnsi="Arial"/>
          <w:noProof w:val="0"/>
          <w:sz w:val="26"/>
          <w:szCs w:val="26"/>
          <w:rtl/>
        </w:rPr>
      </w:pPr>
    </w:p>
    <w:p w:rsidRPr="00A368DB" w:rsidR="00694556" w:rsidRDefault="0043502B">
      <w:pPr>
        <w:spacing w:line="360" w:lineRule="auto"/>
        <w:jc w:val="both"/>
        <w:rPr>
          <w:rFonts w:ascii="Arial" w:hAnsi="Arial"/>
          <w:noProof w:val="0"/>
          <w:sz w:val="26"/>
          <w:szCs w:val="26"/>
          <w:rtl/>
        </w:rPr>
      </w:pPr>
      <w:r w:rsidRPr="00A368DB">
        <w:rPr>
          <w:rFonts w:ascii="Arial" w:hAnsi="Arial"/>
          <w:noProof w:val="0"/>
          <w:sz w:val="26"/>
          <w:szCs w:val="26"/>
          <w:rtl/>
        </w:rPr>
        <w:t>נית</w:t>
      </w:r>
      <w:r w:rsidRPr="00A368DB">
        <w:rPr>
          <w:rFonts w:hint="cs" w:ascii="Arial" w:hAnsi="Arial"/>
          <w:noProof w:val="0"/>
          <w:sz w:val="26"/>
          <w:szCs w:val="26"/>
          <w:rtl/>
        </w:rPr>
        <w:t>נה</w:t>
      </w:r>
      <w:r w:rsidRPr="00A368DB" w:rsidR="00005C8B">
        <w:rPr>
          <w:rFonts w:ascii="Arial" w:hAnsi="Arial"/>
          <w:noProof w:val="0"/>
          <w:sz w:val="26"/>
          <w:szCs w:val="26"/>
          <w:rtl/>
        </w:rPr>
        <w:t xml:space="preserve"> היום, </w:t>
      </w:r>
      <w:sdt>
        <w:sdtPr>
          <w:rPr>
            <w:sz w:val="26"/>
            <w:szCs w:val="26"/>
            <w:rtl/>
          </w:rPr>
          <w:alias w:val="1455"/>
          <w:tag w:val="1455"/>
          <w:id w:val="1666048407"/>
          <w:text w:multiLine="1"/>
        </w:sdtPr>
        <w:sdtEndPr/>
        <w:sdtContent>
          <w:r>
            <w:rPr>
              <w:rFonts w:ascii="Arial" w:hAnsi="Arial"/>
              <w:noProof w:val="0"/>
              <w:sz w:val="26"/>
              <w:szCs w:val="26"/>
              <w:rtl/>
            </w:rPr>
            <w:t>כ"ז ניסן תשע"ח</w:t>
          </w:r>
        </w:sdtContent>
      </w:sdt>
      <w:r w:rsidRPr="00A368DB" w:rsidR="00005C8B">
        <w:rPr>
          <w:rFonts w:ascii="Arial" w:hAnsi="Arial"/>
          <w:noProof w:val="0"/>
          <w:sz w:val="26"/>
          <w:szCs w:val="26"/>
          <w:rtl/>
        </w:rPr>
        <w:t xml:space="preserve">, </w:t>
      </w:r>
      <w:sdt>
        <w:sdtPr>
          <w:rPr>
            <w:sz w:val="26"/>
            <w:szCs w:val="26"/>
            <w:rtl/>
          </w:rPr>
          <w:alias w:val="1456"/>
          <w:tag w:val="1456"/>
          <w:id w:val="-1186288958"/>
          <w:text w:multiLine="1"/>
        </w:sdtPr>
        <w:sdtEndPr/>
        <w:sdtContent>
          <w:r>
            <w:rPr>
              <w:rFonts w:ascii="Arial" w:hAnsi="Arial"/>
              <w:noProof w:val="0"/>
              <w:sz w:val="26"/>
              <w:szCs w:val="26"/>
              <w:rtl/>
            </w:rPr>
            <w:t>12 אפריל 2018</w:t>
          </w:r>
        </w:sdtContent>
      </w:sdt>
      <w:r w:rsidRPr="00A368DB" w:rsidR="00005C8B">
        <w:rPr>
          <w:rFonts w:ascii="Arial" w:hAnsi="Arial"/>
          <w:noProof w:val="0"/>
          <w:sz w:val="26"/>
          <w:szCs w:val="26"/>
          <w:rtl/>
        </w:rPr>
        <w:t>, בהעדר הצדדים.</w:t>
      </w:r>
    </w:p>
    <w:p w:rsidRPr="00A368DB" w:rsidR="00C43648" w:rsidP="00BD6531" w:rsidRDefault="009F3149">
      <w:pPr>
        <w:tabs>
          <w:tab w:val="left" w:pos="2553"/>
        </w:tabs>
        <w:ind w:left="5040"/>
        <w:rPr>
          <w:sz w:val="26"/>
          <w:szCs w:val="26"/>
          <w:rtl/>
        </w:rPr>
      </w:pPr>
      <w:sdt>
        <w:sdtPr>
          <w:rPr>
            <w:rFonts w:hint="cs"/>
            <w:sz w:val="26"/>
            <w:szCs w:val="26"/>
            <w:rtl/>
          </w:rPr>
          <w:alias w:val="2045"/>
          <w:tag w:val="2045"/>
          <w:id w:val="740689340"/>
          <w:placeholder>
            <w:docPart w:val="E460D38E05664FF79D4EFF282EF8EC99"/>
          </w:placeholder>
          <w:showingPlcHdr/>
          <w:text w:multiLine="1"/>
        </w:sdtPr>
        <w:sdtEndPr/>
        <w:sdtContent>
          <w:r w:rsidRPr="00A368DB" w:rsidR="00C43648">
            <w:rPr>
              <w:rFonts w:hint="cs"/>
              <w:sz w:val="26"/>
              <w:szCs w:val="26"/>
              <w:rtl/>
            </w:rPr>
            <w:t xml:space="preserve">     </w:t>
          </w:r>
        </w:sdtContent>
      </w:sdt>
    </w:p>
    <w:p w:rsidRPr="00A368DB" w:rsidR="00694556" w:rsidP="00BD6531" w:rsidRDefault="00BD6531">
      <w:pPr>
        <w:tabs>
          <w:tab w:val="left" w:pos="2553"/>
        </w:tabs>
        <w:rPr>
          <w:rFonts w:ascii="Arial" w:hAnsi="Arial"/>
          <w:noProof w:val="0"/>
          <w:sz w:val="26"/>
          <w:szCs w:val="26"/>
          <w:rtl/>
        </w:rPr>
      </w:pPr>
      <w:r w:rsidRPr="00A368DB">
        <w:rPr>
          <w:rFonts w:hint="cs"/>
          <w:sz w:val="26"/>
          <w:szCs w:val="26"/>
          <w:rtl/>
        </w:rPr>
        <w:tab/>
      </w:r>
      <w:r w:rsidRPr="00A368DB">
        <w:rPr>
          <w:rFonts w:hint="cs"/>
          <w:sz w:val="26"/>
          <w:szCs w:val="26"/>
          <w:rtl/>
        </w:rPr>
        <w:tab/>
      </w:r>
      <w:r w:rsidRPr="00A368DB">
        <w:rPr>
          <w:rFonts w:hint="cs"/>
          <w:sz w:val="26"/>
          <w:szCs w:val="26"/>
          <w:rtl/>
        </w:rPr>
        <w:tab/>
      </w:r>
      <w:r w:rsidRPr="00A368DB">
        <w:rPr>
          <w:rFonts w:hint="cs"/>
          <w:sz w:val="26"/>
          <w:szCs w:val="26"/>
          <w:rtl/>
        </w:rPr>
        <w:tab/>
        <w:t xml:space="preserve">        </w:t>
      </w:r>
      <w:sdt>
        <w:sdtPr>
          <w:alias w:val="MergeField"/>
          <w:tag w:val="1237"/>
        </w:sdtPr>
        <w:sdtContent>
          <w:p>
            <w:r>
              <w:drawing>
                <wp:inline distT="0" distB="0" distL="0" distR="0" wp14:editId="50D07946">
                  <wp:extent cx="1647825"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0722f045cb2840cf" cstate="print">
                            <a:extLst>
                              <a:ext uri="{28A0092B-C50C-407E-A947-70E740481C1C}"/>
                            </a:extLst>
                          </a:blip>
                          <a:stretch>
                            <a:fillRect/>
                          </a:stretch>
                        </pic:blipFill>
                        <pic:spPr>
                          <a:xfrm>
                            <a:off x="0" y="0"/>
                            <a:ext cx="1647825" cy="666750"/>
                          </a:xfrm>
                          <a:prstGeom prst="rect">
                            <a:avLst/>
                          </a:prstGeom>
                        </pic:spPr>
                      </pic:pic>
                    </a:graphicData>
                  </a:graphic>
                </wp:inline>
              </w:drawing>
            </w:r>
          </w:p>
        </w:sdtContent>
      </w:sdt>
    </w:p>
    <w:sectPr w:rsidRPr="00A368DB" w:rsidR="00694556"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9F3149">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9F3149">
      <w:rPr>
        <w:rStyle w:val="ab"/>
        <w:rtl/>
      </w:rPr>
      <w:t>2</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B53E9C" w:rsidR="00694556" w:rsidRDefault="009F3149">
    <w:pPr>
      <w:pStyle w:val="a3"/>
      <w:jc w:val="center"/>
      <w:rPr>
        <w:rFonts w:cs="FrankRuehl"/>
        <w:noProof w:val="0"/>
        <w:rtl/>
      </w:rPr>
    </w:pPr>
    <w:r>
      <w:rPr>
        <w:rFonts w:cs="FrankRuehl"/>
        <w:rtl/>
      </w:rPr>
    </w:r>
    <w:r w:rsidRPr="00B53E9C" w:rsidR="00DC1259">
      <w:rPr>
        <w:rFonts w:cs="FrankRuehl"/>
      </w:rPr>
      <w:drawing>
        <wp:inline distT="0" distB="0" distL="0" distR="0" wp14:anchorId="5D3BA177" wp14:editId="53AE422C">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Pr="00B53E9C" w:rsidR="00694556" w:rsidTr="00B95A71">
      <w:trPr>
        <w:trHeight w:val="993" w:hRule="exact"/>
        <w:jc w:val="center"/>
      </w:trPr>
      <w:sdt>
        <w:sdtPr>
          <w:rPr>
            <w:rFonts w:ascii="Tahoma" w:hAnsi="Tahoma"/>
            <w:b/>
            <w:bCs/>
            <w:color w:val="000080"/>
            <w:rtl/>
          </w:rPr>
          <w:alias w:val="1174"/>
          <w:tag w:val="1174"/>
          <w:id w:val="-1585920285"/>
          <w:text w:multiLine="1"/>
        </w:sdtPr>
        <w:sdtEndPr/>
        <w:sdtContent>
          <w:tc>
            <w:tcPr>
              <w:tcW w:w="8721" w:type="dxa"/>
              <w:gridSpan w:val="2"/>
            </w:tcPr>
            <w:p w:rsidRPr="00B53E9C" w:rsidR="00694556" w:rsidP="003230C7" w:rsidRDefault="003D1C8C">
              <w:pPr>
                <w:pStyle w:val="a3"/>
                <w:jc w:val="center"/>
                <w:rPr>
                  <w:rFonts w:ascii="Tahoma" w:hAnsi="Tahoma"/>
                  <w:noProof w:val="0"/>
                  <w:color w:val="000080"/>
                  <w:rtl/>
                </w:rPr>
              </w:pPr>
              <w:r w:rsidRPr="00B53E9C">
                <w:rPr>
                  <w:rFonts w:ascii="Tahoma" w:hAnsi="Tahoma"/>
                  <w:b/>
                  <w:bCs/>
                  <w:color w:val="000080"/>
                  <w:rtl/>
                </w:rPr>
                <w:t>בית המשפט המחוזי בתל אביב - יפו בשבתו כבית-משפט לערעורים אזרחיים</w:t>
              </w:r>
            </w:p>
          </w:tc>
        </w:sdtContent>
      </w:sdt>
    </w:tr>
    <w:tr w:rsidRPr="00B53E9C" w:rsidR="00694556">
      <w:trPr>
        <w:trHeight w:val="337"/>
        <w:jc w:val="center"/>
      </w:trPr>
      <w:tc>
        <w:tcPr>
          <w:tcW w:w="5047" w:type="dxa"/>
        </w:tcPr>
        <w:p w:rsidRPr="00B53E9C" w:rsidR="00694556" w:rsidRDefault="00694556">
          <w:pPr>
            <w:rPr>
              <w:b/>
              <w:bCs/>
              <w:noProof w:val="0"/>
              <w:rtl/>
            </w:rPr>
          </w:pPr>
        </w:p>
      </w:tc>
      <w:tc>
        <w:tcPr>
          <w:tcW w:w="3674" w:type="dxa"/>
        </w:tcPr>
        <w:p w:rsidRPr="00B53E9C" w:rsidR="00694556" w:rsidRDefault="00694556">
          <w:pPr>
            <w:pStyle w:val="a3"/>
            <w:jc w:val="right"/>
            <w:rPr>
              <w:b/>
              <w:bCs/>
              <w:noProof w:val="0"/>
              <w:rtl/>
            </w:rPr>
          </w:pPr>
        </w:p>
      </w:tc>
    </w:tr>
    <w:tr w:rsidRPr="00B53E9C" w:rsidR="00694556">
      <w:trPr>
        <w:trHeight w:val="337"/>
        <w:jc w:val="center"/>
      </w:trPr>
      <w:tc>
        <w:tcPr>
          <w:tcW w:w="8721" w:type="dxa"/>
          <w:gridSpan w:val="2"/>
        </w:tcPr>
        <w:p w:rsidRPr="00B53E9C" w:rsidR="007D45E3" w:rsidP="007D45E3" w:rsidRDefault="009F3149">
          <w:pPr>
            <w:rPr>
              <w:b/>
              <w:bCs/>
              <w:noProof w:val="0"/>
              <w:rtl/>
            </w:rPr>
          </w:pPr>
          <w:sdt>
            <w:sdtPr>
              <w:rPr>
                <w:rtl/>
              </w:rPr>
              <w:alias w:val="1170"/>
              <w:tag w:val="1170"/>
              <w:id w:val="1066377040"/>
              <w:text w:multiLine="1"/>
            </w:sdtPr>
            <w:sdtEndPr/>
            <w:sdtContent>
              <w:r w:rsidRPr="00B53E9C" w:rsidR="00B95A71">
                <w:rPr>
                  <w:b/>
                  <w:bCs/>
                  <w:noProof w:val="0"/>
                  <w:rtl/>
                </w:rPr>
                <w:t>ע"א</w:t>
              </w:r>
            </w:sdtContent>
          </w:sdt>
          <w:r w:rsidRPr="00B53E9C" w:rsidR="00005C8B">
            <w:rPr>
              <w:b/>
              <w:bCs/>
              <w:noProof w:val="0"/>
              <w:rtl/>
            </w:rPr>
            <w:t xml:space="preserve"> </w:t>
          </w:r>
          <w:sdt>
            <w:sdtPr>
              <w:rPr>
                <w:rtl/>
              </w:rPr>
              <w:alias w:val="1171"/>
              <w:tag w:val="1171"/>
              <w:id w:val="257034231"/>
              <w:text w:multiLine="1"/>
            </w:sdtPr>
            <w:sdtEndPr/>
            <w:sdtContent>
              <w:r w:rsidRPr="00B53E9C" w:rsidR="00B95A71">
                <w:rPr>
                  <w:b/>
                  <w:bCs/>
                  <w:noProof w:val="0"/>
                  <w:rtl/>
                </w:rPr>
                <w:t>58978-03-18</w:t>
              </w:r>
            </w:sdtContent>
          </w:sdt>
          <w:r w:rsidRPr="00B53E9C" w:rsidR="00005C8B">
            <w:rPr>
              <w:b/>
              <w:bCs/>
              <w:noProof w:val="0"/>
              <w:rtl/>
            </w:rPr>
            <w:t xml:space="preserve"> </w:t>
          </w:r>
          <w:sdt>
            <w:sdtPr>
              <w:rPr>
                <w:rtl/>
              </w:rPr>
              <w:alias w:val="1172"/>
              <w:tag w:val="1172"/>
              <w:id w:val="-595170033"/>
              <w:text w:multiLine="1"/>
            </w:sdtPr>
            <w:sdtEndPr/>
            <w:sdtContent>
              <w:r w:rsidRPr="00B53E9C" w:rsidR="00B95A71">
                <w:rPr>
                  <w:b/>
                  <w:bCs/>
                  <w:noProof w:val="0"/>
                  <w:rtl/>
                </w:rPr>
                <w:t>ביטון נ' משיח</w:t>
              </w:r>
            </w:sdtContent>
          </w:sdt>
        </w:p>
        <w:p w:rsidRPr="00B53E9C" w:rsidR="007D45E3" w:rsidP="007D45E3" w:rsidRDefault="007D45E3">
          <w:pPr>
            <w:rPr>
              <w:b/>
              <w:bCs/>
              <w:noProof w:val="0"/>
              <w:rtl/>
            </w:rPr>
          </w:pPr>
        </w:p>
        <w:p w:rsidRPr="00B53E9C" w:rsidR="008D10B2" w:rsidP="009B4939" w:rsidRDefault="007D45E3">
          <w:pPr>
            <w:rPr>
              <w:rtl/>
            </w:rPr>
          </w:pPr>
          <w:r w:rsidRPr="00B53E9C">
            <w:rPr>
              <w:rFonts w:hint="cs"/>
              <w:rtl/>
            </w:rPr>
            <w:t xml:space="preserve">                                                                  </w:t>
          </w:r>
          <w:r w:rsidRPr="00B53E9C">
            <w:rPr>
              <w:rtl/>
            </w:rPr>
            <w:t xml:space="preserve"> </w:t>
          </w:r>
          <w:r w:rsidRPr="00B53E9C" w:rsidR="001173C6">
            <w:rPr>
              <w:rtl/>
            </w:rPr>
            <w:t xml:space="preserve"> </w:t>
          </w:r>
        </w:p>
      </w:tc>
    </w:tr>
  </w:tbl>
  <w:p w:rsidRPr="00B53E9C" w:rsidR="00694556" w:rsidRDefault="00694556">
    <w:pPr>
      <w:pStyle w:val="a3"/>
      <w:rPr>
        <w:noProof w:val="0"/>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91490"/>
    <o:shapelayout v:ext="edit">
      <o:idmap v:ext="edit" data="187"/>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539A"/>
    <w:rsid w:val="001367BC"/>
    <w:rsid w:val="00144D2A"/>
    <w:rsid w:val="0014653E"/>
    <w:rsid w:val="00180519"/>
    <w:rsid w:val="00191C82"/>
    <w:rsid w:val="001C3FD7"/>
    <w:rsid w:val="001C4003"/>
    <w:rsid w:val="001D3441"/>
    <w:rsid w:val="001D4DBF"/>
    <w:rsid w:val="001E75CA"/>
    <w:rsid w:val="00205BF0"/>
    <w:rsid w:val="002265FF"/>
    <w:rsid w:val="00271B56"/>
    <w:rsid w:val="00291593"/>
    <w:rsid w:val="002C344E"/>
    <w:rsid w:val="002E75E9"/>
    <w:rsid w:val="00307665"/>
    <w:rsid w:val="00307A6A"/>
    <w:rsid w:val="00307C40"/>
    <w:rsid w:val="00320433"/>
    <w:rsid w:val="003230C7"/>
    <w:rsid w:val="00327E50"/>
    <w:rsid w:val="0033597A"/>
    <w:rsid w:val="00343D89"/>
    <w:rsid w:val="00362612"/>
    <w:rsid w:val="0036743F"/>
    <w:rsid w:val="003715DD"/>
    <w:rsid w:val="003763AB"/>
    <w:rsid w:val="003823E0"/>
    <w:rsid w:val="003A4521"/>
    <w:rsid w:val="003D1C8C"/>
    <w:rsid w:val="0040096C"/>
    <w:rsid w:val="00414F1F"/>
    <w:rsid w:val="0043125D"/>
    <w:rsid w:val="0043502B"/>
    <w:rsid w:val="004443AC"/>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494A"/>
    <w:rsid w:val="00547DB7"/>
    <w:rsid w:val="005F4F09"/>
    <w:rsid w:val="0061431B"/>
    <w:rsid w:val="00617CEE"/>
    <w:rsid w:val="00622BAA"/>
    <w:rsid w:val="006306CF"/>
    <w:rsid w:val="00644E9A"/>
    <w:rsid w:val="00671BD5"/>
    <w:rsid w:val="00674B45"/>
    <w:rsid w:val="006805C1"/>
    <w:rsid w:val="00686C21"/>
    <w:rsid w:val="006931C1"/>
    <w:rsid w:val="00694556"/>
    <w:rsid w:val="006C30C5"/>
    <w:rsid w:val="006D3B31"/>
    <w:rsid w:val="006E0D96"/>
    <w:rsid w:val="006E1A53"/>
    <w:rsid w:val="006F56E6"/>
    <w:rsid w:val="00704EDA"/>
    <w:rsid w:val="00721122"/>
    <w:rsid w:val="00744B1C"/>
    <w:rsid w:val="00753019"/>
    <w:rsid w:val="00754801"/>
    <w:rsid w:val="00795365"/>
    <w:rsid w:val="007A351D"/>
    <w:rsid w:val="007B7765"/>
    <w:rsid w:val="007C5BDD"/>
    <w:rsid w:val="007D45E3"/>
    <w:rsid w:val="007E6115"/>
    <w:rsid w:val="007F4609"/>
    <w:rsid w:val="008176A1"/>
    <w:rsid w:val="00820005"/>
    <w:rsid w:val="00842C95"/>
    <w:rsid w:val="00844318"/>
    <w:rsid w:val="00863F5D"/>
    <w:rsid w:val="00870890"/>
    <w:rsid w:val="00873602"/>
    <w:rsid w:val="00875D12"/>
    <w:rsid w:val="008800CD"/>
    <w:rsid w:val="0088479D"/>
    <w:rsid w:val="00896889"/>
    <w:rsid w:val="008C5714"/>
    <w:rsid w:val="008D10B2"/>
    <w:rsid w:val="00903896"/>
    <w:rsid w:val="00906F3D"/>
    <w:rsid w:val="0094424E"/>
    <w:rsid w:val="00955642"/>
    <w:rsid w:val="009622DF"/>
    <w:rsid w:val="00967DFF"/>
    <w:rsid w:val="00970EB5"/>
    <w:rsid w:val="00994341"/>
    <w:rsid w:val="009957AA"/>
    <w:rsid w:val="009B4939"/>
    <w:rsid w:val="009D1A48"/>
    <w:rsid w:val="009E1CE7"/>
    <w:rsid w:val="009E4EA5"/>
    <w:rsid w:val="009F164B"/>
    <w:rsid w:val="009F3149"/>
    <w:rsid w:val="009F323C"/>
    <w:rsid w:val="00A3392B"/>
    <w:rsid w:val="00A368DB"/>
    <w:rsid w:val="00A57CE4"/>
    <w:rsid w:val="00A94B64"/>
    <w:rsid w:val="00AA3229"/>
    <w:rsid w:val="00AA7596"/>
    <w:rsid w:val="00AB5E52"/>
    <w:rsid w:val="00AC3B02"/>
    <w:rsid w:val="00AC3B7B"/>
    <w:rsid w:val="00AC4254"/>
    <w:rsid w:val="00AC5209"/>
    <w:rsid w:val="00AD00A6"/>
    <w:rsid w:val="00AE4D57"/>
    <w:rsid w:val="00AE729E"/>
    <w:rsid w:val="00AE7752"/>
    <w:rsid w:val="00AF7FDA"/>
    <w:rsid w:val="00B5356E"/>
    <w:rsid w:val="00B53E9C"/>
    <w:rsid w:val="00B809AD"/>
    <w:rsid w:val="00B80CBD"/>
    <w:rsid w:val="00B86096"/>
    <w:rsid w:val="00B95A71"/>
    <w:rsid w:val="00B964D9"/>
    <w:rsid w:val="00BA0A7C"/>
    <w:rsid w:val="00BA517C"/>
    <w:rsid w:val="00BB3D05"/>
    <w:rsid w:val="00BB73BE"/>
    <w:rsid w:val="00BC2D89"/>
    <w:rsid w:val="00BD3475"/>
    <w:rsid w:val="00BD6531"/>
    <w:rsid w:val="00BE05B2"/>
    <w:rsid w:val="00BF04F7"/>
    <w:rsid w:val="00BF1908"/>
    <w:rsid w:val="00BF7F3B"/>
    <w:rsid w:val="00C22D93"/>
    <w:rsid w:val="00C31120"/>
    <w:rsid w:val="00C34482"/>
    <w:rsid w:val="00C43648"/>
    <w:rsid w:val="00C50A9F"/>
    <w:rsid w:val="00C53EB8"/>
    <w:rsid w:val="00C642FA"/>
    <w:rsid w:val="00C65565"/>
    <w:rsid w:val="00CC7622"/>
    <w:rsid w:val="00CD608F"/>
    <w:rsid w:val="00D27982"/>
    <w:rsid w:val="00D33B86"/>
    <w:rsid w:val="00D53924"/>
    <w:rsid w:val="00D55D0C"/>
    <w:rsid w:val="00D627CF"/>
    <w:rsid w:val="00D7301B"/>
    <w:rsid w:val="00D74378"/>
    <w:rsid w:val="00D96D8C"/>
    <w:rsid w:val="00DA6649"/>
    <w:rsid w:val="00DC1259"/>
    <w:rsid w:val="00DC1BD2"/>
    <w:rsid w:val="00DC2571"/>
    <w:rsid w:val="00DC487C"/>
    <w:rsid w:val="00DE6BF6"/>
    <w:rsid w:val="00DE7172"/>
    <w:rsid w:val="00E1068A"/>
    <w:rsid w:val="00E25884"/>
    <w:rsid w:val="00E25B55"/>
    <w:rsid w:val="00E31C2B"/>
    <w:rsid w:val="00E37181"/>
    <w:rsid w:val="00E3740A"/>
    <w:rsid w:val="00E5426A"/>
    <w:rsid w:val="00E54642"/>
    <w:rsid w:val="00E80CBE"/>
    <w:rsid w:val="00E962E3"/>
    <w:rsid w:val="00EA0145"/>
    <w:rsid w:val="00EB6C79"/>
    <w:rsid w:val="00EC37E9"/>
    <w:rsid w:val="00F06995"/>
    <w:rsid w:val="00F13623"/>
    <w:rsid w:val="00F44D1D"/>
    <w:rsid w:val="00F84B6D"/>
    <w:rsid w:val="00FA4EAF"/>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91490"/>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0722f045cb2840cf"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3E1A82" w:rsidP="003E1A82">
          <w:pPr>
            <w:pStyle w:val="E460D38E05664FF79D4EFF282EF8EC9918"/>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2E734C"/>
    <w:rsid w:val="00334638"/>
    <w:rsid w:val="00345C9D"/>
    <w:rsid w:val="003E1A82"/>
    <w:rsid w:val="0048651F"/>
    <w:rsid w:val="00556D67"/>
    <w:rsid w:val="00793995"/>
    <w:rsid w:val="007C6F98"/>
    <w:rsid w:val="007E254A"/>
    <w:rsid w:val="008B4366"/>
    <w:rsid w:val="009133C7"/>
    <w:rsid w:val="009178E4"/>
    <w:rsid w:val="00961B27"/>
    <w:rsid w:val="00AA7CE3"/>
    <w:rsid w:val="00B91FA3"/>
    <w:rsid w:val="00C96C06"/>
    <w:rsid w:val="00E31BF6"/>
    <w:rsid w:val="00E81DB1"/>
    <w:rsid w:val="00F04DC1"/>
    <w:rsid w:val="00F4674E"/>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E1A82"/>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334638"/>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334638"/>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334638"/>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334638"/>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33463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33463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334638"/>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4674E"/>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4674E"/>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4674E"/>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4674E"/>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4674E"/>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4674E"/>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4674E"/>
    <w:pPr>
      <w:bidi/>
      <w:spacing w:after="0" w:line="240" w:lineRule="auto"/>
    </w:pPr>
    <w:rPr>
      <w:rFonts w:ascii="Times New Roman" w:eastAsia="Times New Roman" w:hAnsi="Times New Roman" w:cs="David"/>
      <w:noProof/>
      <w:sz w:val="24"/>
      <w:szCs w:val="24"/>
    </w:rPr>
  </w:style>
  <w:style w:type="paragraph" w:customStyle="1" w:styleId="116EBBD5A99E4E519EE4A5661D82C50E4">
    <w:name w:val="116EBBD5A99E4E519EE4A5661D82C50E4"/>
    <w:rsid w:val="002E734C"/>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2E734C"/>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2E734C"/>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2E734C"/>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2E734C"/>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2E734C"/>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2E734C"/>
    <w:pPr>
      <w:bidi/>
      <w:spacing w:after="0" w:line="240" w:lineRule="auto"/>
    </w:pPr>
    <w:rPr>
      <w:rFonts w:ascii="Times New Roman" w:eastAsia="Times New Roman" w:hAnsi="Times New Roman" w:cs="David"/>
      <w:noProof/>
      <w:sz w:val="24"/>
      <w:szCs w:val="24"/>
    </w:rPr>
  </w:style>
  <w:style w:type="paragraph" w:customStyle="1" w:styleId="116EBBD5A99E4E519EE4A5661D82C50E5">
    <w:name w:val="116EBBD5A99E4E519EE4A5661D82C50E5"/>
    <w:rsid w:val="003E1A82"/>
    <w:pPr>
      <w:bidi/>
      <w:spacing w:after="0" w:line="240" w:lineRule="auto"/>
    </w:pPr>
    <w:rPr>
      <w:rFonts w:ascii="Times New Roman" w:eastAsia="Times New Roman" w:hAnsi="Times New Roman" w:cs="David"/>
      <w:noProof/>
      <w:sz w:val="24"/>
      <w:szCs w:val="24"/>
    </w:rPr>
  </w:style>
  <w:style w:type="paragraph" w:customStyle="1" w:styleId="E6E6A917CC5E4519A8F2E864C48E22F25">
    <w:name w:val="E6E6A917CC5E4519A8F2E864C48E22F25"/>
    <w:rsid w:val="003E1A82"/>
    <w:pPr>
      <w:bidi/>
      <w:spacing w:after="0" w:line="240" w:lineRule="auto"/>
    </w:pPr>
    <w:rPr>
      <w:rFonts w:ascii="Times New Roman" w:eastAsia="Times New Roman" w:hAnsi="Times New Roman" w:cs="David"/>
      <w:noProof/>
      <w:sz w:val="24"/>
      <w:szCs w:val="24"/>
    </w:rPr>
  </w:style>
  <w:style w:type="paragraph" w:customStyle="1" w:styleId="9DC4FF55E52B4E209349FC40470DD4185">
    <w:name w:val="9DC4FF55E52B4E209349FC40470DD4185"/>
    <w:rsid w:val="003E1A82"/>
    <w:pPr>
      <w:bidi/>
      <w:spacing w:after="0" w:line="240" w:lineRule="auto"/>
    </w:pPr>
    <w:rPr>
      <w:rFonts w:ascii="Times New Roman" w:eastAsia="Times New Roman" w:hAnsi="Times New Roman" w:cs="David"/>
      <w:noProof/>
      <w:sz w:val="24"/>
      <w:szCs w:val="24"/>
    </w:rPr>
  </w:style>
  <w:style w:type="paragraph" w:customStyle="1" w:styleId="112E7BE5CCF64A68A3D497F283A4D6955">
    <w:name w:val="112E7BE5CCF64A68A3D497F283A4D6955"/>
    <w:rsid w:val="003E1A82"/>
    <w:pPr>
      <w:bidi/>
      <w:spacing w:after="0" w:line="240" w:lineRule="auto"/>
    </w:pPr>
    <w:rPr>
      <w:rFonts w:ascii="Times New Roman" w:eastAsia="Times New Roman" w:hAnsi="Times New Roman" w:cs="David"/>
      <w:noProof/>
      <w:sz w:val="24"/>
      <w:szCs w:val="24"/>
    </w:rPr>
  </w:style>
  <w:style w:type="paragraph" w:customStyle="1" w:styleId="ECC435E5782A4F3FB39457279E24BE883">
    <w:name w:val="ECC435E5782A4F3FB39457279E24BE883"/>
    <w:rsid w:val="003E1A82"/>
    <w:pPr>
      <w:bidi/>
      <w:spacing w:after="0" w:line="240" w:lineRule="auto"/>
    </w:pPr>
    <w:rPr>
      <w:rFonts w:ascii="Times New Roman" w:eastAsia="Times New Roman" w:hAnsi="Times New Roman" w:cs="David"/>
      <w:noProof/>
      <w:sz w:val="24"/>
      <w:szCs w:val="24"/>
    </w:rPr>
  </w:style>
  <w:style w:type="paragraph" w:customStyle="1" w:styleId="E460D38E05664FF79D4EFF282EF8EC9917">
    <w:name w:val="E460D38E05664FF79D4EFF282EF8EC9917"/>
    <w:rsid w:val="003E1A82"/>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3E1A82"/>
    <w:pPr>
      <w:bidi/>
      <w:spacing w:after="0" w:line="240" w:lineRule="auto"/>
    </w:pPr>
    <w:rPr>
      <w:rFonts w:ascii="Times New Roman" w:eastAsia="Times New Roman" w:hAnsi="Times New Roman" w:cs="David"/>
      <w:noProof/>
      <w:sz w:val="24"/>
      <w:szCs w:val="24"/>
    </w:rPr>
  </w:style>
  <w:style w:type="paragraph" w:customStyle="1" w:styleId="116EBBD5A99E4E519EE4A5661D82C50E6">
    <w:name w:val="116EBBD5A99E4E519EE4A5661D82C50E6"/>
    <w:rsid w:val="003E1A82"/>
    <w:pPr>
      <w:bidi/>
      <w:spacing w:after="0" w:line="240" w:lineRule="auto"/>
    </w:pPr>
    <w:rPr>
      <w:rFonts w:ascii="Times New Roman" w:eastAsia="Times New Roman" w:hAnsi="Times New Roman" w:cs="David"/>
      <w:noProof/>
      <w:sz w:val="24"/>
      <w:szCs w:val="24"/>
    </w:rPr>
  </w:style>
  <w:style w:type="paragraph" w:customStyle="1" w:styleId="E6E6A917CC5E4519A8F2E864C48E22F26">
    <w:name w:val="E6E6A917CC5E4519A8F2E864C48E22F26"/>
    <w:rsid w:val="003E1A82"/>
    <w:pPr>
      <w:bidi/>
      <w:spacing w:after="0" w:line="240" w:lineRule="auto"/>
    </w:pPr>
    <w:rPr>
      <w:rFonts w:ascii="Times New Roman" w:eastAsia="Times New Roman" w:hAnsi="Times New Roman" w:cs="David"/>
      <w:noProof/>
      <w:sz w:val="24"/>
      <w:szCs w:val="24"/>
    </w:rPr>
  </w:style>
  <w:style w:type="paragraph" w:customStyle="1" w:styleId="9DC4FF55E52B4E209349FC40470DD4186">
    <w:name w:val="9DC4FF55E52B4E209349FC40470DD4186"/>
    <w:rsid w:val="003E1A82"/>
    <w:pPr>
      <w:bidi/>
      <w:spacing w:after="0" w:line="240" w:lineRule="auto"/>
    </w:pPr>
    <w:rPr>
      <w:rFonts w:ascii="Times New Roman" w:eastAsia="Times New Roman" w:hAnsi="Times New Roman" w:cs="David"/>
      <w:noProof/>
      <w:sz w:val="24"/>
      <w:szCs w:val="24"/>
    </w:rPr>
  </w:style>
  <w:style w:type="paragraph" w:customStyle="1" w:styleId="112E7BE5CCF64A68A3D497F283A4D6956">
    <w:name w:val="112E7BE5CCF64A68A3D497F283A4D6956"/>
    <w:rsid w:val="003E1A82"/>
    <w:pPr>
      <w:bidi/>
      <w:spacing w:after="0" w:line="240" w:lineRule="auto"/>
    </w:pPr>
    <w:rPr>
      <w:rFonts w:ascii="Times New Roman" w:eastAsia="Times New Roman" w:hAnsi="Times New Roman" w:cs="David"/>
      <w:noProof/>
      <w:sz w:val="24"/>
      <w:szCs w:val="24"/>
    </w:rPr>
  </w:style>
  <w:style w:type="paragraph" w:customStyle="1" w:styleId="ECC435E5782A4F3FB39457279E24BE884">
    <w:name w:val="ECC435E5782A4F3FB39457279E24BE884"/>
    <w:rsid w:val="003E1A82"/>
    <w:pPr>
      <w:bidi/>
      <w:spacing w:after="0" w:line="240" w:lineRule="auto"/>
    </w:pPr>
    <w:rPr>
      <w:rFonts w:ascii="Times New Roman" w:eastAsia="Times New Roman" w:hAnsi="Times New Roman" w:cs="David"/>
      <w:noProof/>
      <w:sz w:val="24"/>
      <w:szCs w:val="24"/>
    </w:rPr>
  </w:style>
  <w:style w:type="paragraph" w:customStyle="1" w:styleId="E460D38E05664FF79D4EFF282EF8EC9918">
    <w:name w:val="E460D38E05664FF79D4EFF282EF8EC9918"/>
    <w:rsid w:val="003E1A82"/>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318</Words>
  <Characters>1590</Characters>
  <Application>Microsoft Office Word</Application>
  <DocSecurity>0</DocSecurity>
  <Lines>13</Lines>
  <Paragraphs>3</Paragraphs>
  <ScaleCrop>false</ScaleCrop>
  <Company>Microsoft Corporation</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שרה דותן</cp:lastModifiedBy>
  <cp:revision>137</cp:revision>
  <cp:lastPrinted>2018-04-12T09:44:00Z</cp:lastPrinted>
  <dcterms:created xsi:type="dcterms:W3CDTF">2012-08-06T05:16:00Z</dcterms:created>
  <dcterms:modified xsi:type="dcterms:W3CDTF">2018-04-12T09:47:00Z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