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67" w:rsidP="00761EEA" w:rsidRDefault="00E52367">
      <w:pPr>
        <w:jc w:val="right"/>
        <w:rPr>
          <w:b/>
          <w:bCs/>
          <w:sz w:val="26"/>
          <w:szCs w:val="26"/>
          <w:u w:val="single"/>
          <w:rtl/>
        </w:rPr>
      </w:pPr>
      <w:bookmarkStart w:name="_GoBack" w:id="0"/>
      <w:bookmarkEnd w:id="0"/>
    </w:p>
    <w:p w:rsidR="00761EEA" w:rsidP="00761EEA" w:rsidRDefault="00761EEA">
      <w:pPr>
        <w:jc w:val="right"/>
        <w:rPr>
          <w:b/>
          <w:bCs/>
          <w:sz w:val="26"/>
          <w:szCs w:val="26"/>
          <w:rtl/>
        </w:rPr>
      </w:pPr>
      <w:r w:rsidRPr="00B6002D">
        <w:rPr>
          <w:rFonts w:hint="cs"/>
          <w:b/>
          <w:bCs/>
          <w:sz w:val="26"/>
          <w:szCs w:val="26"/>
          <w:u w:val="single"/>
          <w:rtl/>
        </w:rPr>
        <w:t>ניתנה ביום</w:t>
      </w:r>
      <w:r>
        <w:rPr>
          <w:rFonts w:hint="cs"/>
          <w:b/>
          <w:bCs/>
          <w:sz w:val="26"/>
          <w:szCs w:val="26"/>
          <w:rtl/>
        </w:rPr>
        <w:t xml:space="preserve"> </w:t>
      </w:r>
      <w:sdt>
        <w:sdtPr>
          <w:rPr>
            <w:rFonts w:hint="cs"/>
            <w:b/>
            <w:bCs/>
            <w:sz w:val="26"/>
            <w:szCs w:val="26"/>
            <w:rtl/>
          </w:rPr>
          <w:alias w:val="1456"/>
          <w:tag w:val="1456"/>
          <w:id w:val="-1711794452"/>
          <w:placeholder>
            <w:docPart w:val="04937A9CAAA84172A560A5972B00F5AB"/>
          </w:placeholder>
          <w:text w:multiLine="1"/>
        </w:sdtPr>
        <w:sdtEndPr/>
        <w:sdtContent>
          <w:r>
            <w:rPr>
              <w:rStyle w:val="ad"/>
              <w:b/>
              <w:bCs/>
              <w:color w:val="auto"/>
              <w:rtl/>
            </w:rPr>
            <w:t>12 אפריל 2018</w:t>
          </w:r>
        </w:sdtContent>
      </w:sdt>
      <w:r>
        <w:rPr>
          <w:b/>
          <w:bCs/>
          <w:sz w:val="26"/>
          <w:szCs w:val="26"/>
          <w:rtl/>
        </w:rPr>
        <w:t xml:space="preserve"> </w:t>
      </w:r>
    </w:p>
    <w:p w:rsidRPr="00761EEA" w:rsidR="00F217E0" w:rsidP="00761EEA" w:rsidRDefault="00F217E0">
      <w:pPr>
        <w:jc w:val="right"/>
        <w:rPr>
          <w:b/>
          <w:bCs/>
          <w:sz w:val="26"/>
          <w:szCs w:val="26"/>
          <w:rtl/>
        </w:rPr>
      </w:pPr>
    </w:p>
    <w:p w:rsidR="00694556" w:rsidRDefault="00694556">
      <w:pPr>
        <w:rPr>
          <w:rtl/>
        </w:rPr>
      </w:pPr>
    </w:p>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049"/>
        <w:gridCol w:w="50"/>
        <w:gridCol w:w="3721"/>
      </w:tblGrid>
      <w:tr w:rsidRPr="00F217E0" w:rsidR="00F217E0" w:rsidTr="009A5279">
        <w:trPr>
          <w:trHeight w:val="295"/>
          <w:jc w:val="center"/>
        </w:trPr>
        <w:tc>
          <w:tcPr>
            <w:tcW w:w="5049" w:type="dxa"/>
          </w:tcPr>
          <w:p w:rsidRPr="00F217E0" w:rsidR="00F217E0" w:rsidP="00F217E0" w:rsidRDefault="00F217E0">
            <w:pPr>
              <w:spacing w:after="160" w:line="259" w:lineRule="auto"/>
              <w:rPr>
                <w:rFonts w:asciiTheme="minorHAnsi" w:hAnsiTheme="minorHAnsi"/>
                <w:noProof w:val="0"/>
                <w:sz w:val="28"/>
                <w:szCs w:val="28"/>
                <w:rtl/>
              </w:rPr>
            </w:pPr>
            <w:r w:rsidRPr="00F217E0">
              <w:rPr>
                <w:rFonts w:ascii="Arial" w:hAnsi="Arial"/>
                <w:b/>
                <w:bCs/>
                <w:noProof w:val="0"/>
                <w:sz w:val="28"/>
                <w:szCs w:val="28"/>
                <w:rtl/>
              </w:rPr>
              <w:t>1</w:t>
            </w:r>
            <w:r w:rsidRPr="00F217E0">
              <w:rPr>
                <w:rFonts w:asciiTheme="minorHAnsi" w:hAnsiTheme="minorHAnsi"/>
                <w:b/>
                <w:bCs/>
                <w:noProof w:val="0"/>
                <w:sz w:val="28"/>
                <w:szCs w:val="28"/>
                <w:rtl/>
              </w:rPr>
              <w:t>.</w:t>
            </w:r>
            <w:r w:rsidRPr="00F217E0">
              <w:rPr>
                <w:rFonts w:asciiTheme="minorHAnsi" w:hAnsiTheme="minorHAnsi"/>
                <w:noProof w:val="0"/>
                <w:rtl/>
              </w:rPr>
              <w:t xml:space="preserve"> </w:t>
            </w:r>
            <w:r w:rsidRPr="00F217E0">
              <w:rPr>
                <w:rFonts w:ascii="Arial" w:hAnsi="Arial"/>
                <w:b/>
                <w:bCs/>
                <w:noProof w:val="0"/>
                <w:sz w:val="28"/>
                <w:szCs w:val="28"/>
                <w:rtl/>
              </w:rPr>
              <w:t>משה אביר</w:t>
            </w:r>
          </w:p>
          <w:p w:rsidRPr="00F217E0" w:rsidR="00F217E0" w:rsidP="00F217E0" w:rsidRDefault="00F217E0">
            <w:pPr>
              <w:spacing w:after="160" w:line="259" w:lineRule="auto"/>
              <w:rPr>
                <w:rFonts w:asciiTheme="minorHAnsi" w:hAnsiTheme="minorHAnsi"/>
                <w:noProof w:val="0"/>
                <w:sz w:val="28"/>
                <w:szCs w:val="28"/>
                <w:rtl/>
              </w:rPr>
            </w:pPr>
            <w:r w:rsidRPr="00F217E0">
              <w:rPr>
                <w:rFonts w:ascii="Arial" w:hAnsi="Arial"/>
                <w:b/>
                <w:bCs/>
                <w:noProof w:val="0"/>
                <w:sz w:val="28"/>
                <w:szCs w:val="28"/>
                <w:rtl/>
              </w:rPr>
              <w:t>2</w:t>
            </w:r>
            <w:r w:rsidRPr="00F217E0">
              <w:rPr>
                <w:rFonts w:asciiTheme="minorHAnsi" w:hAnsiTheme="minorHAnsi"/>
                <w:b/>
                <w:bCs/>
                <w:noProof w:val="0"/>
                <w:sz w:val="28"/>
                <w:szCs w:val="28"/>
                <w:rtl/>
              </w:rPr>
              <w:t>.</w:t>
            </w:r>
            <w:r w:rsidRPr="00F217E0">
              <w:rPr>
                <w:rFonts w:asciiTheme="minorHAnsi" w:hAnsiTheme="minorHAnsi"/>
                <w:noProof w:val="0"/>
                <w:rtl/>
              </w:rPr>
              <w:t xml:space="preserve"> </w:t>
            </w:r>
            <w:r w:rsidRPr="00F217E0">
              <w:rPr>
                <w:rFonts w:ascii="Arial" w:hAnsi="Arial"/>
                <w:b/>
                <w:bCs/>
                <w:noProof w:val="0"/>
                <w:sz w:val="28"/>
                <w:szCs w:val="28"/>
                <w:rtl/>
              </w:rPr>
              <w:t>זוהר נ.ת. ניהול בע"מ</w:t>
            </w:r>
          </w:p>
        </w:tc>
        <w:tc>
          <w:tcPr>
            <w:tcW w:w="3771" w:type="dxa"/>
            <w:gridSpan w:val="2"/>
          </w:tcPr>
          <w:p w:rsidRPr="00F217E0" w:rsidR="00F217E0" w:rsidP="00F217E0" w:rsidRDefault="00F217E0">
            <w:pPr>
              <w:spacing w:before="40" w:after="40" w:line="360" w:lineRule="auto"/>
              <w:jc w:val="right"/>
              <w:rPr>
                <w:rFonts w:ascii="Arial" w:hAnsi="Arial"/>
                <w:b/>
                <w:bCs/>
                <w:noProof w:val="0"/>
                <w:sz w:val="28"/>
                <w:szCs w:val="28"/>
                <w:rtl/>
              </w:rPr>
            </w:pPr>
            <w:r w:rsidRPr="00F217E0">
              <w:rPr>
                <w:rFonts w:ascii="Arial" w:hAnsi="Arial"/>
                <w:b/>
                <w:bCs/>
                <w:noProof w:val="0"/>
                <w:sz w:val="28"/>
                <w:szCs w:val="28"/>
                <w:u w:val="single"/>
                <w:rtl/>
              </w:rPr>
              <w:t>המערערים</w:t>
            </w:r>
          </w:p>
        </w:tc>
      </w:tr>
      <w:tr w:rsidRPr="00F217E0" w:rsidR="00F217E0" w:rsidTr="009A5279">
        <w:trPr>
          <w:jc w:val="center"/>
        </w:trPr>
        <w:tc>
          <w:tcPr>
            <w:tcW w:w="8820" w:type="dxa"/>
            <w:gridSpan w:val="3"/>
          </w:tcPr>
          <w:p w:rsidRPr="00F217E0" w:rsidR="00F217E0" w:rsidP="00F217E0" w:rsidRDefault="00F217E0">
            <w:pPr>
              <w:spacing w:before="240" w:after="240" w:line="259" w:lineRule="auto"/>
              <w:rPr>
                <w:rFonts w:ascii="Arial" w:hAnsi="Arial"/>
                <w:b/>
                <w:bCs/>
                <w:sz w:val="28"/>
                <w:szCs w:val="28"/>
                <w:highlight w:val="yellow"/>
              </w:rPr>
            </w:pPr>
            <w:r w:rsidRPr="00F217E0">
              <w:rPr>
                <w:rFonts w:ascii="Arial" w:hAnsi="Arial"/>
                <w:b/>
                <w:bCs/>
                <w:noProof w:val="0"/>
                <w:sz w:val="28"/>
                <w:szCs w:val="28"/>
                <w:rtl/>
              </w:rPr>
              <w:t xml:space="preserve">                   -</w:t>
            </w:r>
          </w:p>
        </w:tc>
      </w:tr>
      <w:tr w:rsidRPr="00F217E0" w:rsidR="00F217E0" w:rsidTr="009A5279">
        <w:trPr>
          <w:jc w:val="center"/>
        </w:trPr>
        <w:tc>
          <w:tcPr>
            <w:tcW w:w="5099" w:type="dxa"/>
            <w:gridSpan w:val="2"/>
          </w:tcPr>
          <w:p w:rsidRPr="00F217E0" w:rsidR="00F217E0" w:rsidP="00F217E0" w:rsidRDefault="00F217E0">
            <w:pPr>
              <w:spacing w:after="160" w:line="259" w:lineRule="auto"/>
              <w:rPr>
                <w:rFonts w:asciiTheme="minorHAnsi" w:hAnsiTheme="minorHAnsi"/>
                <w:sz w:val="28"/>
                <w:szCs w:val="28"/>
              </w:rPr>
            </w:pPr>
            <w:r w:rsidRPr="00F217E0">
              <w:rPr>
                <w:rFonts w:ascii="Arial" w:hAnsi="Arial"/>
                <w:b/>
                <w:bCs/>
                <w:noProof w:val="0"/>
                <w:sz w:val="28"/>
                <w:szCs w:val="28"/>
                <w:rtl/>
              </w:rPr>
              <w:t>מדינת ישראל</w:t>
            </w:r>
          </w:p>
        </w:tc>
        <w:tc>
          <w:tcPr>
            <w:tcW w:w="3721" w:type="dxa"/>
          </w:tcPr>
          <w:p w:rsidRPr="00F217E0" w:rsidR="00F217E0" w:rsidP="00F217E0" w:rsidRDefault="00F217E0">
            <w:pPr>
              <w:spacing w:before="40" w:after="40" w:line="360" w:lineRule="auto"/>
              <w:jc w:val="right"/>
              <w:rPr>
                <w:rFonts w:ascii="Arial" w:hAnsi="Arial"/>
                <w:b/>
                <w:bCs/>
                <w:noProof w:val="0"/>
                <w:sz w:val="28"/>
                <w:szCs w:val="28"/>
                <w:u w:val="single"/>
              </w:rPr>
            </w:pPr>
            <w:r w:rsidRPr="00F217E0">
              <w:rPr>
                <w:rFonts w:ascii="Arial" w:hAnsi="Arial"/>
                <w:b/>
                <w:bCs/>
                <w:noProof w:val="0"/>
                <w:sz w:val="28"/>
                <w:szCs w:val="28"/>
                <w:u w:val="single"/>
                <w:rtl/>
              </w:rPr>
              <w:t>המשיבה</w:t>
            </w:r>
          </w:p>
          <w:p w:rsidRPr="00F217E0" w:rsidR="00F217E0" w:rsidP="00F217E0" w:rsidRDefault="00F217E0">
            <w:pPr>
              <w:spacing w:after="160" w:line="259" w:lineRule="auto"/>
              <w:jc w:val="right"/>
              <w:rPr>
                <w:rFonts w:asciiTheme="minorHAnsi" w:hAnsiTheme="minorHAnsi"/>
                <w:b/>
                <w:bCs/>
                <w:noProof w:val="0"/>
                <w:sz w:val="28"/>
                <w:szCs w:val="28"/>
              </w:rPr>
            </w:pPr>
          </w:p>
        </w:tc>
      </w:tr>
      <w:tr w:rsidRPr="00F217E0" w:rsidR="00F217E0" w:rsidTr="009A5279">
        <w:trPr>
          <w:jc w:val="center"/>
        </w:trPr>
        <w:tc>
          <w:tcPr>
            <w:tcW w:w="8820" w:type="dxa"/>
            <w:gridSpan w:val="3"/>
          </w:tcPr>
          <w:p w:rsidRPr="00F217E0" w:rsidR="00F217E0" w:rsidP="00F217E0" w:rsidRDefault="00F217E0">
            <w:pPr>
              <w:spacing w:before="40" w:after="40" w:line="259" w:lineRule="auto"/>
              <w:rPr>
                <w:rFonts w:asciiTheme="minorHAnsi" w:hAnsiTheme="minorHAnsi"/>
                <w:b/>
                <w:bCs/>
                <w:sz w:val="28"/>
                <w:szCs w:val="28"/>
                <w:lang w:eastAsia="he-IL"/>
              </w:rPr>
            </w:pPr>
            <w:r w:rsidRPr="00F217E0">
              <w:rPr>
                <w:rFonts w:hint="eastAsia" w:asciiTheme="minorHAnsi" w:hAnsiTheme="minorHAnsi"/>
                <w:b/>
                <w:bCs/>
                <w:noProof w:val="0"/>
                <w:sz w:val="28"/>
                <w:szCs w:val="28"/>
                <w:rtl/>
              </w:rPr>
              <w:t>בשם</w:t>
            </w:r>
            <w:r w:rsidRPr="00F217E0">
              <w:rPr>
                <w:rFonts w:asciiTheme="minorHAnsi" w:hAnsiTheme="minorHAnsi"/>
                <w:b/>
                <w:bCs/>
                <w:noProof w:val="0"/>
                <w:sz w:val="28"/>
                <w:szCs w:val="28"/>
                <w:rtl/>
              </w:rPr>
              <w:t xml:space="preserve"> </w:t>
            </w:r>
            <w:r w:rsidRPr="00F217E0">
              <w:rPr>
                <w:rFonts w:hint="eastAsia" w:asciiTheme="minorHAnsi" w:hAnsiTheme="minorHAnsi"/>
                <w:b/>
                <w:bCs/>
                <w:noProof w:val="0"/>
                <w:sz w:val="28"/>
                <w:szCs w:val="28"/>
                <w:rtl/>
              </w:rPr>
              <w:t>המערערים</w:t>
            </w:r>
            <w:r w:rsidRPr="00F217E0">
              <w:rPr>
                <w:rFonts w:asciiTheme="minorHAnsi" w:hAnsiTheme="minorHAnsi"/>
                <w:b/>
                <w:bCs/>
                <w:noProof w:val="0"/>
                <w:sz w:val="28"/>
                <w:szCs w:val="28"/>
                <w:rtl/>
              </w:rPr>
              <w:t xml:space="preserve"> – </w:t>
            </w:r>
            <w:r w:rsidRPr="00F217E0">
              <w:rPr>
                <w:rFonts w:hint="eastAsia" w:asciiTheme="minorHAnsi" w:hAnsiTheme="minorHAnsi"/>
                <w:b/>
                <w:bCs/>
                <w:noProof w:val="0"/>
                <w:sz w:val="28"/>
                <w:szCs w:val="28"/>
                <w:rtl/>
              </w:rPr>
              <w:t>מר</w:t>
            </w:r>
            <w:r w:rsidRPr="00F217E0">
              <w:rPr>
                <w:rFonts w:asciiTheme="minorHAnsi" w:hAnsiTheme="minorHAnsi"/>
                <w:b/>
                <w:bCs/>
                <w:noProof w:val="0"/>
                <w:sz w:val="28"/>
                <w:szCs w:val="28"/>
                <w:rtl/>
              </w:rPr>
              <w:t xml:space="preserve"> </w:t>
            </w:r>
            <w:r w:rsidRPr="00F217E0">
              <w:rPr>
                <w:rFonts w:hint="eastAsia" w:asciiTheme="minorHAnsi" w:hAnsiTheme="minorHAnsi"/>
                <w:b/>
                <w:bCs/>
                <w:noProof w:val="0"/>
                <w:sz w:val="28"/>
                <w:szCs w:val="28"/>
                <w:rtl/>
              </w:rPr>
              <w:t>משה</w:t>
            </w:r>
            <w:r w:rsidRPr="00F217E0">
              <w:rPr>
                <w:rFonts w:asciiTheme="minorHAnsi" w:hAnsiTheme="minorHAnsi"/>
                <w:b/>
                <w:bCs/>
                <w:noProof w:val="0"/>
                <w:sz w:val="28"/>
                <w:szCs w:val="28"/>
                <w:rtl/>
              </w:rPr>
              <w:t xml:space="preserve"> </w:t>
            </w:r>
            <w:r w:rsidRPr="00F217E0">
              <w:rPr>
                <w:rFonts w:hint="eastAsia" w:asciiTheme="minorHAnsi" w:hAnsiTheme="minorHAnsi"/>
                <w:b/>
                <w:bCs/>
                <w:noProof w:val="0"/>
                <w:sz w:val="28"/>
                <w:szCs w:val="28"/>
                <w:rtl/>
              </w:rPr>
              <w:t>אביר</w:t>
            </w:r>
            <w:r w:rsidRPr="00F217E0">
              <w:rPr>
                <w:rFonts w:asciiTheme="minorHAnsi" w:hAnsiTheme="minorHAnsi"/>
                <w:b/>
                <w:bCs/>
                <w:noProof w:val="0"/>
                <w:sz w:val="28"/>
                <w:szCs w:val="28"/>
                <w:rtl/>
              </w:rPr>
              <w:t xml:space="preserve"> – </w:t>
            </w:r>
            <w:r w:rsidRPr="00F217E0">
              <w:rPr>
                <w:rFonts w:hint="eastAsia" w:asciiTheme="minorHAnsi" w:hAnsiTheme="minorHAnsi"/>
                <w:b/>
                <w:bCs/>
                <w:noProof w:val="0"/>
                <w:sz w:val="28"/>
                <w:szCs w:val="28"/>
                <w:rtl/>
              </w:rPr>
              <w:t>המערער</w:t>
            </w:r>
            <w:r w:rsidRPr="00F217E0">
              <w:rPr>
                <w:rFonts w:asciiTheme="minorHAnsi" w:hAnsiTheme="minorHAnsi"/>
                <w:b/>
                <w:bCs/>
                <w:noProof w:val="0"/>
                <w:sz w:val="28"/>
                <w:szCs w:val="28"/>
                <w:rtl/>
              </w:rPr>
              <w:t xml:space="preserve"> 1, </w:t>
            </w:r>
            <w:r w:rsidRPr="00F217E0">
              <w:rPr>
                <w:rFonts w:hint="eastAsia" w:asciiTheme="minorHAnsi" w:hAnsiTheme="minorHAnsi"/>
                <w:b/>
                <w:bCs/>
                <w:noProof w:val="0"/>
                <w:sz w:val="28"/>
                <w:szCs w:val="28"/>
                <w:rtl/>
              </w:rPr>
              <w:t>מנהל</w:t>
            </w:r>
            <w:r w:rsidRPr="00F217E0">
              <w:rPr>
                <w:rFonts w:asciiTheme="minorHAnsi" w:hAnsiTheme="minorHAnsi"/>
                <w:b/>
                <w:bCs/>
                <w:noProof w:val="0"/>
                <w:sz w:val="28"/>
                <w:szCs w:val="28"/>
                <w:rtl/>
              </w:rPr>
              <w:t xml:space="preserve"> </w:t>
            </w:r>
            <w:r w:rsidRPr="00F217E0">
              <w:rPr>
                <w:rFonts w:hint="eastAsia" w:asciiTheme="minorHAnsi" w:hAnsiTheme="minorHAnsi"/>
                <w:b/>
                <w:bCs/>
                <w:noProof w:val="0"/>
                <w:sz w:val="28"/>
                <w:szCs w:val="28"/>
                <w:rtl/>
              </w:rPr>
              <w:t>המערערת</w:t>
            </w:r>
            <w:r w:rsidRPr="00F217E0">
              <w:rPr>
                <w:rFonts w:asciiTheme="minorHAnsi" w:hAnsiTheme="minorHAnsi"/>
                <w:b/>
                <w:bCs/>
                <w:noProof w:val="0"/>
                <w:sz w:val="28"/>
                <w:szCs w:val="28"/>
                <w:rtl/>
              </w:rPr>
              <w:t xml:space="preserve"> 2</w:t>
            </w:r>
          </w:p>
          <w:p w:rsidRPr="00F217E0" w:rsidR="00F217E0" w:rsidP="00F217E0" w:rsidRDefault="00F217E0">
            <w:pPr>
              <w:spacing w:after="160" w:line="259" w:lineRule="auto"/>
              <w:rPr>
                <w:rFonts w:ascii="Arial" w:hAnsi="Arial"/>
                <w:b/>
                <w:bCs/>
                <w:noProof w:val="0"/>
                <w:sz w:val="26"/>
                <w:szCs w:val="26"/>
                <w:rtl/>
              </w:rPr>
            </w:pPr>
            <w:r w:rsidRPr="00F217E0">
              <w:rPr>
                <w:rFonts w:hint="eastAsia" w:asciiTheme="minorHAnsi" w:hAnsiTheme="minorHAnsi"/>
                <w:b/>
                <w:bCs/>
                <w:noProof w:val="0"/>
                <w:sz w:val="28"/>
                <w:szCs w:val="28"/>
                <w:rtl/>
              </w:rPr>
              <w:t>בשם</w:t>
            </w:r>
            <w:r w:rsidRPr="00F217E0">
              <w:rPr>
                <w:rFonts w:asciiTheme="minorHAnsi" w:hAnsiTheme="minorHAnsi"/>
                <w:b/>
                <w:bCs/>
                <w:noProof w:val="0"/>
                <w:sz w:val="28"/>
                <w:szCs w:val="28"/>
                <w:rtl/>
              </w:rPr>
              <w:t xml:space="preserve"> </w:t>
            </w:r>
            <w:r w:rsidRPr="00F217E0">
              <w:rPr>
                <w:rFonts w:hint="eastAsia" w:asciiTheme="minorHAnsi" w:hAnsiTheme="minorHAnsi"/>
                <w:b/>
                <w:bCs/>
                <w:noProof w:val="0"/>
                <w:sz w:val="28"/>
                <w:szCs w:val="28"/>
                <w:rtl/>
              </w:rPr>
              <w:t>המשיבה</w:t>
            </w:r>
            <w:r w:rsidRPr="00F217E0">
              <w:rPr>
                <w:rFonts w:asciiTheme="minorHAnsi" w:hAnsiTheme="minorHAnsi"/>
                <w:b/>
                <w:bCs/>
                <w:noProof w:val="0"/>
                <w:sz w:val="28"/>
                <w:szCs w:val="28"/>
                <w:rtl/>
              </w:rPr>
              <w:t xml:space="preserve"> –</w:t>
            </w:r>
            <w:r w:rsidRPr="00F217E0">
              <w:rPr>
                <w:rFonts w:ascii="Arial" w:hAnsi="Arial"/>
                <w:b/>
                <w:bCs/>
                <w:noProof w:val="0"/>
                <w:sz w:val="26"/>
                <w:szCs w:val="26"/>
                <w:rtl/>
              </w:rPr>
              <w:t xml:space="preserve"> </w:t>
            </w:r>
            <w:r w:rsidRPr="00F217E0">
              <w:rPr>
                <w:rFonts w:ascii="Arial" w:hAnsi="Arial"/>
                <w:b/>
                <w:bCs/>
                <w:noProof w:val="0"/>
                <w:sz w:val="28"/>
                <w:szCs w:val="28"/>
                <w:rtl/>
              </w:rPr>
              <w:t>עו"ד עדי צימרמן</w:t>
            </w:r>
          </w:p>
        </w:tc>
      </w:tr>
    </w:tbl>
    <w:p w:rsidRPr="00F217E0" w:rsidR="00694556" w:rsidRDefault="00694556"/>
    <w:p w:rsidR="00694556" w:rsidRDefault="00694556"/>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0962C7" w:rsidR="00694556" w:rsidRDefault="00180519">
            <w:pPr>
              <w:bidi w:val="0"/>
              <w:jc w:val="center"/>
              <w:rPr>
                <w:rFonts w:ascii="Arial" w:hAnsi="Arial"/>
                <w:b/>
                <w:bCs/>
                <w:noProof w:val="0"/>
                <w:sz w:val="36"/>
                <w:szCs w:val="36"/>
                <w:u w:val="single"/>
              </w:rPr>
            </w:pPr>
            <w:r w:rsidRPr="000962C7">
              <w:rPr>
                <w:rFonts w:hint="cs" w:ascii="Arial" w:hAnsi="Arial"/>
                <w:b/>
                <w:bCs/>
                <w:noProof w:val="0"/>
                <w:sz w:val="36"/>
                <w:szCs w:val="36"/>
                <w:u w:val="single"/>
                <w:rtl/>
              </w:rPr>
              <w:t>החלטה</w:t>
            </w:r>
          </w:p>
        </w:tc>
      </w:tr>
    </w:tbl>
    <w:p w:rsidR="00694556" w:rsidRDefault="00694556">
      <w:pPr>
        <w:spacing w:line="360" w:lineRule="auto"/>
        <w:jc w:val="both"/>
        <w:rPr>
          <w:rFonts w:ascii="Arial" w:hAnsi="Arial"/>
          <w:noProof w:val="0"/>
          <w:rtl/>
        </w:rPr>
      </w:pPr>
    </w:p>
    <w:p w:rsidRPr="00F217E0" w:rsidR="00F217E0" w:rsidP="00F217E0" w:rsidRDefault="00F217E0">
      <w:pPr>
        <w:spacing w:before="120" w:after="120" w:line="360" w:lineRule="auto"/>
        <w:jc w:val="both"/>
        <w:rPr>
          <w:rFonts w:ascii="Arial" w:hAnsi="Arial"/>
          <w:b/>
          <w:bCs/>
          <w:sz w:val="32"/>
          <w:szCs w:val="32"/>
          <w:u w:val="single"/>
        </w:rPr>
      </w:pPr>
      <w:r w:rsidRPr="00F217E0">
        <w:rPr>
          <w:rFonts w:ascii="Arial" w:hAnsi="Arial"/>
          <w:b/>
          <w:bCs/>
          <w:noProof w:val="0"/>
          <w:sz w:val="32"/>
          <w:szCs w:val="32"/>
          <w:u w:val="single"/>
          <w:rtl/>
        </w:rPr>
        <w:t>הנשיא (בדימוס) יגאל פליטמן</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 xml:space="preserve">בפסק דין שניתן ביום 10.1.18, דחיתי את ערעור המערערים על החלטתה של שופטת בית הדין האזורי בתל אביב-יפו, קרן כהן, שלא לפסול עצמה מלישב בדין בהליך המתנהל לפניה בתיק הע"ז 1885-10-13 (להלן – </w:t>
      </w:r>
      <w:r w:rsidRPr="00F217E0">
        <w:rPr>
          <w:rFonts w:ascii="Arial" w:hAnsi="Arial"/>
          <w:b/>
          <w:bCs/>
          <w:noProof w:val="0"/>
          <w:sz w:val="28"/>
          <w:szCs w:val="28"/>
          <w:rtl/>
        </w:rPr>
        <w:t>ערעור הפסלות</w:t>
      </w:r>
      <w:r w:rsidRPr="00F217E0">
        <w:rPr>
          <w:rFonts w:ascii="Arial" w:hAnsi="Arial"/>
          <w:noProof w:val="0"/>
          <w:sz w:val="28"/>
          <w:szCs w:val="28"/>
          <w:rtl/>
        </w:rPr>
        <w:t xml:space="preserve"> ו-</w:t>
      </w:r>
      <w:r w:rsidRPr="00F217E0">
        <w:rPr>
          <w:rFonts w:ascii="Arial" w:hAnsi="Arial"/>
          <w:b/>
          <w:bCs/>
          <w:noProof w:val="0"/>
          <w:sz w:val="28"/>
          <w:szCs w:val="28"/>
          <w:rtl/>
        </w:rPr>
        <w:t>פסק הדין</w:t>
      </w:r>
      <w:r w:rsidRPr="00F217E0">
        <w:rPr>
          <w:rFonts w:ascii="Arial" w:hAnsi="Arial"/>
          <w:noProof w:val="0"/>
          <w:sz w:val="28"/>
          <w:szCs w:val="28"/>
          <w:rtl/>
        </w:rPr>
        <w:t xml:space="preserve"> לפי העניין). </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בפתח פרק ההכרעה שבפסק הדין, נכתב כך:</w:t>
      </w:r>
    </w:p>
    <w:p w:rsidRPr="00F217E0" w:rsidR="00F217E0" w:rsidP="00F217E0" w:rsidRDefault="00F217E0">
      <w:pPr>
        <w:spacing w:before="120" w:after="120"/>
        <w:ind w:left="720" w:right="426"/>
        <w:contextualSpacing/>
        <w:jc w:val="both"/>
        <w:rPr>
          <w:rFonts w:ascii="Arial" w:hAnsi="Arial"/>
          <w:noProof w:val="0"/>
          <w:sz w:val="28"/>
          <w:szCs w:val="28"/>
          <w:rtl/>
        </w:rPr>
      </w:pPr>
      <w:r w:rsidRPr="00F217E0">
        <w:rPr>
          <w:rFonts w:ascii="Arial" w:hAnsi="Arial"/>
          <w:noProof w:val="0"/>
          <w:sz w:val="28"/>
          <w:szCs w:val="28"/>
          <w:rtl/>
        </w:rPr>
        <w:t>"</w:t>
      </w:r>
      <w:r w:rsidRPr="00F217E0">
        <w:rPr>
          <w:rFonts w:ascii="Arial" w:hAnsi="Arial"/>
          <w:b/>
          <w:bCs/>
          <w:noProof w:val="0"/>
          <w:sz w:val="28"/>
          <w:szCs w:val="28"/>
          <w:rtl/>
        </w:rPr>
        <w:t xml:space="preserve">בטרם אכנס לגופם של דברים אציין כי התבטאויות המערערים כלפי בית הדין האזורי בכתבי הטענות השונים, כמפורט לעיל, ובמהלך הדיונים חורגות מהמקובל, באופן המצדיק את מחיקת ערעורם (ראו בש"א 2826/12 ואן קול נ' מדינת ישראל, בפסקה הרביעית להחלטה (31.7.2013)). אמירות כגון 'משכך מתבקש בית הדין להבהיר ... האם כבוד השופטת הייתה בקו הבריאות כאשר נתנה החלטה הזויה זו' (בקשה מיום 22.1.17); 'הקונסולייר [הכוונה היא לב"כ המדינה – י.פ.] רגיל למסור שקרים לבית הדין, ורגיל שבית הדין בולע בשקיקה את השקרים שלו, גם כאשר ברור לבית הדין שהקונסולייר משקר' (בקשה מיום 25.6.17); 'ראוי שכבודה תזכור שקיים גם חוק ופסיקה, שראוי להתחשב גם בהם' (בקשה מיום 24.8.16); 'בסופו של דבר כל האמת תצא לאור, גם אם בית הדין והפרקליטות ינסו להסתירה בכל מיני החלטות ששם טוב מכנה ביזיוניות' (בקשה מיום 2.1.17); 'אני חושב שלכבודה חסר מידע בסיסי בעניין הדין הפלילי. גברתי רגילה להתעסק בדין הרגיל האזרחי וקשה לה לשלוט בדין </w:t>
      </w:r>
      <w:r w:rsidRPr="00F217E0">
        <w:rPr>
          <w:rFonts w:ascii="Arial" w:hAnsi="Arial"/>
          <w:b/>
          <w:bCs/>
          <w:noProof w:val="0"/>
          <w:sz w:val="28"/>
          <w:szCs w:val="28"/>
          <w:rtl/>
        </w:rPr>
        <w:lastRenderedPageBreak/>
        <w:t>הפלילי' (דיון מיום 8.9.16), ועוד כהנה וכהנה אמירות בוטות, מבזות ומבישות – טוב היה אלמלא היו מועלות על הכתב.</w:t>
      </w:r>
      <w:r w:rsidRPr="00F217E0">
        <w:rPr>
          <w:rFonts w:ascii="Arial" w:hAnsi="Arial"/>
          <w:noProof w:val="0"/>
          <w:sz w:val="28"/>
          <w:szCs w:val="28"/>
          <w:rtl/>
        </w:rPr>
        <w:t>"</w:t>
      </w:r>
    </w:p>
    <w:p w:rsidRPr="00F217E0" w:rsidR="00F217E0" w:rsidP="00F217E0" w:rsidRDefault="00F217E0">
      <w:pPr>
        <w:spacing w:before="120" w:after="120" w:line="360" w:lineRule="auto"/>
        <w:ind w:left="720" w:right="426"/>
        <w:contextualSpacing/>
        <w:jc w:val="both"/>
        <w:rPr>
          <w:rFonts w:ascii="Arial" w:hAnsi="Arial"/>
          <w:noProof w:val="0"/>
          <w:sz w:val="10"/>
          <w:szCs w:val="10"/>
        </w:rPr>
      </w:pP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על רקע דברים אלה ואחרים, נחתם פסק הדין במילים הבאות:</w:t>
      </w:r>
    </w:p>
    <w:p w:rsidRPr="00F217E0" w:rsidR="00F217E0" w:rsidP="00F217E0" w:rsidRDefault="00F217E0">
      <w:pPr>
        <w:spacing w:before="120" w:after="120"/>
        <w:ind w:left="720" w:right="426"/>
        <w:contextualSpacing/>
        <w:jc w:val="both"/>
        <w:rPr>
          <w:rFonts w:ascii="Arial" w:hAnsi="Arial"/>
          <w:noProof w:val="0"/>
          <w:sz w:val="28"/>
          <w:szCs w:val="28"/>
          <w:rtl/>
        </w:rPr>
      </w:pPr>
      <w:r w:rsidRPr="00F217E0">
        <w:rPr>
          <w:rFonts w:ascii="Arial" w:hAnsi="Arial"/>
          <w:noProof w:val="0"/>
          <w:sz w:val="28"/>
          <w:szCs w:val="28"/>
          <w:rtl/>
        </w:rPr>
        <w:t>"</w:t>
      </w:r>
      <w:r w:rsidRPr="00F217E0">
        <w:rPr>
          <w:rFonts w:ascii="Arial" w:hAnsi="Arial"/>
          <w:b/>
          <w:bCs/>
          <w:noProof w:val="0"/>
          <w:sz w:val="28"/>
          <w:szCs w:val="28"/>
          <w:rtl/>
        </w:rPr>
        <w:t>בשים לב ללשון הבוטה והמשתלחת שנקטו כלפי בית דין קמא, ינמקו המערערים ... מדוע לא יחויבו בהוצאות לטובת אוצר המדינה</w:t>
      </w:r>
      <w:r w:rsidRPr="00F217E0">
        <w:rPr>
          <w:rFonts w:ascii="Arial" w:hAnsi="Arial"/>
          <w:noProof w:val="0"/>
          <w:sz w:val="28"/>
          <w:szCs w:val="28"/>
          <w:rtl/>
        </w:rPr>
        <w:t>".</w:t>
      </w:r>
    </w:p>
    <w:p w:rsidRPr="00F217E0" w:rsidR="00F217E0" w:rsidP="00F217E0" w:rsidRDefault="00F217E0">
      <w:pPr>
        <w:spacing w:before="120" w:after="120" w:line="360" w:lineRule="auto"/>
        <w:ind w:left="720" w:right="426"/>
        <w:contextualSpacing/>
        <w:jc w:val="both"/>
        <w:rPr>
          <w:rFonts w:ascii="Arial" w:hAnsi="Arial"/>
          <w:noProof w:val="0"/>
          <w:sz w:val="10"/>
          <w:szCs w:val="10"/>
          <w:rtl/>
        </w:rPr>
      </w:pP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בהמשך להחלטה זו הגישו המערערים עמדתם, והיא כי "</w:t>
      </w:r>
      <w:r w:rsidRPr="00F217E0">
        <w:rPr>
          <w:rFonts w:ascii="Arial" w:hAnsi="Arial"/>
          <w:b/>
          <w:bCs/>
          <w:noProof w:val="0"/>
          <w:sz w:val="28"/>
          <w:szCs w:val="28"/>
          <w:rtl/>
        </w:rPr>
        <w:t>השתת הוצאות על המבקשת אינה חוקית</w:t>
      </w:r>
      <w:r w:rsidRPr="00F217E0">
        <w:rPr>
          <w:rFonts w:ascii="Arial" w:hAnsi="Arial"/>
          <w:noProof w:val="0"/>
          <w:sz w:val="28"/>
          <w:szCs w:val="28"/>
          <w:rtl/>
        </w:rPr>
        <w:t>" וכי "</w:t>
      </w:r>
      <w:r w:rsidRPr="00F217E0">
        <w:rPr>
          <w:rFonts w:ascii="Arial" w:hAnsi="Arial"/>
          <w:b/>
          <w:bCs/>
          <w:noProof w:val="0"/>
          <w:sz w:val="28"/>
          <w:szCs w:val="28"/>
          <w:rtl/>
        </w:rPr>
        <w:t>לבית הדין אין מקור סמכות להשית על נאשם בתיק פלילי הוצאות אלא אם הורשע</w:t>
      </w:r>
      <w:r w:rsidRPr="00F217E0">
        <w:rPr>
          <w:rFonts w:ascii="Arial" w:hAnsi="Arial"/>
          <w:noProof w:val="0"/>
          <w:sz w:val="28"/>
          <w:szCs w:val="28"/>
          <w:rtl/>
        </w:rPr>
        <w:t xml:space="preserve">". לעניין האחרון הפנו המערערים לסעיף 79 לחוק העונשין, התשל"ז-1977 (להלן – </w:t>
      </w:r>
      <w:r w:rsidRPr="00F217E0">
        <w:rPr>
          <w:rFonts w:ascii="Arial" w:hAnsi="Arial"/>
          <w:b/>
          <w:bCs/>
          <w:noProof w:val="0"/>
          <w:sz w:val="28"/>
          <w:szCs w:val="28"/>
          <w:rtl/>
        </w:rPr>
        <w:t>חוק העונשין</w:t>
      </w:r>
      <w:r w:rsidRPr="00F217E0">
        <w:rPr>
          <w:rFonts w:ascii="Arial" w:hAnsi="Arial"/>
          <w:noProof w:val="0"/>
          <w:sz w:val="28"/>
          <w:szCs w:val="28"/>
          <w:rtl/>
        </w:rPr>
        <w:t>), שזו לשונו: "</w:t>
      </w:r>
      <w:r w:rsidRPr="00F217E0">
        <w:rPr>
          <w:rFonts w:ascii="Arial" w:hAnsi="Arial"/>
          <w:b/>
          <w:bCs/>
          <w:noProof w:val="0"/>
          <w:sz w:val="28"/>
          <w:szCs w:val="28"/>
          <w:rtl/>
        </w:rPr>
        <w:t>הורשע אדם, רשאי בית המשפט לחייבו בתשלום הוצאות המשפט, לרבות הוצאות העדים, בסכום שקבע בית המשפט...</w:t>
      </w:r>
      <w:r w:rsidRPr="00F217E0">
        <w:rPr>
          <w:rFonts w:ascii="Arial" w:hAnsi="Arial"/>
          <w:noProof w:val="0"/>
          <w:sz w:val="28"/>
          <w:szCs w:val="28"/>
          <w:rtl/>
        </w:rPr>
        <w:t>". עוד הפנו לחוק יסוד: כבוד האדם וחירותו, לסעיף 3 (שמירה על הקניין) ולסעיף 8 (פסקת ההגבלה).</w:t>
      </w:r>
    </w:p>
    <w:p w:rsidRPr="00F217E0" w:rsidR="00F217E0" w:rsidP="00F217E0" w:rsidRDefault="00F217E0">
      <w:pPr>
        <w:spacing w:before="120" w:after="120" w:line="360" w:lineRule="auto"/>
        <w:ind w:left="425"/>
        <w:contextualSpacing/>
        <w:jc w:val="both"/>
        <w:rPr>
          <w:rFonts w:ascii="Arial" w:hAnsi="Arial"/>
          <w:noProof w:val="0"/>
          <w:sz w:val="28"/>
          <w:szCs w:val="28"/>
          <w:rtl/>
        </w:rPr>
      </w:pPr>
      <w:r w:rsidRPr="00F217E0">
        <w:rPr>
          <w:rFonts w:ascii="Arial" w:hAnsi="Arial"/>
          <w:noProof w:val="0"/>
          <w:sz w:val="28"/>
          <w:szCs w:val="28"/>
          <w:rtl/>
        </w:rPr>
        <w:t>אשר ללשון שננקטה, נטען כי "</w:t>
      </w:r>
      <w:r w:rsidRPr="00F217E0">
        <w:rPr>
          <w:rFonts w:ascii="Arial" w:hAnsi="Arial"/>
          <w:b/>
          <w:bCs/>
          <w:noProof w:val="0"/>
          <w:sz w:val="28"/>
          <w:szCs w:val="28"/>
          <w:rtl/>
        </w:rPr>
        <w:t>את הביטוי 'החלטות ביזיוניות' לא אמר המערער, אלא ציטט מתוך מאמר...</w:t>
      </w:r>
      <w:r w:rsidRPr="00F217E0">
        <w:rPr>
          <w:rFonts w:ascii="Arial" w:hAnsi="Arial"/>
          <w:noProof w:val="0"/>
          <w:sz w:val="28"/>
          <w:szCs w:val="28"/>
          <w:rtl/>
        </w:rPr>
        <w:t>"; כי "</w:t>
      </w:r>
      <w:r w:rsidRPr="00F217E0">
        <w:rPr>
          <w:rFonts w:ascii="Arial" w:hAnsi="Arial"/>
          <w:b/>
          <w:bCs/>
          <w:noProof w:val="0"/>
          <w:sz w:val="28"/>
          <w:szCs w:val="28"/>
          <w:rtl/>
        </w:rPr>
        <w:t>גם בתי המשפט התבטאו בהתבטאויות מאוד קשות על נבחרי ציבור. בית משפט אחד קבע שנשיא המדינה אנס... בית משפט אחר קבע שראש הממשלה נטל שוחד. אף לא גורם אחד טען שראוי להעמיד את בית המשפט לדין על העלבת עובד ציבור. אין דרך מנומסת לתאר מעשים מכוערים. אם עו"ד טוניק</w:t>
      </w:r>
      <w:r w:rsidRPr="00F217E0">
        <w:rPr>
          <w:rFonts w:ascii="Arial" w:hAnsi="Arial"/>
          <w:noProof w:val="0"/>
          <w:sz w:val="28"/>
          <w:szCs w:val="28"/>
          <w:rtl/>
        </w:rPr>
        <w:t xml:space="preserve"> [ב"כ המדינה – י.פ.] </w:t>
      </w:r>
      <w:r w:rsidRPr="00F217E0">
        <w:rPr>
          <w:rFonts w:ascii="Arial" w:hAnsi="Arial"/>
          <w:b/>
          <w:bCs/>
          <w:noProof w:val="0"/>
          <w:sz w:val="28"/>
          <w:szCs w:val="28"/>
          <w:rtl/>
        </w:rPr>
        <w:t>שכנע את העדים לשקר לבית הדין על מנת להרשיע את המערערת, אזי לא ניתן לתאר את המעשה במילים יפות</w:t>
      </w:r>
      <w:r w:rsidRPr="00F217E0">
        <w:rPr>
          <w:rFonts w:ascii="Arial" w:hAnsi="Arial"/>
          <w:noProof w:val="0"/>
          <w:sz w:val="28"/>
          <w:szCs w:val="28"/>
          <w:rtl/>
        </w:rPr>
        <w:t xml:space="preserve">"; וכי הביטוי "קונסולייר" אינו מילת גנאי. </w:t>
      </w:r>
    </w:p>
    <w:p w:rsidRPr="00F217E0" w:rsidR="00F217E0" w:rsidP="00F217E0" w:rsidRDefault="00F217E0">
      <w:pPr>
        <w:spacing w:before="120" w:after="120" w:line="360" w:lineRule="auto"/>
        <w:ind w:left="425"/>
        <w:contextualSpacing/>
        <w:jc w:val="both"/>
        <w:rPr>
          <w:rFonts w:ascii="Arial" w:hAnsi="Arial"/>
          <w:noProof w:val="0"/>
          <w:sz w:val="28"/>
          <w:szCs w:val="28"/>
          <w:rtl/>
        </w:rPr>
      </w:pPr>
      <w:r w:rsidRPr="00F217E0">
        <w:rPr>
          <w:rFonts w:ascii="Arial" w:hAnsi="Arial"/>
          <w:noProof w:val="0"/>
          <w:sz w:val="28"/>
          <w:szCs w:val="28"/>
          <w:rtl/>
        </w:rPr>
        <w:t>לעמדתם צירפו המערערים מכתבים לעניין העובדת הזרה, וביקשו מבית הדין לעיין בהם "</w:t>
      </w:r>
      <w:r w:rsidRPr="00F217E0">
        <w:rPr>
          <w:rFonts w:ascii="Arial" w:hAnsi="Arial"/>
          <w:b/>
          <w:bCs/>
          <w:noProof w:val="0"/>
          <w:sz w:val="28"/>
          <w:szCs w:val="28"/>
          <w:rtl/>
        </w:rPr>
        <w:t>ולאחר מכן למצוא הגדרה מנומסת להחלטה</w:t>
      </w:r>
      <w:r w:rsidRPr="00F217E0">
        <w:rPr>
          <w:rFonts w:ascii="Arial" w:hAnsi="Arial"/>
          <w:noProof w:val="0"/>
          <w:sz w:val="28"/>
          <w:szCs w:val="28"/>
          <w:rtl/>
        </w:rPr>
        <w:t xml:space="preserve"> [של בית הדין האזורי – י.פ.] </w:t>
      </w:r>
      <w:r w:rsidRPr="00F217E0">
        <w:rPr>
          <w:rFonts w:ascii="Arial" w:hAnsi="Arial"/>
          <w:b/>
          <w:bCs/>
          <w:noProof w:val="0"/>
          <w:sz w:val="28"/>
          <w:szCs w:val="28"/>
          <w:rtl/>
        </w:rPr>
        <w:t>שקבעה שיש במכתבים אילו פרטים אישיים</w:t>
      </w:r>
      <w:r w:rsidRPr="00F217E0">
        <w:rPr>
          <w:rFonts w:ascii="Arial" w:hAnsi="Arial"/>
          <w:noProof w:val="0"/>
          <w:sz w:val="28"/>
          <w:szCs w:val="28"/>
          <w:rtl/>
        </w:rPr>
        <w:t>" של העובדת הזרה.</w:t>
      </w:r>
    </w:p>
    <w:p w:rsidRPr="00F217E0" w:rsidR="00F217E0" w:rsidP="00F217E0" w:rsidRDefault="00F217E0">
      <w:pPr>
        <w:spacing w:before="120" w:after="120" w:line="360" w:lineRule="auto"/>
        <w:ind w:left="425"/>
        <w:contextualSpacing/>
        <w:jc w:val="both"/>
        <w:rPr>
          <w:rFonts w:ascii="Arial" w:hAnsi="Arial"/>
          <w:noProof w:val="0"/>
          <w:sz w:val="28"/>
          <w:szCs w:val="28"/>
        </w:rPr>
      </w:pPr>
      <w:r w:rsidRPr="00F217E0">
        <w:rPr>
          <w:rFonts w:ascii="Arial" w:hAnsi="Arial"/>
          <w:noProof w:val="0"/>
          <w:sz w:val="28"/>
          <w:szCs w:val="28"/>
          <w:rtl/>
        </w:rPr>
        <w:t>כן חזרו המערערים על טענות שונות שהעלו עוד במסגרת ערעור הפסלות. משטענות אלה הוכרעו בפסק הדין ואינן רלוונטיות עוד, לא ארחיב בעניינן.</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 xml:space="preserve">המדינה מִצִדה סבורה כי אין בעמדת המערערים טעם המצדיק הימנעות מחיובם בהוצאות לטובת אוצר המדינה. לשיטתה, בית הדין מוסמך לחייבם בהוצאות מכוח סמכותו הטבועה. המדינה מציינת כי אין בטענות המערערים כדי להצדיק את התנהלותם כלפי בית דין וכלפי נציגי התביעה. המדינה נסמכת על פסקי דין העוסקים בסמכות הטבועה בהקשר של הטלת הוצאות אישיות על עורך דין (נזכיר לעניין זה כי המערער 1, מר משה אביר, מייצג את המערערים), ועל פסיקה של בית דין זה שבה הושתו הוצאות על נאשמים בפלילים. לדבריה, בדין נשקלה הטלת </w:t>
      </w:r>
      <w:r w:rsidRPr="00F217E0">
        <w:rPr>
          <w:rFonts w:ascii="Arial" w:hAnsi="Arial"/>
          <w:noProof w:val="0"/>
          <w:sz w:val="28"/>
          <w:szCs w:val="28"/>
          <w:rtl/>
        </w:rPr>
        <w:lastRenderedPageBreak/>
        <w:t>הוצאות על המערערים, "</w:t>
      </w:r>
      <w:r w:rsidRPr="00F217E0">
        <w:rPr>
          <w:rFonts w:ascii="Arial" w:hAnsi="Arial"/>
          <w:b/>
          <w:bCs/>
          <w:noProof w:val="0"/>
          <w:sz w:val="28"/>
          <w:szCs w:val="28"/>
          <w:rtl/>
        </w:rPr>
        <w:t>אשר מגישים לבית הדין הנכבד קמא ואף לבית דין זה בקשות חוזרות ונשנות... בהתנהלותם ובכתבי בי דין המוגשים על ידי המערערים, עושים המערערים שימוש בלשון בוטה הן כלפי בית הדין, הן כלפי נציגי התביעה, הן כלפי העדים</w:t>
      </w:r>
      <w:r w:rsidRPr="00F217E0">
        <w:rPr>
          <w:rFonts w:ascii="Arial" w:hAnsi="Arial"/>
          <w:noProof w:val="0"/>
          <w:sz w:val="28"/>
          <w:szCs w:val="28"/>
          <w:rtl/>
        </w:rPr>
        <w:t>". המדינה משלימה כי חיוב המערערים בהוצאות בנסיבות העניין, יהיה בו כדי להוות עבורם מסר, שגם בהליך פלילי אין לעשות שימוש לרעה בהליכים.</w:t>
      </w:r>
    </w:p>
    <w:p w:rsidRPr="00F217E0" w:rsidR="00F217E0" w:rsidP="00F217E0" w:rsidRDefault="00F217E0">
      <w:pPr>
        <w:spacing w:before="120" w:after="120" w:line="360" w:lineRule="auto"/>
        <w:contextualSpacing/>
        <w:jc w:val="both"/>
        <w:rPr>
          <w:rFonts w:ascii="Arial" w:hAnsi="Arial"/>
          <w:b/>
          <w:bCs/>
          <w:noProof w:val="0"/>
          <w:sz w:val="28"/>
          <w:szCs w:val="28"/>
          <w:u w:val="single"/>
        </w:rPr>
      </w:pPr>
      <w:r w:rsidRPr="00F217E0">
        <w:rPr>
          <w:rFonts w:ascii="Arial" w:hAnsi="Arial"/>
          <w:b/>
          <w:bCs/>
          <w:noProof w:val="0"/>
          <w:sz w:val="28"/>
          <w:szCs w:val="28"/>
          <w:u w:val="single"/>
          <w:rtl/>
        </w:rPr>
        <w:t>הכרעה</w:t>
      </w:r>
    </w:p>
    <w:p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בהליכים פליליים מקובל שאין משיתים הוצאות על הנאשם, ודאי אם טרם הורשע, אלא במקרים חריגים. זאת משום שההליך הפלילי מגלם בתוכו, מעצם טיבו וטבעו, פגיעה פוטנציאלית חמורה בזכויות האדם של הנאשם, ועל כן יש לאפשר לו מרחב תמרון רחב למדי בניסיון להוכיח את חפותו, מבלי לחשוש שיחויב בהוצאות משפט בשל כך</w:t>
      </w:r>
      <w:r w:rsidR="00E67C3D">
        <w:rPr>
          <w:rFonts w:hint="cs" w:ascii="Arial" w:hAnsi="Arial"/>
          <w:noProof w:val="0"/>
          <w:sz w:val="28"/>
          <w:szCs w:val="28"/>
          <w:rtl/>
        </w:rPr>
        <w:t xml:space="preserve"> (השוו: עפ"א (מחוזי, ב"ש) 5525-01-18 </w:t>
      </w:r>
      <w:r w:rsidRPr="00E67C3D" w:rsidR="00E67C3D">
        <w:rPr>
          <w:rFonts w:hint="cs" w:ascii="Arial" w:hAnsi="Arial"/>
          <w:b/>
          <w:bCs/>
          <w:noProof w:val="0"/>
          <w:sz w:val="28"/>
          <w:szCs w:val="28"/>
          <w:rtl/>
        </w:rPr>
        <w:t>פטרה ס.ד.ר. בע"מ נ' הוועדה המקומית לתכנון ובניה, אשדוד</w:t>
      </w:r>
      <w:r w:rsidR="00E67C3D">
        <w:rPr>
          <w:rFonts w:hint="cs" w:ascii="Arial" w:hAnsi="Arial"/>
          <w:noProof w:val="0"/>
          <w:sz w:val="28"/>
          <w:szCs w:val="28"/>
          <w:rtl/>
        </w:rPr>
        <w:t xml:space="preserve"> (11.1.2018)</w:t>
      </w:r>
      <w:r w:rsidRPr="00F217E0">
        <w:rPr>
          <w:rFonts w:ascii="Arial" w:hAnsi="Arial"/>
          <w:noProof w:val="0"/>
          <w:sz w:val="28"/>
          <w:szCs w:val="28"/>
          <w:rtl/>
        </w:rPr>
        <w:t>.</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 xml:space="preserve">יחד עם זאת, חיוב נאשם בהוצאות משפט אינו בלתי אפשרי, ובדיני העונשין – הן המהותיים והן הפרוצדוראליים – קבועות הוראות שונות בנושא זה. כך, סעיף 79 לחוק העונשין מקנה לבית המשפט סמכות לחייב נאשם </w:t>
      </w:r>
      <w:r w:rsidRPr="00F217E0">
        <w:rPr>
          <w:rFonts w:ascii="Arial" w:hAnsi="Arial"/>
          <w:noProof w:val="0"/>
          <w:sz w:val="28"/>
          <w:szCs w:val="28"/>
          <w:u w:val="single"/>
          <w:rtl/>
        </w:rPr>
        <w:t>שהורשע</w:t>
      </w:r>
      <w:r w:rsidRPr="00F217E0">
        <w:rPr>
          <w:rFonts w:ascii="Arial" w:hAnsi="Arial"/>
          <w:noProof w:val="0"/>
          <w:sz w:val="28"/>
          <w:szCs w:val="28"/>
          <w:rtl/>
        </w:rPr>
        <w:t>, בתשלום הוצאות המשפט; סעיף 130(ט) לחוק סדר הדין הפלילי [נוסח משולב], התשמ"ב-1982 מאפשר חיוב נאשם בהוצאות שנגרמו בשל אי התייצבותו לדיון; תקנה 21(א) לתקנות סדר הדין הפלילי, התשל"ד-1974, מאפשרת חיוב בעל דין בהוצאות לטובת הצד שכנגד בגין דחיית מועד דיון, ועוד. יוזכר כי סעיף 80 לחוק העונשין מקנה לבית המשפט סמכות לחייב את המדינה בהוצאות ההגנה של נאשם במקרה שבו נמצא כי לא היה יסוד להאשמה, ולפצותו על מעצרו או מאסרו.</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 xml:space="preserve">לבד מהנסיבות המפורטות בהוראות הדין, הכירה הפסיקה בנסיבות נוספות שבהתקיימן מוסמך בית המשפט לחייב בהוצאות, וזאת, בין היתר, מכוח סמכותו הטבועה. כך, למשל, חיוב עורך דין המייצג בהליך פלילי בהוצאות אישיות (ע"א 4845/95 </w:t>
      </w:r>
      <w:r w:rsidRPr="00F217E0">
        <w:rPr>
          <w:rFonts w:ascii="Arial" w:hAnsi="Arial"/>
          <w:b/>
          <w:bCs/>
          <w:noProof w:val="0"/>
          <w:sz w:val="28"/>
          <w:szCs w:val="28"/>
          <w:rtl/>
        </w:rPr>
        <w:t>ניר נ' מדינת ישראל</w:t>
      </w:r>
      <w:r w:rsidRPr="00F217E0">
        <w:rPr>
          <w:rFonts w:ascii="Arial" w:hAnsi="Arial"/>
          <w:noProof w:val="0"/>
          <w:sz w:val="28"/>
          <w:szCs w:val="28"/>
          <w:rtl/>
        </w:rPr>
        <w:t xml:space="preserve">, פ"ד מט(2) 639 (1995); להלן – </w:t>
      </w:r>
      <w:r w:rsidRPr="00F217E0">
        <w:rPr>
          <w:rFonts w:ascii="Arial" w:hAnsi="Arial"/>
          <w:b/>
          <w:bCs/>
          <w:noProof w:val="0"/>
          <w:sz w:val="28"/>
          <w:szCs w:val="28"/>
          <w:rtl/>
        </w:rPr>
        <w:t>עניין ניר</w:t>
      </w:r>
      <w:r w:rsidRPr="00F217E0">
        <w:rPr>
          <w:rFonts w:ascii="Arial" w:hAnsi="Arial"/>
          <w:noProof w:val="0"/>
          <w:sz w:val="28"/>
          <w:szCs w:val="28"/>
          <w:rtl/>
        </w:rPr>
        <w:t xml:space="preserve">); חיוב נאשמים בהוצאות לטובת אוצר המדינה, בגין הגשת בקשה בחוסר תום לב ותוך שימוש לרעה בהליכי משפט (ע"פ 2255/15 </w:t>
      </w:r>
      <w:r w:rsidRPr="00F217E0">
        <w:rPr>
          <w:rFonts w:ascii="Arial" w:hAnsi="Arial"/>
          <w:b/>
          <w:bCs/>
          <w:noProof w:val="0"/>
          <w:sz w:val="28"/>
          <w:szCs w:val="28"/>
          <w:rtl/>
        </w:rPr>
        <w:t>אגבריה נ' מדינת ישראל</w:t>
      </w:r>
      <w:r w:rsidRPr="00F217E0">
        <w:rPr>
          <w:rFonts w:ascii="Arial" w:hAnsi="Arial"/>
          <w:noProof w:val="0"/>
          <w:sz w:val="28"/>
          <w:szCs w:val="28"/>
          <w:rtl/>
        </w:rPr>
        <w:t>, בסעיף 15 לפסק הדין (22.3.2016) – הגם שצוין בנוסף כי באותו עניין הבקשה שהוגשה (חיוב המדינה בהוצאות ההגנה והמעצר מכוח סעיף 80 לחוק העונשין) נושאת אופי אזרחי), ועוד.</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lastRenderedPageBreak/>
        <w:t>בקשר לערעור פסלות מסוים שנדון בבית המשפט בעליון, שבמסגרתו חויב המערער-הנאשם בהוצאות בשיעור של 2,500 ₪ לטובת אוצר המדינה, נקבע כך:</w:t>
      </w:r>
    </w:p>
    <w:p w:rsidRPr="00F217E0" w:rsidR="00F217E0" w:rsidP="00F217E0" w:rsidRDefault="00F217E0">
      <w:pPr>
        <w:spacing w:before="120" w:after="120"/>
        <w:ind w:left="425"/>
        <w:contextualSpacing/>
        <w:jc w:val="both"/>
        <w:rPr>
          <w:rFonts w:ascii="Arial" w:hAnsi="Arial"/>
          <w:noProof w:val="0"/>
          <w:sz w:val="10"/>
          <w:szCs w:val="10"/>
        </w:rPr>
      </w:pPr>
    </w:p>
    <w:p w:rsidRPr="00F217E0" w:rsidR="00F217E0" w:rsidP="00F217E0" w:rsidRDefault="00F217E0">
      <w:pPr>
        <w:spacing w:before="120" w:after="120"/>
        <w:ind w:left="720" w:right="426"/>
        <w:contextualSpacing/>
        <w:jc w:val="both"/>
        <w:rPr>
          <w:rFonts w:ascii="Arial" w:hAnsi="Arial"/>
          <w:noProof w:val="0"/>
          <w:sz w:val="28"/>
          <w:szCs w:val="28"/>
          <w:rtl/>
        </w:rPr>
      </w:pPr>
      <w:r w:rsidRPr="00F217E0">
        <w:rPr>
          <w:rFonts w:ascii="Arial" w:hAnsi="Arial"/>
          <w:noProof w:val="0"/>
          <w:sz w:val="28"/>
          <w:szCs w:val="28"/>
          <w:rtl/>
        </w:rPr>
        <w:t>"</w:t>
      </w:r>
      <w:r w:rsidRPr="00F217E0">
        <w:rPr>
          <w:rFonts w:ascii="Arial" w:hAnsi="Arial"/>
          <w:b/>
          <w:bCs/>
          <w:noProof w:val="0"/>
          <w:sz w:val="28"/>
          <w:szCs w:val="28"/>
          <w:rtl/>
        </w:rPr>
        <w:t>נתונה לבית המשפט סמכות להשית הוצאות לטובת אוצר המדינה על נאשם שהגיש ערעור פסלות, בין על דרך היקש בסעיף 79 לחוק העונשין, התשל"ז-1977, ובין מכוח סמכותו הטבועה</w:t>
      </w:r>
      <w:r w:rsidRPr="00F217E0">
        <w:rPr>
          <w:rFonts w:ascii="Arial" w:hAnsi="Arial"/>
          <w:noProof w:val="0"/>
          <w:sz w:val="28"/>
          <w:szCs w:val="28"/>
          <w:rtl/>
        </w:rPr>
        <w:t xml:space="preserve">" (ע"פ 230/15 </w:t>
      </w:r>
      <w:r w:rsidRPr="00F217E0">
        <w:rPr>
          <w:rFonts w:ascii="Arial" w:hAnsi="Arial"/>
          <w:b/>
          <w:bCs/>
          <w:noProof w:val="0"/>
          <w:sz w:val="28"/>
          <w:szCs w:val="28"/>
          <w:rtl/>
        </w:rPr>
        <w:t>כהן נ' מדינת ישראל</w:t>
      </w:r>
      <w:r w:rsidRPr="00F217E0">
        <w:rPr>
          <w:rFonts w:ascii="Arial" w:hAnsi="Arial"/>
          <w:noProof w:val="0"/>
          <w:sz w:val="28"/>
          <w:szCs w:val="28"/>
          <w:rtl/>
        </w:rPr>
        <w:t xml:space="preserve">, בסעיף 5 להחלטה (4.2.2015)). </w:t>
      </w:r>
    </w:p>
    <w:p w:rsidRPr="00F217E0" w:rsidR="00F217E0" w:rsidP="00F217E0" w:rsidRDefault="00F217E0">
      <w:pPr>
        <w:spacing w:before="120" w:after="120"/>
        <w:ind w:left="720" w:right="426"/>
        <w:contextualSpacing/>
        <w:jc w:val="both"/>
        <w:rPr>
          <w:rFonts w:ascii="Arial" w:hAnsi="Arial"/>
          <w:noProof w:val="0"/>
          <w:sz w:val="10"/>
          <w:szCs w:val="10"/>
          <w:rtl/>
        </w:rPr>
      </w:pP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 xml:space="preserve">בעניין </w:t>
      </w:r>
      <w:r w:rsidRPr="00F217E0">
        <w:rPr>
          <w:rFonts w:ascii="Arial" w:hAnsi="Arial"/>
          <w:b/>
          <w:bCs/>
          <w:noProof w:val="0"/>
          <w:sz w:val="28"/>
          <w:szCs w:val="28"/>
          <w:rtl/>
        </w:rPr>
        <w:t xml:space="preserve">ניר </w:t>
      </w:r>
      <w:r w:rsidRPr="00F217E0">
        <w:rPr>
          <w:rFonts w:ascii="Arial" w:hAnsi="Arial"/>
          <w:noProof w:val="0"/>
          <w:sz w:val="28"/>
          <w:szCs w:val="28"/>
          <w:rtl/>
        </w:rPr>
        <w:t>נדונה הסמכות הטבועה בהקשר של הטלת הוצאות אישיות על עורך דין המייצג בהליך פלילי. וכך נקבע:</w:t>
      </w:r>
    </w:p>
    <w:p w:rsidRPr="00F217E0" w:rsidR="00F217E0" w:rsidP="00F217E0" w:rsidRDefault="00F217E0">
      <w:pPr>
        <w:spacing w:before="120" w:after="120"/>
        <w:ind w:left="425"/>
        <w:contextualSpacing/>
        <w:jc w:val="both"/>
        <w:rPr>
          <w:rFonts w:ascii="Arial" w:hAnsi="Arial"/>
          <w:noProof w:val="0"/>
          <w:sz w:val="10"/>
          <w:szCs w:val="10"/>
        </w:rPr>
      </w:pPr>
    </w:p>
    <w:p w:rsidRPr="00F217E0" w:rsidR="00F217E0" w:rsidP="00F217E0" w:rsidRDefault="00F217E0">
      <w:pPr>
        <w:spacing w:before="120" w:after="120"/>
        <w:ind w:left="720" w:right="426"/>
        <w:contextualSpacing/>
        <w:jc w:val="both"/>
        <w:rPr>
          <w:rFonts w:ascii="Arial" w:hAnsi="Arial"/>
          <w:noProof w:val="0"/>
          <w:sz w:val="28"/>
          <w:szCs w:val="28"/>
          <w:rtl/>
        </w:rPr>
      </w:pPr>
      <w:r w:rsidRPr="00F217E0">
        <w:rPr>
          <w:rFonts w:ascii="Arial" w:hAnsi="Arial"/>
          <w:noProof w:val="0"/>
          <w:sz w:val="28"/>
          <w:szCs w:val="28"/>
          <w:rtl/>
        </w:rPr>
        <w:t>"</w:t>
      </w:r>
      <w:r w:rsidRPr="00F217E0">
        <w:rPr>
          <w:rFonts w:ascii="Arial" w:hAnsi="Arial"/>
          <w:b/>
          <w:bCs/>
          <w:noProof w:val="0"/>
          <w:sz w:val="28"/>
          <w:szCs w:val="28"/>
          <w:rtl/>
        </w:rPr>
        <w:t>בשאלת סמכותו של בית המשפט לחייב עורך-דין בתשלום הוצאות מעולם לא הוטל ספק, וגם בית-משפט זה עשה, לא פעם, שימוש בסמכות זו.... לכוחו של בית המשפט לעשות כן אין אחיזה בחוק החרות. מכאן שכוח זה - ככל שהוא אמנם נתון בידי בית המשפט - הריהו נובע מסמכותו הטבועה... על-פי תפיסה זו, הכוח להשית על עורך-דין חיוב</w:t>
      </w:r>
      <w:r w:rsidRPr="00F217E0">
        <w:rPr>
          <w:rFonts w:ascii="Arial" w:hAnsi="Arial"/>
          <w:b/>
          <w:bCs/>
          <w:noProof w:val="0"/>
          <w:sz w:val="28"/>
          <w:szCs w:val="28"/>
        </w:rPr>
        <w:t xml:space="preserve"> </w:t>
      </w:r>
      <w:r w:rsidRPr="00F217E0">
        <w:rPr>
          <w:rFonts w:ascii="Arial" w:hAnsi="Arial"/>
          <w:b/>
          <w:bCs/>
          <w:noProof w:val="0"/>
          <w:sz w:val="28"/>
          <w:szCs w:val="28"/>
          <w:rtl/>
        </w:rPr>
        <w:t>אישי בהוצאות מהווה חלק מן הכוחות הנתונים לבית המשפט, אשר, למרות שלא נקבעו במפורש בחוק החרות, הריהם כוחות הדרושים לו באופן טבעי והגיוני לשם מילוי תפקידו...</w:t>
      </w:r>
      <w:r w:rsidRPr="00F217E0">
        <w:rPr>
          <w:rFonts w:ascii="Arial" w:hAnsi="Arial"/>
          <w:noProof w:val="0"/>
          <w:sz w:val="28"/>
          <w:szCs w:val="28"/>
          <w:rtl/>
        </w:rPr>
        <w:t>" (בסעיף 6 לפסק הדין).</w:t>
      </w:r>
    </w:p>
    <w:p w:rsidRPr="00F217E0" w:rsidR="00F217E0" w:rsidP="00F217E0" w:rsidRDefault="00F217E0">
      <w:pPr>
        <w:spacing w:before="120" w:after="120"/>
        <w:ind w:left="720" w:right="426"/>
        <w:contextualSpacing/>
        <w:jc w:val="both"/>
        <w:rPr>
          <w:rFonts w:ascii="Arial" w:hAnsi="Arial"/>
          <w:noProof w:val="0"/>
          <w:sz w:val="10"/>
          <w:szCs w:val="10"/>
          <w:rtl/>
        </w:rPr>
      </w:pPr>
    </w:p>
    <w:p w:rsidRPr="00F217E0" w:rsidR="00F217E0" w:rsidP="00F217E0" w:rsidRDefault="00F217E0">
      <w:pPr>
        <w:spacing w:before="120" w:after="120" w:line="360" w:lineRule="auto"/>
        <w:ind w:left="425"/>
        <w:contextualSpacing/>
        <w:jc w:val="both"/>
        <w:rPr>
          <w:rFonts w:ascii="Arial" w:hAnsi="Arial"/>
          <w:noProof w:val="0"/>
          <w:sz w:val="28"/>
          <w:szCs w:val="28"/>
          <w:rtl/>
        </w:rPr>
      </w:pPr>
      <w:r w:rsidRPr="00F217E0">
        <w:rPr>
          <w:rFonts w:ascii="Arial" w:hAnsi="Arial"/>
          <w:noProof w:val="0"/>
          <w:sz w:val="28"/>
          <w:szCs w:val="28"/>
          <w:rtl/>
        </w:rPr>
        <w:t>בהמשך נכתב בהרחבה על הסמכות הטבועה, כזאת:</w:t>
      </w:r>
    </w:p>
    <w:p w:rsidRPr="00F217E0" w:rsidR="00F217E0" w:rsidP="00F217E0" w:rsidRDefault="00F217E0">
      <w:pPr>
        <w:spacing w:before="120" w:after="120"/>
        <w:ind w:left="425"/>
        <w:contextualSpacing/>
        <w:jc w:val="both"/>
        <w:rPr>
          <w:rFonts w:ascii="Arial" w:hAnsi="Arial"/>
          <w:noProof w:val="0"/>
          <w:sz w:val="10"/>
          <w:szCs w:val="10"/>
          <w:rtl/>
        </w:rPr>
      </w:pPr>
    </w:p>
    <w:p w:rsidRPr="00F217E0" w:rsidR="00F217E0" w:rsidP="00F217E0" w:rsidRDefault="00F217E0">
      <w:pPr>
        <w:spacing w:before="120" w:after="120"/>
        <w:ind w:left="720" w:right="426"/>
        <w:contextualSpacing/>
        <w:jc w:val="both"/>
        <w:rPr>
          <w:rFonts w:ascii="Arial" w:hAnsi="Arial"/>
          <w:b/>
          <w:bCs/>
          <w:noProof w:val="0"/>
          <w:sz w:val="28"/>
          <w:szCs w:val="28"/>
          <w:rtl/>
        </w:rPr>
      </w:pPr>
      <w:r w:rsidRPr="00F217E0">
        <w:rPr>
          <w:rFonts w:ascii="Arial" w:hAnsi="Arial"/>
          <w:noProof w:val="0"/>
          <w:sz w:val="28"/>
          <w:szCs w:val="28"/>
          <w:rtl/>
        </w:rPr>
        <w:t>"</w:t>
      </w:r>
      <w:r w:rsidRPr="00F217E0">
        <w:rPr>
          <w:rFonts w:ascii="Arial" w:hAnsi="Arial"/>
          <w:b/>
          <w:bCs/>
          <w:noProof w:val="0"/>
          <w:sz w:val="28"/>
          <w:szCs w:val="28"/>
          <w:rtl/>
        </w:rPr>
        <w:t>סמכותו הטבועה של בית המשפט היא סמכות שבית המשפט קונה לעצמו על-פי קביעתו הוא. ואולם סמכות טבועה אינה נוצרת, בידי בית המשפט, יש מאין. קיומה של</w:t>
      </w:r>
      <w:r w:rsidRPr="00F217E0">
        <w:rPr>
          <w:rFonts w:ascii="Arial" w:hAnsi="Arial"/>
          <w:b/>
          <w:bCs/>
          <w:noProof w:val="0"/>
          <w:sz w:val="28"/>
          <w:szCs w:val="28"/>
        </w:rPr>
        <w:t xml:space="preserve"> </w:t>
      </w:r>
      <w:r w:rsidRPr="00F217E0">
        <w:rPr>
          <w:rFonts w:ascii="Arial" w:hAnsi="Arial"/>
          <w:b/>
          <w:bCs/>
          <w:noProof w:val="0"/>
          <w:sz w:val="28"/>
          <w:szCs w:val="28"/>
          <w:rtl/>
        </w:rPr>
        <w:t>הסמכות הוא פועל-יוצא מנסיבות שבהן אי-אפשר בלעדיה. במאמרו 'ה"סמכות הטבועה" של בית המשפט'... מציין המחבר, ד"ר פ' גולדשטיין, כי לשאלה 'מהי סמכות טבועה?' אין אפשרות להשיב 'על דרך ההגדרה והנוסחה, או הפרשנות החד-משמעית, אלא על דרך ישומה והדגמתה בלבד'.... אך את העיקרון הבסיסי, שביסוד המוסד המשפטי האמור, תיאר כך:</w:t>
      </w:r>
    </w:p>
    <w:p w:rsidRPr="00F217E0" w:rsidR="00F217E0" w:rsidP="00F217E0" w:rsidRDefault="00F217E0">
      <w:pPr>
        <w:spacing w:before="120" w:after="120"/>
        <w:ind w:left="720" w:right="426"/>
        <w:contextualSpacing/>
        <w:jc w:val="both"/>
        <w:rPr>
          <w:rFonts w:ascii="Arial" w:hAnsi="Arial"/>
          <w:b/>
          <w:bCs/>
          <w:noProof w:val="0"/>
          <w:sz w:val="10"/>
          <w:szCs w:val="10"/>
          <w:rtl/>
        </w:rPr>
      </w:pPr>
    </w:p>
    <w:p w:rsidRPr="00F217E0" w:rsidR="00F217E0" w:rsidP="00F217E0" w:rsidRDefault="00F217E0">
      <w:pPr>
        <w:tabs>
          <w:tab w:val="left" w:pos="288"/>
          <w:tab w:val="left" w:pos="720"/>
        </w:tabs>
        <w:autoSpaceDE w:val="0"/>
        <w:autoSpaceDN w:val="0"/>
        <w:adjustRightInd w:val="0"/>
        <w:spacing w:before="120" w:after="120"/>
        <w:ind w:left="1134" w:right="851"/>
        <w:jc w:val="both"/>
        <w:rPr>
          <w:rFonts w:ascii="Arial" w:hAnsi="Arial"/>
          <w:b/>
          <w:bCs/>
          <w:noProof w:val="0"/>
          <w:sz w:val="28"/>
          <w:szCs w:val="28"/>
          <w:rtl/>
        </w:rPr>
      </w:pPr>
      <w:r w:rsidRPr="00F217E0">
        <w:rPr>
          <w:rFonts w:ascii="Arial" w:hAnsi="Arial"/>
          <w:b/>
          <w:bCs/>
          <w:noProof w:val="0"/>
          <w:sz w:val="28"/>
          <w:szCs w:val="28"/>
          <w:rtl/>
        </w:rPr>
        <w:t xml:space="preserve">'המינוח "סמכות טבועה" ודומיו ננקט לתיאור כוח בית-משפט ליצור, במקרים יוצאי דופן, </w:t>
      </w:r>
      <w:r w:rsidRPr="00F217E0">
        <w:rPr>
          <w:rFonts w:ascii="Arial" w:hAnsi="Arial"/>
          <w:b/>
          <w:bCs/>
          <w:noProof w:val="0"/>
          <w:sz w:val="28"/>
          <w:szCs w:val="28"/>
          <w:u w:val="single"/>
          <w:rtl/>
        </w:rPr>
        <w:t>כלים במישורי הפרוצדורה ובזיון בית המשפט, למען ההגנה על יכולתו התפקודית-מוסדית</w:t>
      </w:r>
      <w:r w:rsidRPr="00F217E0">
        <w:rPr>
          <w:rFonts w:ascii="Arial" w:hAnsi="Arial"/>
          <w:b/>
          <w:bCs/>
          <w:noProof w:val="0"/>
          <w:sz w:val="28"/>
          <w:szCs w:val="28"/>
          <w:rtl/>
        </w:rPr>
        <w:t>, להבטחת אי-ניצול הליכיו לרעה ומניעת אי-צדק בולט, העלול לנבוע מקביעת מועדים לעשיית פעולה בפסק דין...'</w:t>
      </w:r>
    </w:p>
    <w:p w:rsidRPr="00F217E0" w:rsidR="00F217E0" w:rsidP="00F217E0" w:rsidRDefault="00F217E0">
      <w:pPr>
        <w:spacing w:before="120" w:after="120"/>
        <w:ind w:left="720" w:right="426"/>
        <w:contextualSpacing/>
        <w:jc w:val="both"/>
        <w:rPr>
          <w:rFonts w:ascii="Arial" w:hAnsi="Arial"/>
          <w:noProof w:val="0"/>
          <w:sz w:val="28"/>
          <w:szCs w:val="28"/>
          <w:rtl/>
        </w:rPr>
      </w:pPr>
      <w:r w:rsidRPr="00F217E0">
        <w:rPr>
          <w:rFonts w:ascii="Arial" w:hAnsi="Arial"/>
          <w:b/>
          <w:bCs/>
          <w:noProof w:val="0"/>
          <w:sz w:val="28"/>
          <w:szCs w:val="28"/>
          <w:rtl/>
        </w:rPr>
        <w:t xml:space="preserve">יצוין כי </w:t>
      </w:r>
      <w:r w:rsidRPr="00F217E0">
        <w:rPr>
          <w:rFonts w:ascii="Arial" w:hAnsi="Arial"/>
          <w:b/>
          <w:bCs/>
          <w:noProof w:val="0"/>
          <w:sz w:val="28"/>
          <w:szCs w:val="28"/>
          <w:u w:val="single"/>
          <w:rtl/>
        </w:rPr>
        <w:t>התנאים הנזכרים</w:t>
      </w:r>
      <w:r w:rsidRPr="00F217E0">
        <w:rPr>
          <w:rFonts w:ascii="Arial" w:hAnsi="Arial"/>
          <w:b/>
          <w:bCs/>
          <w:noProof w:val="0"/>
          <w:sz w:val="28"/>
          <w:szCs w:val="28"/>
          <w:rtl/>
        </w:rPr>
        <w:t xml:space="preserve"> להיווצרותה של 'סמכות טבועה' </w:t>
      </w:r>
      <w:r w:rsidRPr="00F217E0">
        <w:rPr>
          <w:rFonts w:ascii="Arial" w:hAnsi="Arial"/>
          <w:b/>
          <w:bCs/>
          <w:noProof w:val="0"/>
          <w:sz w:val="28"/>
          <w:szCs w:val="28"/>
          <w:u w:val="single"/>
          <w:rtl/>
        </w:rPr>
        <w:t>אינם בהכרח מצטברים</w:t>
      </w:r>
      <w:r w:rsidRPr="00F217E0">
        <w:rPr>
          <w:rFonts w:ascii="Arial" w:hAnsi="Arial"/>
          <w:b/>
          <w:bCs/>
          <w:noProof w:val="0"/>
          <w:sz w:val="28"/>
          <w:szCs w:val="28"/>
          <w:rtl/>
        </w:rPr>
        <w:t>. הווי אומר, יש שהסמכות נוצרת בהיותה דרושה וחיונית לשם הגנה על יכולתו התיפקודית-מוסדית של בית המשפט...; ויש ש'קיומה של "סמכות טבועה" הוא פועל יוצא של הנסיבות הקוראות למתן סעד דיוני, שבית המשפט איננו רשאי, משיקולי עשיית צדק, למונעו מן הנזקק לו' ... אך הכלל הוא, שבסמכותו הטבועה אין בית המשפט משתמש אלא במקרים שבהם נדרש הדבר באופן חיוני, למטרה הכרחית שאין בידי בית המשפט להשיגה במסגרת סמכותו הרגילה.</w:t>
      </w:r>
      <w:r w:rsidRPr="00F217E0">
        <w:rPr>
          <w:rFonts w:ascii="Arial" w:hAnsi="Arial"/>
          <w:noProof w:val="0"/>
          <w:sz w:val="28"/>
          <w:szCs w:val="28"/>
          <w:rtl/>
        </w:rPr>
        <w:t xml:space="preserve">" (בסעיף 7 לפסק הדין). </w:t>
      </w:r>
    </w:p>
    <w:p w:rsidRPr="00F217E0" w:rsidR="00F217E0" w:rsidP="00F217E0" w:rsidRDefault="00F217E0">
      <w:pPr>
        <w:spacing w:before="120" w:after="120"/>
        <w:ind w:left="720" w:right="426"/>
        <w:contextualSpacing/>
        <w:jc w:val="both"/>
        <w:rPr>
          <w:rFonts w:ascii="Arial" w:hAnsi="Arial"/>
          <w:noProof w:val="0"/>
          <w:sz w:val="10"/>
          <w:szCs w:val="10"/>
          <w:rtl/>
        </w:rPr>
      </w:pP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 xml:space="preserve">העולה מכל האמור הוא כי לבית הדין סמכות להשית הוצאות על נאשם במסגרת הליך פלילי (לרבות בערעור פסלות בהליך פלילי וכן בערר בעניין עיון בחומר </w:t>
      </w:r>
      <w:r w:rsidRPr="00F217E0">
        <w:rPr>
          <w:rFonts w:ascii="Arial" w:hAnsi="Arial"/>
          <w:noProof w:val="0"/>
          <w:sz w:val="28"/>
          <w:szCs w:val="28"/>
          <w:rtl/>
        </w:rPr>
        <w:lastRenderedPageBreak/>
        <w:t>חקירה), וזאת מכוח סמכותו הטבועה. עם זאת, בית הדין יעשה שימוש בסמכות זו במקרים חריגים בלבד</w:t>
      </w:r>
      <w:r>
        <w:rPr>
          <w:rFonts w:hint="cs" w:ascii="Arial" w:hAnsi="Arial"/>
          <w:noProof w:val="0"/>
          <w:sz w:val="28"/>
          <w:szCs w:val="28"/>
          <w:rtl/>
        </w:rPr>
        <w:t>, למשל מקרים</w:t>
      </w:r>
      <w:r w:rsidRPr="00F217E0">
        <w:rPr>
          <w:rFonts w:ascii="Arial" w:hAnsi="Arial"/>
          <w:noProof w:val="0"/>
          <w:sz w:val="28"/>
          <w:szCs w:val="28"/>
          <w:rtl/>
        </w:rPr>
        <w:t xml:space="preserve"> שבהם התנהלותו של הנאשם היא מבזה במיוחד, או שהיא עולה כדי שימוש לרעה בהליכי משפט (ראו לעניין זה החלטה בעפ"א (ארצי) 3904-01-18 </w:t>
      </w:r>
      <w:r w:rsidRPr="00F217E0">
        <w:rPr>
          <w:rFonts w:ascii="Arial" w:hAnsi="Arial"/>
          <w:b/>
          <w:bCs/>
          <w:noProof w:val="0"/>
          <w:sz w:val="28"/>
          <w:szCs w:val="28"/>
          <w:rtl/>
        </w:rPr>
        <w:t>אופקים א.ג. בע"מ נ' מדינת ישראל</w:t>
      </w:r>
      <w:r w:rsidRPr="00F217E0">
        <w:rPr>
          <w:rFonts w:ascii="Arial" w:hAnsi="Arial"/>
          <w:noProof w:val="0"/>
          <w:sz w:val="28"/>
          <w:szCs w:val="28"/>
          <w:rtl/>
        </w:rPr>
        <w:t xml:space="preserve"> (7.3.2018), מפי חברי השופט אילן סופר, שבה חויבו המערערים בהוצאות בשיעור של 15,000 ש"ח בגין הליכים טורדניים ומיותרים והתנהלות הגורמת לבזבוז זמן שיפוטי, וכן החלטה בעפ"א (ארצי) 33943-10-14 </w:t>
      </w:r>
      <w:r w:rsidRPr="00F217E0">
        <w:rPr>
          <w:rFonts w:ascii="Arial" w:hAnsi="Arial"/>
          <w:b/>
          <w:bCs/>
          <w:noProof w:val="0"/>
          <w:sz w:val="28"/>
          <w:szCs w:val="28"/>
          <w:rtl/>
        </w:rPr>
        <w:t>אביר נ' מדינת ישראל</w:t>
      </w:r>
      <w:r w:rsidRPr="00F217E0">
        <w:rPr>
          <w:rFonts w:ascii="Arial" w:hAnsi="Arial"/>
          <w:noProof w:val="0"/>
          <w:sz w:val="28"/>
          <w:szCs w:val="28"/>
          <w:rtl/>
        </w:rPr>
        <w:t xml:space="preserve"> (8.2.2015), מפי חברתי השופטת לאה גליקסמן, שבמסגרתה חויבו המערערים בהוצאות בשיעור של 10,000 ש"ח בגין התנהלות שמטרתה להכביד על עובדי המדינה המטפלים בעניינם ולהתישם).</w:t>
      </w:r>
    </w:p>
    <w:p w:rsidRPr="00F217E0" w:rsidR="00F217E0" w:rsidP="00F217E0" w:rsidRDefault="00F217E0">
      <w:pPr>
        <w:spacing w:before="120" w:after="120" w:line="360" w:lineRule="auto"/>
        <w:contextualSpacing/>
        <w:jc w:val="both"/>
        <w:rPr>
          <w:rFonts w:ascii="Arial" w:hAnsi="Arial"/>
          <w:b/>
          <w:bCs/>
          <w:noProof w:val="0"/>
          <w:sz w:val="28"/>
          <w:szCs w:val="28"/>
        </w:rPr>
      </w:pPr>
      <w:r w:rsidRPr="00F217E0">
        <w:rPr>
          <w:rFonts w:ascii="Arial" w:hAnsi="Arial"/>
          <w:b/>
          <w:bCs/>
          <w:noProof w:val="0"/>
          <w:sz w:val="28"/>
          <w:szCs w:val="28"/>
          <w:u w:val="single"/>
          <w:rtl/>
        </w:rPr>
        <w:t>מן הכלל אל הפרט</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אפתח בכך שהמדינה, בעמדתה, התייחסה לחיוב המערערים בהוצאות לא רק בשל התבטאויות המערערים אלא גם בשל התנהלותם המכבידה. אולם בפסק הדין נשקלה הטלת ההוצאות אך ורק "</w:t>
      </w:r>
      <w:r w:rsidRPr="00F217E0">
        <w:rPr>
          <w:rFonts w:ascii="Arial" w:hAnsi="Arial"/>
          <w:b/>
          <w:bCs/>
          <w:noProof w:val="0"/>
          <w:sz w:val="28"/>
          <w:szCs w:val="28"/>
          <w:rtl/>
        </w:rPr>
        <w:t>בשים לב ללשון הבוטה והמשתלחת</w:t>
      </w:r>
      <w:r w:rsidRPr="00F217E0">
        <w:rPr>
          <w:rFonts w:ascii="Arial" w:hAnsi="Arial"/>
          <w:noProof w:val="0"/>
          <w:sz w:val="28"/>
          <w:szCs w:val="28"/>
          <w:rtl/>
        </w:rPr>
        <w:t>" של המערערים, ורק זו היא מסגרת הדיון.</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Pr>
      </w:pPr>
      <w:r w:rsidRPr="00F217E0">
        <w:rPr>
          <w:rFonts w:ascii="Arial" w:hAnsi="Arial"/>
          <w:noProof w:val="0"/>
          <w:sz w:val="28"/>
          <w:szCs w:val="28"/>
          <w:rtl/>
        </w:rPr>
        <w:t>המערערים מִצִדם, נדמה כי נתפסו לבלבול. הדבר ניכר במיוחד בניסיונם להצדיק את התבטאויותיהם בכך ש"</w:t>
      </w:r>
      <w:r w:rsidRPr="00F217E0">
        <w:rPr>
          <w:rFonts w:ascii="Arial" w:hAnsi="Arial"/>
          <w:b/>
          <w:bCs/>
          <w:noProof w:val="0"/>
          <w:sz w:val="28"/>
          <w:szCs w:val="28"/>
          <w:rtl/>
        </w:rPr>
        <w:t>גם בתי המשפט התבטאו בהתבטאויות מאוד קשות על נבחרי ציבור</w:t>
      </w:r>
      <w:r w:rsidRPr="00F217E0">
        <w:rPr>
          <w:rFonts w:ascii="Arial" w:hAnsi="Arial"/>
          <w:noProof w:val="0"/>
          <w:sz w:val="28"/>
          <w:szCs w:val="28"/>
          <w:rtl/>
        </w:rPr>
        <w:t>" אך "</w:t>
      </w:r>
      <w:r w:rsidRPr="00F217E0">
        <w:rPr>
          <w:rFonts w:ascii="Arial" w:hAnsi="Arial"/>
          <w:b/>
          <w:bCs/>
          <w:noProof w:val="0"/>
          <w:sz w:val="28"/>
          <w:szCs w:val="28"/>
          <w:rtl/>
        </w:rPr>
        <w:t>אף לא גורם אחד טען שראוי להעמיד את בית המשפט לדין על העלבת עובד ציבור</w:t>
      </w:r>
      <w:r w:rsidRPr="00F217E0">
        <w:rPr>
          <w:rFonts w:ascii="Arial" w:hAnsi="Arial"/>
          <w:noProof w:val="0"/>
          <w:sz w:val="28"/>
          <w:szCs w:val="28"/>
          <w:rtl/>
        </w:rPr>
        <w:t xml:space="preserve">". ראשית, איש לא ביקש להאשים את המערערים, במסגרת פסק הדין, בעבירה של העלבת עובד ציבור (הגם שייתכן שאין זה מופרך בנסיבות העניין). שנית ועיקר, קביעות של ערכאות שיפוטיות שונות ביחס למעשים פליליים של נבחרי ציבור, רמי מעלה ככל שיהיו, אינן בגדר "התבטאויות קשות", אלא הן התבטאויות המבטאות מציאות קשה, שנעשתה על ידי אותם נבחרי ציבור. לא ההתבטאויות הן קשות אלא המציאות המשתקפת מהן. זאת בניגוד גמור להתבטאויות של המערערים, שאין טרוניה כלפי התוכן שלהן, כי אם כלפי צורת ביטוין. מדי יום ביומו נפתחים בבית דין זה עשרות הליכים המבקשים להשיג על קביעותיהם של בתי הדין האזוריים (ושל בית דין זה, בהליך ערעור רשם). מטבע הדברים בהליכים אלה נטען לטעויות כאלה ואחרות שנפלו תחת ידי בתי הדין. זכותו של כל בעל דין להעלות טענות כאלה, וזהו הרי דבר אינהרנטי להליך ערעורי, והדבר הוא לגיטימי מאין כמותו – כל עוד נעשה בלשון ראויה. </w:t>
      </w:r>
    </w:p>
    <w:p w:rsidRPr="00F217E0" w:rsidR="00F217E0" w:rsidP="00F217E0" w:rsidRDefault="00F217E0">
      <w:pPr>
        <w:spacing w:before="120" w:after="120" w:line="360" w:lineRule="auto"/>
        <w:ind w:left="425"/>
        <w:contextualSpacing/>
        <w:jc w:val="both"/>
        <w:rPr>
          <w:rFonts w:ascii="Arial" w:hAnsi="Arial"/>
          <w:noProof w:val="0"/>
          <w:sz w:val="28"/>
          <w:szCs w:val="28"/>
          <w:rtl/>
        </w:rPr>
      </w:pPr>
      <w:r w:rsidRPr="00F217E0">
        <w:rPr>
          <w:rFonts w:ascii="Arial" w:hAnsi="Arial"/>
          <w:noProof w:val="0"/>
          <w:sz w:val="28"/>
          <w:szCs w:val="28"/>
          <w:rtl/>
        </w:rPr>
        <w:lastRenderedPageBreak/>
        <w:t>לא כך נהגו המערערים. בהתבטאויותיהם כלפי בית הדין קמא עשו המערערים שימוש בלשון צינית, מזלזלת, מבזה ומביישת, החורגת עד מאד מהמקובל. וכפי שציינתי בפסק הדין: "</w:t>
      </w:r>
      <w:r w:rsidRPr="00F217E0">
        <w:rPr>
          <w:rFonts w:ascii="Arial" w:hAnsi="Arial"/>
          <w:b/>
          <w:bCs/>
          <w:noProof w:val="0"/>
          <w:sz w:val="28"/>
          <w:szCs w:val="28"/>
          <w:rtl/>
        </w:rPr>
        <w:t>אמירות מסוג זה... מבטאות זלזול עמוק מצדם של המערערים בכבוד השופטת, כמו גם בבית הדין האזורי ובכלל מערכת המשפט, והן עומדות בניגוד מוחלט לחובתו של בעל דין, כמו כלל באי בית המשפט,</w:t>
      </w:r>
      <w:r w:rsidRPr="00F217E0">
        <w:rPr>
          <w:rFonts w:ascii="Arial" w:hAnsi="Arial"/>
          <w:noProof w:val="0"/>
          <w:sz w:val="28"/>
          <w:szCs w:val="28"/>
          <w:rtl/>
        </w:rPr>
        <w:t xml:space="preserve"> </w:t>
      </w:r>
      <w:r w:rsidRPr="00F217E0">
        <w:rPr>
          <w:rFonts w:ascii="Arial" w:hAnsi="Arial"/>
          <w:b/>
          <w:bCs/>
          <w:noProof w:val="0"/>
          <w:sz w:val="28"/>
          <w:szCs w:val="28"/>
          <w:rtl/>
        </w:rPr>
        <w:t>'לנהוג בכבוד, באיפוק ובדרך ארץ, כלפי בית המשפט, בינם לבין עצמם, וכלפי הציבור בכללותו' (...)</w:t>
      </w:r>
      <w:r w:rsidRPr="00F217E0">
        <w:rPr>
          <w:rFonts w:ascii="Arial" w:hAnsi="Arial"/>
          <w:noProof w:val="0"/>
          <w:sz w:val="28"/>
          <w:szCs w:val="28"/>
          <w:rtl/>
        </w:rPr>
        <w:t xml:space="preserve">" (בסעיף 16 לפסק הדין). </w:t>
      </w:r>
    </w:p>
    <w:p w:rsidRPr="00F217E0" w:rsidR="00F217E0" w:rsidP="00F217E0" w:rsidRDefault="00F217E0">
      <w:pPr>
        <w:numPr>
          <w:ilvl w:val="0"/>
          <w:numId w:val="1"/>
        </w:numPr>
        <w:spacing w:before="120" w:after="120" w:line="360" w:lineRule="auto"/>
        <w:ind w:left="425" w:hanging="425"/>
        <w:contextualSpacing/>
        <w:jc w:val="both"/>
        <w:rPr>
          <w:rFonts w:ascii="Arial" w:hAnsi="Arial"/>
          <w:noProof w:val="0"/>
          <w:sz w:val="28"/>
          <w:szCs w:val="28"/>
          <w:rtl/>
        </w:rPr>
      </w:pPr>
      <w:r w:rsidRPr="00F217E0">
        <w:rPr>
          <w:rFonts w:ascii="Arial" w:hAnsi="Arial"/>
          <w:noProof w:val="0"/>
          <w:sz w:val="28"/>
          <w:szCs w:val="28"/>
          <w:rtl/>
        </w:rPr>
        <w:t>בנסיבות אלה ולאור הכללים שהותוו בפסיקה לשימוש בסמכות הטבועה, הגעתי לכלל מסקנה כי המקרה דנן נכנס בגדר אותם מקרים חריגים המצדיקים עשיית שימוש בסמכותו הטבועה של בית הדין לשם חיוב המערערים-הנאשמים בהוצאות משפט לטובת אוצר המדינה, על מנת להגן על יכולתו התפקודית-מוסדית של בית הדין. הביטויים שבהם השתמשו המערערים במסגרת ההליך מבטאים זלזול גמור כלפי בית הדין קמא, במידה כזו שאם לא תיענה בהטלת הוצאות, עלולה לפגוע בתפקודו של בית הדין. אשר על כן, המערערים יישאו בהוצאות משפט לטובת אוצר המדינה בשיעור של 10,000 ₪, שישולמו בתוך 30 יום ממועד קבלת החלטה זו על ידם.</w:t>
      </w:r>
    </w:p>
    <w:p w:rsidRPr="00A11C31" w:rsidR="00694556" w:rsidRDefault="00694556">
      <w:pPr>
        <w:spacing w:line="360" w:lineRule="auto"/>
        <w:jc w:val="both"/>
        <w:rPr>
          <w:rFonts w:ascii="Arial" w:hAnsi="Arial"/>
          <w:noProof w:val="0"/>
          <w:sz w:val="28"/>
          <w:szCs w:val="28"/>
          <w:rtl/>
        </w:rPr>
      </w:pPr>
    </w:p>
    <w:p w:rsidR="00694556" w:rsidRDefault="00694556">
      <w:pPr>
        <w:spacing w:line="360" w:lineRule="auto"/>
        <w:jc w:val="both"/>
        <w:rPr>
          <w:rFonts w:ascii="Arial" w:hAnsi="Arial"/>
          <w:noProof w:val="0"/>
          <w:rtl/>
        </w:rPr>
      </w:pPr>
    </w:p>
    <w:p w:rsidRPr="00991619" w:rsidR="00694556" w:rsidP="007F0805" w:rsidRDefault="0043502B">
      <w:pPr>
        <w:spacing w:line="360" w:lineRule="auto"/>
        <w:jc w:val="both"/>
        <w:rPr>
          <w:rFonts w:ascii="Arial" w:hAnsi="Arial"/>
          <w:noProof w:val="0"/>
          <w:sz w:val="28"/>
          <w:szCs w:val="28"/>
          <w:rtl/>
        </w:rPr>
      </w:pPr>
      <w:r w:rsidRPr="00991619">
        <w:rPr>
          <w:rFonts w:ascii="Arial" w:hAnsi="Arial"/>
          <w:noProof w:val="0"/>
          <w:sz w:val="28"/>
          <w:szCs w:val="28"/>
          <w:rtl/>
        </w:rPr>
        <w:t>נית</w:t>
      </w:r>
      <w:r w:rsidRPr="00991619">
        <w:rPr>
          <w:rFonts w:hint="cs" w:ascii="Arial" w:hAnsi="Arial"/>
          <w:noProof w:val="0"/>
          <w:sz w:val="28"/>
          <w:szCs w:val="28"/>
          <w:rtl/>
        </w:rPr>
        <w:t>נה</w:t>
      </w:r>
      <w:r w:rsidRPr="00991619" w:rsidR="00005C8B">
        <w:rPr>
          <w:rFonts w:ascii="Arial" w:hAnsi="Arial"/>
          <w:noProof w:val="0"/>
          <w:sz w:val="28"/>
          <w:szCs w:val="28"/>
          <w:rtl/>
        </w:rPr>
        <w:t xml:space="preserve"> היום,  </w:t>
      </w:r>
      <w:sdt>
        <w:sdtPr>
          <w:rPr>
            <w:rtl/>
          </w:rPr>
          <w:alias w:val="1455"/>
          <w:tag w:val="1455"/>
          <w:id w:val="-1193611124"/>
          <w:text w:multiLine="1"/>
        </w:sdtPr>
        <w:sdtEndPr/>
        <w:sdtContent>
          <w:r>
            <w:rPr>
              <w:rFonts w:ascii="Arial" w:hAnsi="Arial"/>
              <w:noProof w:val="0"/>
              <w:sz w:val="28"/>
              <w:szCs w:val="28"/>
              <w:rtl/>
            </w:rPr>
            <w:t>כ"ז ניסן תשע"ח</w:t>
          </w:r>
        </w:sdtContent>
      </w:sdt>
      <w:r w:rsidRPr="00991619" w:rsidR="00005C8B">
        <w:rPr>
          <w:rFonts w:ascii="Arial" w:hAnsi="Arial"/>
          <w:noProof w:val="0"/>
          <w:sz w:val="28"/>
          <w:szCs w:val="28"/>
          <w:rtl/>
        </w:rPr>
        <w:t xml:space="preserve"> </w:t>
      </w:r>
      <w:r w:rsidRPr="00991619" w:rsidR="007F0805">
        <w:rPr>
          <w:rFonts w:hint="cs" w:ascii="Arial" w:hAnsi="Arial"/>
          <w:noProof w:val="0"/>
          <w:sz w:val="28"/>
          <w:szCs w:val="28"/>
          <w:rtl/>
        </w:rPr>
        <w:t>(</w:t>
      </w:r>
      <w:sdt>
        <w:sdtPr>
          <w:rPr>
            <w:rtl/>
          </w:rPr>
          <w:alias w:val="1456"/>
          <w:tag w:val="1456"/>
          <w:id w:val="-1703007036"/>
          <w:text w:multiLine="1"/>
        </w:sdtPr>
        <w:sdtEndPr/>
        <w:sdtContent>
          <w:r>
            <w:rPr>
              <w:rFonts w:ascii="Arial" w:hAnsi="Arial"/>
              <w:noProof w:val="0"/>
              <w:sz w:val="28"/>
              <w:szCs w:val="28"/>
              <w:rtl/>
            </w:rPr>
            <w:t>12 אפריל 2018</w:t>
          </w:r>
        </w:sdtContent>
      </w:sdt>
      <w:r w:rsidRPr="00991619" w:rsidR="007F0805">
        <w:rPr>
          <w:rFonts w:hint="cs" w:ascii="Arial" w:hAnsi="Arial"/>
          <w:noProof w:val="0"/>
          <w:sz w:val="28"/>
          <w:szCs w:val="28"/>
          <w:rtl/>
        </w:rPr>
        <w:t>)</w:t>
      </w:r>
      <w:r w:rsidRPr="00991619" w:rsidR="00005C8B">
        <w:rPr>
          <w:rFonts w:ascii="Arial" w:hAnsi="Arial"/>
          <w:noProof w:val="0"/>
          <w:sz w:val="28"/>
          <w:szCs w:val="28"/>
          <w:rtl/>
        </w:rPr>
        <w:t xml:space="preserve"> בהעדר הצדדים</w:t>
      </w:r>
      <w:r w:rsidRPr="00991619" w:rsidR="007F0805">
        <w:rPr>
          <w:rFonts w:hint="cs" w:ascii="Arial" w:hAnsi="Arial"/>
          <w:noProof w:val="0"/>
          <w:sz w:val="28"/>
          <w:szCs w:val="28"/>
          <w:rtl/>
        </w:rPr>
        <w:t xml:space="preserve"> ותישלח אליהם</w:t>
      </w:r>
      <w:r w:rsidRPr="00991619" w:rsidR="00005C8B">
        <w:rPr>
          <w:rFonts w:ascii="Arial" w:hAnsi="Arial"/>
          <w:noProof w:val="0"/>
          <w:sz w:val="28"/>
          <w:szCs w:val="28"/>
          <w:rtl/>
        </w:rPr>
        <w:t>.</w:t>
      </w:r>
    </w:p>
    <w:p w:rsidR="00694556" w:rsidRDefault="00694556">
      <w:pPr>
        <w:spacing w:line="360" w:lineRule="auto"/>
        <w:jc w:val="both"/>
        <w:rPr>
          <w:rFonts w:ascii="Arial" w:hAnsi="Arial"/>
          <w:noProof w:val="0"/>
          <w:rtl/>
        </w:rPr>
      </w:pPr>
    </w:p>
    <w:p w:rsidR="00694556" w:rsidP="00D133B8" w:rsidRDefault="001B19BE">
      <w:pPr>
        <w:spacing w:line="360" w:lineRule="auto"/>
        <w:ind w:left="3600" w:firstLine="720"/>
        <w:jc w:val="both"/>
        <w:rPr>
          <w:rFonts w:ascii="Arial" w:hAnsi="Arial"/>
          <w:noProof w:val="0"/>
          <w:rtl/>
        </w:rPr>
      </w:pPr>
      <w:sdt>
        <w:sdtPr>
          <w:alias w:val="MergeField"/>
          <w:tag w:val="1237"/>
        </w:sdtPr>
        <w:sdtContent>
          <w:p>
            <w:r>
              <w:drawing>
                <wp:inline distT="0" distB="0" distL="0" distR="0" wp14:editId="50D07946">
                  <wp:extent cx="1120140" cy="121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996e49925a04ddd" cstate="print">
                            <a:extLst>
                              <a:ext uri="{28A0092B-C50C-407E-A947-70E740481C1C}"/>
                            </a:extLst>
                          </a:blip>
                          <a:stretch>
                            <a:fillRect/>
                          </a:stretch>
                        </pic:blipFill>
                        <pic:spPr>
                          <a:xfrm>
                            <a:off x="0" y="0"/>
                            <a:ext cx="1120140" cy="1211580"/>
                          </a:xfrm>
                          <a:prstGeom prst="rect">
                            <a:avLst/>
                          </a:prstGeom>
                        </pic:spPr>
                      </pic:pic>
                    </a:graphicData>
                  </a:graphic>
                </wp:inline>
              </w:drawing>
            </w:r>
          </w:p>
        </w:sdtContent>
      </w:sdt>
    </w:p>
    <w:sectPr w:rsidR="00694556" w:rsidSect="001229FA">
      <w:headerReference w:type="default" r:id="rId9"/>
      <w:footerReference w:type="default" r:id="rId10"/>
      <w:pgSz w:w="11907" w:h="16840" w:code="9"/>
      <w:pgMar w:top="720" w:right="1701" w:bottom="1134" w:left="1701" w:header="720" w:footer="737"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94E2B">
    <w:pPr>
      <w:pStyle w:val="a5"/>
      <w:jc w:val="center"/>
      <w:rPr>
        <w:rStyle w:val="ac"/>
      </w:rPr>
    </w:pPr>
    <w:r w:rsidRPr="004E6E3C">
      <w:rPr>
        <w:rStyle w:val="ac"/>
        <w:rFonts w:cs="Times New Roman"/>
      </w:rPr>
      <w:fldChar w:fldCharType="begin"/>
    </w:r>
    <w:r w:rsidRPr="004E6E3C" w:rsidR="00005C8B">
      <w:rPr>
        <w:rStyle w:val="ac"/>
        <w:rFonts w:cs="Times New Roman"/>
      </w:rPr>
      <w:instrText xml:space="preserve"> PAGE </w:instrText>
    </w:r>
    <w:r w:rsidRPr="004E6E3C">
      <w:rPr>
        <w:rStyle w:val="ac"/>
        <w:rFonts w:cs="Times New Roman"/>
      </w:rPr>
      <w:fldChar w:fldCharType="separate"/>
    </w:r>
    <w:r w:rsidR="001B19BE">
      <w:rPr>
        <w:rStyle w:val="ac"/>
        <w:rFonts w:cs="Times New Roman"/>
        <w:rtl/>
      </w:rPr>
      <w:t>1</w:t>
    </w:r>
    <w:r w:rsidRPr="004E6E3C">
      <w:rPr>
        <w:rStyle w:val="ac"/>
        <w:rFonts w:cs="Times New Roman"/>
      </w:rPr>
      <w:fldChar w:fldCharType="end"/>
    </w:r>
    <w:r w:rsidRPr="004E6E3C" w:rsidR="00005C8B">
      <w:rPr>
        <w:rStyle w:val="ac"/>
        <w:rFonts w:hint="cs"/>
        <w:rtl/>
      </w:rPr>
      <w:t xml:space="preserve"> מתוך </w:t>
    </w:r>
    <w:r w:rsidRPr="004E6E3C">
      <w:rPr>
        <w:rStyle w:val="ac"/>
      </w:rPr>
      <w:fldChar w:fldCharType="begin"/>
    </w:r>
    <w:r w:rsidRPr="004E6E3C" w:rsidR="00005C8B">
      <w:rPr>
        <w:rStyle w:val="ac"/>
      </w:rPr>
      <w:instrText xml:space="preserve"> NUMPAGES </w:instrText>
    </w:r>
    <w:r w:rsidRPr="004E6E3C">
      <w:rPr>
        <w:rStyle w:val="ac"/>
      </w:rPr>
      <w:fldChar w:fldCharType="separate"/>
    </w:r>
    <w:r w:rsidR="001B19BE">
      <w:rPr>
        <w:rStyle w:val="ac"/>
        <w:rtl/>
      </w:rPr>
      <w:t>6</w:t>
    </w:r>
    <w:r w:rsidRPr="004E6E3C">
      <w:rPr>
        <w:rStyle w:val="ac"/>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B19BE">
    <w:pPr>
      <w:pStyle w:val="a3"/>
      <w:jc w:val="center"/>
      <w:rPr>
        <w:rFonts w:cs="FrankRuehl"/>
        <w:noProof w:val="0"/>
        <w:sz w:val="28"/>
        <w:szCs w:val="28"/>
        <w:rtl/>
      </w:rPr>
    </w:pPr>
    <w:r>
      <w:rPr>
        <w:rFonts w:cs="FrankRuehl"/>
        <w:sz w:val="28"/>
        <w:szCs w:val="28"/>
        <w:rtl/>
      </w:rPr>
    </w:r>
    <w:r w:rsidR="00A23F15">
      <w:rPr>
        <w:rFonts w:cs="FrankRuehl"/>
        <w:sz w:val="28"/>
        <w:szCs w:val="28"/>
      </w:rPr>
      <w:drawing>
        <wp:inline distT="0" distB="0" distL="0" distR="0" wp14:anchorId="080C27C1" wp14:editId="555DBB4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sz w:val="36"/>
            <w:szCs w:val="36"/>
            <w:rtl/>
          </w:rPr>
          <w:alias w:val="1174"/>
          <w:tag w:val="1174"/>
          <w:id w:val="-140737790"/>
          <w:text/>
        </w:sdtPr>
        <w:sdtEndPr/>
        <w:sdtContent>
          <w:tc>
            <w:tcPr>
              <w:tcW w:w="8721" w:type="dxa"/>
              <w:gridSpan w:val="2"/>
            </w:tcPr>
            <w:p w:rsidRPr="00991619" w:rsidR="00694556" w:rsidRDefault="00005C8B">
              <w:pPr>
                <w:pStyle w:val="a3"/>
                <w:jc w:val="center"/>
                <w:rPr>
                  <w:rFonts w:ascii="Tahoma" w:hAnsi="Tahoma"/>
                  <w:noProof w:val="0"/>
                  <w:color w:val="000080"/>
                  <w:sz w:val="36"/>
                  <w:szCs w:val="36"/>
                  <w:rtl/>
                </w:rPr>
              </w:pPr>
              <w:r w:rsidRPr="00991619">
                <w:rPr>
                  <w:rFonts w:ascii="Tahoma" w:hAnsi="Tahoma"/>
                  <w:b/>
                  <w:bCs/>
                  <w:noProof w:val="0"/>
                  <w:color w:val="000080"/>
                  <w:sz w:val="36"/>
                  <w:szCs w:val="36"/>
                  <w:rtl/>
                </w:rPr>
                <w:t>בית הדין הארצי לעבודה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A477AA" w:rsidP="00E52367" w:rsidRDefault="001B19BE">
          <w:pPr>
            <w:jc w:val="right"/>
            <w:rPr>
              <w:sz w:val="28"/>
              <w:szCs w:val="28"/>
              <w:rtl/>
            </w:rPr>
          </w:pPr>
          <w:sdt>
            <w:sdtPr>
              <w:rPr>
                <w:sz w:val="28"/>
                <w:szCs w:val="28"/>
                <w:rtl/>
              </w:rPr>
              <w:alias w:val="1170"/>
              <w:tag w:val="1170"/>
              <w:id w:val="1350066499"/>
              <w:text w:multiLine="1"/>
            </w:sdtPr>
            <w:sdtEndPr/>
            <w:sdtContent>
              <w:r w:rsidR="00413250">
                <w:rPr>
                  <w:b/>
                  <w:bCs/>
                  <w:sz w:val="28"/>
                  <w:szCs w:val="28"/>
                  <w:rtl/>
                </w:rPr>
                <w:t>עפ"ס</w:t>
              </w:r>
            </w:sdtContent>
          </w:sdt>
          <w:r w:rsidRPr="00991619" w:rsidR="00A573CE">
            <w:rPr>
              <w:b/>
              <w:bCs/>
              <w:sz w:val="28"/>
              <w:szCs w:val="28"/>
              <w:rtl/>
            </w:rPr>
            <w:t xml:space="preserve"> </w:t>
          </w:r>
          <w:sdt>
            <w:sdtPr>
              <w:rPr>
                <w:sz w:val="28"/>
                <w:szCs w:val="28"/>
                <w:rtl/>
              </w:rPr>
              <w:alias w:val="1171"/>
              <w:tag w:val="1171"/>
              <w:id w:val="-1493478238"/>
              <w:text w:multiLine="1"/>
            </w:sdtPr>
            <w:sdtEndPr/>
            <w:sdtContent>
              <w:r w:rsidR="00413250">
                <w:rPr>
                  <w:b/>
                  <w:bCs/>
                  <w:sz w:val="28"/>
                  <w:szCs w:val="28"/>
                  <w:rtl/>
                </w:rPr>
                <w:t>15792-07-17</w:t>
              </w:r>
            </w:sdtContent>
          </w:sdt>
          <w:r w:rsidRPr="00991619" w:rsidR="00A573CE">
            <w:rPr>
              <w:b/>
              <w:bCs/>
              <w:sz w:val="28"/>
              <w:szCs w:val="28"/>
              <w:rtl/>
            </w:rPr>
            <w:t xml:space="preserve"> </w:t>
          </w:r>
        </w:p>
        <w:p w:rsidR="00575794" w:rsidRDefault="00575794">
          <w:pPr>
            <w:jc w:val="right"/>
            <w:rPr>
              <w:sz w:val="28"/>
              <w:szCs w:val="28"/>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D678B"/>
    <w:multiLevelType w:val="hybridMultilevel"/>
    <w:tmpl w:val="3F0054F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564AB"/>
    <w:rsid w:val="00064FBD"/>
    <w:rsid w:val="000829DE"/>
    <w:rsid w:val="00094E2B"/>
    <w:rsid w:val="000962C7"/>
    <w:rsid w:val="00096AF7"/>
    <w:rsid w:val="000C3B0F"/>
    <w:rsid w:val="000F0BC8"/>
    <w:rsid w:val="000F5544"/>
    <w:rsid w:val="00107E6D"/>
    <w:rsid w:val="0011194C"/>
    <w:rsid w:val="001229FA"/>
    <w:rsid w:val="00140253"/>
    <w:rsid w:val="00144D2A"/>
    <w:rsid w:val="00170669"/>
    <w:rsid w:val="00180519"/>
    <w:rsid w:val="001B19BE"/>
    <w:rsid w:val="001C4003"/>
    <w:rsid w:val="002265FF"/>
    <w:rsid w:val="002B0BF1"/>
    <w:rsid w:val="00307A6A"/>
    <w:rsid w:val="00307C40"/>
    <w:rsid w:val="00320433"/>
    <w:rsid w:val="0036743F"/>
    <w:rsid w:val="003B5E22"/>
    <w:rsid w:val="00411DF2"/>
    <w:rsid w:val="00413250"/>
    <w:rsid w:val="0043125D"/>
    <w:rsid w:val="0043502B"/>
    <w:rsid w:val="004C4BDF"/>
    <w:rsid w:val="004D1187"/>
    <w:rsid w:val="004E6E3C"/>
    <w:rsid w:val="005041E7"/>
    <w:rsid w:val="005268F6"/>
    <w:rsid w:val="0052747A"/>
    <w:rsid w:val="00547DB7"/>
    <w:rsid w:val="00575794"/>
    <w:rsid w:val="005C5643"/>
    <w:rsid w:val="005D36CE"/>
    <w:rsid w:val="00622BAA"/>
    <w:rsid w:val="00671BD5"/>
    <w:rsid w:val="006805C1"/>
    <w:rsid w:val="00694556"/>
    <w:rsid w:val="006E1A53"/>
    <w:rsid w:val="00704EDA"/>
    <w:rsid w:val="007123EA"/>
    <w:rsid w:val="00724F80"/>
    <w:rsid w:val="00761EEA"/>
    <w:rsid w:val="007E6115"/>
    <w:rsid w:val="007F0805"/>
    <w:rsid w:val="007F4609"/>
    <w:rsid w:val="00820005"/>
    <w:rsid w:val="00872239"/>
    <w:rsid w:val="00896889"/>
    <w:rsid w:val="008C5714"/>
    <w:rsid w:val="00903896"/>
    <w:rsid w:val="00906F3D"/>
    <w:rsid w:val="00913306"/>
    <w:rsid w:val="00991619"/>
    <w:rsid w:val="009B72F3"/>
    <w:rsid w:val="009E4FDD"/>
    <w:rsid w:val="009F2711"/>
    <w:rsid w:val="00A034BD"/>
    <w:rsid w:val="00A07EDE"/>
    <w:rsid w:val="00A11C31"/>
    <w:rsid w:val="00A23F15"/>
    <w:rsid w:val="00A477AA"/>
    <w:rsid w:val="00A573CE"/>
    <w:rsid w:val="00A94B64"/>
    <w:rsid w:val="00AC3B7B"/>
    <w:rsid w:val="00AC5209"/>
    <w:rsid w:val="00AC78EE"/>
    <w:rsid w:val="00B362A9"/>
    <w:rsid w:val="00B6002D"/>
    <w:rsid w:val="00B80CBD"/>
    <w:rsid w:val="00B86096"/>
    <w:rsid w:val="00BF1908"/>
    <w:rsid w:val="00C22D93"/>
    <w:rsid w:val="00C23C03"/>
    <w:rsid w:val="00C34482"/>
    <w:rsid w:val="00CC3B05"/>
    <w:rsid w:val="00D133B8"/>
    <w:rsid w:val="00D32D84"/>
    <w:rsid w:val="00D33B86"/>
    <w:rsid w:val="00D53924"/>
    <w:rsid w:val="00D55D0C"/>
    <w:rsid w:val="00D96D8C"/>
    <w:rsid w:val="00DA6649"/>
    <w:rsid w:val="00E25B04"/>
    <w:rsid w:val="00E52367"/>
    <w:rsid w:val="00E54642"/>
    <w:rsid w:val="00E61FB7"/>
    <w:rsid w:val="00E67C3D"/>
    <w:rsid w:val="00EC37E9"/>
    <w:rsid w:val="00F217E0"/>
    <w:rsid w:val="00F426CE"/>
    <w:rsid w:val="00F44B96"/>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5:docId w15:val="{3B2ABF1D-F457-441D-933C-8E9C02E51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C64423"/>
    <w:pPr>
      <w:tabs>
        <w:tab w:val="center" w:pos="4153"/>
        <w:tab w:val="right" w:pos="8306"/>
      </w:tabs>
    </w:pPr>
  </w:style>
  <w:style w:type="paragraph" w:styleId="a5">
    <w:name w:val="footer"/>
    <w:basedOn w:val="a"/>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761EEA"/>
    <w:rPr>
      <w:color w:val="808080"/>
    </w:rPr>
  </w:style>
  <w:style w:type="character" w:customStyle="1" w:styleId="a4">
    <w:name w:val="כותרת עליונה תו"/>
    <w:basedOn w:val="a0"/>
    <w:link w:val="a3"/>
    <w:uiPriority w:val="99"/>
    <w:locked/>
    <w:rsid w:val="00E67C3D"/>
    <w:rPr>
      <w:rFonts w:cs="David"/>
      <w:noProof/>
      <w:sz w:val="24"/>
      <w:szCs w:val="24"/>
    </w:rPr>
  </w:style>
  <w:style w:type="paragraph" w:styleId="ae">
    <w:name w:val="List Paragraph"/>
    <w:basedOn w:val="a"/>
    <w:uiPriority w:val="34"/>
    <w:qFormat/>
    <w:rsid w:val="00E67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750207">
      <w:bodyDiv w:val="1"/>
      <w:marLeft w:val="0"/>
      <w:marRight w:val="0"/>
      <w:marTop w:val="0"/>
      <w:marBottom w:val="0"/>
      <w:divBdr>
        <w:top w:val="none" w:sz="0" w:space="0" w:color="auto"/>
        <w:left w:val="none" w:sz="0" w:space="0" w:color="auto"/>
        <w:bottom w:val="none" w:sz="0" w:space="0" w:color="auto"/>
        <w:right w:val="none" w:sz="0" w:space="0" w:color="auto"/>
      </w:divBdr>
    </w:div>
    <w:div w:id="338385645">
      <w:bodyDiv w:val="1"/>
      <w:marLeft w:val="0"/>
      <w:marRight w:val="0"/>
      <w:marTop w:val="0"/>
      <w:marBottom w:val="0"/>
      <w:divBdr>
        <w:top w:val="none" w:sz="0" w:space="0" w:color="auto"/>
        <w:left w:val="none" w:sz="0" w:space="0" w:color="auto"/>
        <w:bottom w:val="none" w:sz="0" w:space="0" w:color="auto"/>
        <w:right w:val="none" w:sz="0" w:space="0" w:color="auto"/>
      </w:divBdr>
    </w:div>
    <w:div w:id="962467077">
      <w:bodyDiv w:val="1"/>
      <w:marLeft w:val="0"/>
      <w:marRight w:val="0"/>
      <w:marTop w:val="0"/>
      <w:marBottom w:val="0"/>
      <w:divBdr>
        <w:top w:val="none" w:sz="0" w:space="0" w:color="auto"/>
        <w:left w:val="none" w:sz="0" w:space="0" w:color="auto"/>
        <w:bottom w:val="none" w:sz="0" w:space="0" w:color="auto"/>
        <w:right w:val="none" w:sz="0" w:space="0" w:color="auto"/>
      </w:divBdr>
    </w:div>
    <w:div w:id="1015767478">
      <w:bodyDiv w:val="1"/>
      <w:marLeft w:val="0"/>
      <w:marRight w:val="0"/>
      <w:marTop w:val="0"/>
      <w:marBottom w:val="0"/>
      <w:divBdr>
        <w:top w:val="none" w:sz="0" w:space="0" w:color="auto"/>
        <w:left w:val="none" w:sz="0" w:space="0" w:color="auto"/>
        <w:bottom w:val="none" w:sz="0" w:space="0" w:color="auto"/>
        <w:right w:val="none" w:sz="0" w:space="0" w:color="auto"/>
      </w:divBdr>
    </w:div>
    <w:div w:id="127690638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81783829">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42929257">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6996e49925a04dd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937A9CAAA84172A560A5972B00F5AB"/>
        <w:category>
          <w:name w:val="כללי"/>
          <w:gallery w:val="placeholder"/>
        </w:category>
        <w:types>
          <w:type w:val="bbPlcHdr"/>
        </w:types>
        <w:behaviors>
          <w:behavior w:val="content"/>
        </w:behaviors>
        <w:guid w:val="{4A59CD0F-6DDF-4B44-95AD-958E0AF0AF8B}"/>
      </w:docPartPr>
      <w:docPartBody>
        <w:p w:rsidR="00825D82" w:rsidRDefault="0082044C" w:rsidP="0082044C">
          <w:pPr>
            <w:pStyle w:val="04937A9CAAA84172A560A5972B00F5AB4"/>
          </w:pPr>
          <w:r w:rsidRPr="00761EEA">
            <w:rPr>
              <w:rStyle w:val="a3"/>
              <w:b/>
              <w:bCs/>
              <w:rtl/>
            </w:rPr>
            <w:t>תאריך היום לועזי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377"/>
    <w:rsid w:val="00153BA9"/>
    <w:rsid w:val="003E00F9"/>
    <w:rsid w:val="0082044C"/>
    <w:rsid w:val="00825D82"/>
    <w:rsid w:val="00A773CD"/>
    <w:rsid w:val="00DB4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3BA9"/>
    <w:rPr>
      <w:color w:val="808080"/>
    </w:rPr>
  </w:style>
  <w:style w:type="paragraph" w:customStyle="1" w:styleId="04937A9CAAA84172A560A5972B00F5AB">
    <w:name w:val="04937A9CAAA84172A560A5972B00F5AB"/>
    <w:rsid w:val="003E00F9"/>
    <w:pPr>
      <w:bidi/>
      <w:spacing w:after="0" w:line="240" w:lineRule="auto"/>
    </w:pPr>
    <w:rPr>
      <w:rFonts w:ascii="Times New Roman" w:eastAsia="Times New Roman" w:hAnsi="Times New Roman" w:cs="David"/>
      <w:noProof/>
      <w:sz w:val="24"/>
      <w:szCs w:val="24"/>
    </w:rPr>
  </w:style>
  <w:style w:type="paragraph" w:customStyle="1" w:styleId="04937A9CAAA84172A560A5972B00F5AB1">
    <w:name w:val="04937A9CAAA84172A560A5972B00F5AB1"/>
    <w:rsid w:val="00825D82"/>
    <w:pPr>
      <w:bidi/>
      <w:spacing w:after="0" w:line="240" w:lineRule="auto"/>
    </w:pPr>
    <w:rPr>
      <w:rFonts w:ascii="Times New Roman" w:eastAsia="Times New Roman" w:hAnsi="Times New Roman" w:cs="David"/>
      <w:noProof/>
      <w:sz w:val="24"/>
      <w:szCs w:val="24"/>
    </w:rPr>
  </w:style>
  <w:style w:type="paragraph" w:customStyle="1" w:styleId="04937A9CAAA84172A560A5972B00F5AB2">
    <w:name w:val="04937A9CAAA84172A560A5972B00F5AB2"/>
    <w:rsid w:val="00A773CD"/>
    <w:pPr>
      <w:bidi/>
      <w:spacing w:after="0" w:line="240" w:lineRule="auto"/>
    </w:pPr>
    <w:rPr>
      <w:rFonts w:ascii="Times New Roman" w:eastAsia="Times New Roman" w:hAnsi="Times New Roman" w:cs="David"/>
      <w:noProof/>
      <w:sz w:val="24"/>
      <w:szCs w:val="24"/>
    </w:rPr>
  </w:style>
  <w:style w:type="paragraph" w:customStyle="1" w:styleId="04937A9CAAA84172A560A5972B00F5AB3">
    <w:name w:val="04937A9CAAA84172A560A5972B00F5AB3"/>
    <w:rsid w:val="0082044C"/>
    <w:pPr>
      <w:bidi/>
      <w:spacing w:after="0" w:line="240" w:lineRule="auto"/>
    </w:pPr>
    <w:rPr>
      <w:rFonts w:ascii="Times New Roman" w:eastAsia="Times New Roman" w:hAnsi="Times New Roman" w:cs="David"/>
      <w:noProof/>
      <w:sz w:val="24"/>
      <w:szCs w:val="24"/>
    </w:rPr>
  </w:style>
  <w:style w:type="paragraph" w:customStyle="1" w:styleId="04937A9CAAA84172A560A5972B00F5AB4">
    <w:name w:val="04937A9CAAA84172A560A5972B00F5AB4"/>
    <w:rsid w:val="0082044C"/>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1771</Words>
  <Characters>8855</Characters>
  <Application>Microsoft Office Word</Application>
  <DocSecurity>0</DocSecurity>
  <Lines>73</Lines>
  <Paragraphs>21</Paragraphs>
  <ScaleCrop>false</ScaleCrop>
  <Company>Microsoft Corporation</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Court</cp:lastModifiedBy>
  <cp:revision>32</cp:revision>
  <dcterms:created xsi:type="dcterms:W3CDTF">2012-08-06T05:35:00Z</dcterms:created>
  <dcterms:modified xsi:type="dcterms:W3CDTF">2018-04-12T13:51:00Z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