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17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Pr="006816EC" w:rsidR="006816EC" w:rsidP="006816EC" w:rsidRDefault="0025461C"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B620A" w:rsidP="000A2EEC" w:rsidRDefault="000A2EE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  <w:gridSpan w:val="2"/>
          </w:tcPr>
          <w:p w:rsidRPr="000A2EEC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0A2EEC" w:rsidRDefault="000A2E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Content>
                <w:r w:rsidRPr="000A2EEC">
                  <w:rPr>
                    <w:rtl/>
                  </w:rPr>
                  <w:t>ניר כסה</w:t>
                </w:r>
                <w:r w:rsidRPr="000A2EEC">
                  <w:rPr>
                    <w:rFonts w:hint="cs"/>
                    <w:rtl/>
                  </w:rPr>
                  <w:t xml:space="preserve"> 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0A2EEC" w:rsidRDefault="0032289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A2EE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הנתבע: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A2E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Content>
                <w:r>
                  <w:rPr>
                    <w:rtl/>
                  </w:rPr>
                  <w:t>אור בן חיים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3025B0" w:rsidP="003025B0" w:rsidRDefault="00A94A84">
      <w:pPr>
        <w:numPr>
          <w:ilvl w:val="0"/>
          <w:numId w:val="1"/>
        </w:numPr>
        <w:spacing w:before="360" w:after="240" w:line="360" w:lineRule="auto"/>
        <w:ind w:left="714" w:hanging="357"/>
        <w:jc w:val="both"/>
        <w:rPr>
          <w:rFonts w:hint="cs"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ל</w:t>
      </w:r>
      <w:r w:rsidR="003025B0">
        <w:rPr>
          <w:rFonts w:hint="cs" w:asciiTheme="minorHAnsi" w:hAnsiTheme="minorHAnsi"/>
          <w:noProof w:val="0"/>
          <w:rtl/>
        </w:rPr>
        <w:t xml:space="preserve">פני הודעה מטעם הנתבע על אי הפקדת הערבון הכספי ע"ס 40,000 </w:t>
      </w:r>
      <w:r w:rsidR="003025B0">
        <w:rPr>
          <w:rFonts w:hint="eastAsia" w:asciiTheme="minorHAnsi" w:hAnsiTheme="minorHAnsi"/>
          <w:noProof w:val="0"/>
          <w:rtl/>
        </w:rPr>
        <w:t>₪</w:t>
      </w:r>
      <w:r w:rsidR="003025B0">
        <w:rPr>
          <w:rFonts w:hint="cs" w:asciiTheme="minorHAnsi" w:hAnsiTheme="minorHAnsi"/>
          <w:noProof w:val="0"/>
          <w:rtl/>
        </w:rPr>
        <w:t xml:space="preserve"> וזאת בהמשך לבקשת התובע לדחיית ההתנגדות.</w:t>
      </w:r>
    </w:p>
    <w:p w:rsidR="003025B0" w:rsidP="003025B0" w:rsidRDefault="003025B0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בדיון שהתקיים בפני ביום 14.02.2018 ולאחר דיון לא פורמאלי, הגיעו ב"כ הצדדים להסכמה לפיה </w:t>
      </w:r>
      <w:r>
        <w:rPr>
          <w:rFonts w:hint="cs"/>
          <w:rtl/>
        </w:rPr>
        <w:t>בכפוף להפקדת ערבון כספי בסך של 40,000 ₪ עד ליום 28.03.2018, תינתן לנתבע רשות להגן, וכי "במידה ולא תופקד הערובה הכספית במלואה ובמועדה תידחה בקשת רשות להגן ויינתן פסק דין בהתאם".</w:t>
      </w:r>
    </w:p>
    <w:p w:rsidR="003025B0" w:rsidP="003025B0" w:rsidRDefault="003025B0">
      <w:pPr>
        <w:numPr>
          <w:ilvl w:val="0"/>
          <w:numId w:val="1"/>
        </w:numPr>
        <w:spacing w:before="360" w:after="240" w:line="360" w:lineRule="auto"/>
        <w:ind w:left="714" w:hanging="357"/>
        <w:jc w:val="both"/>
        <w:rPr>
          <w:rFonts w:hint="cs"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ככלל, בעלי דין רשאים להסכים ביניהם על דרך ניהולו של ההליך המשפטי. הדבר מתיישב עם אוטונומיית הרצון של הצדדים, שממנה יש לסטות רק במקרים חריגים.</w:t>
      </w:r>
    </w:p>
    <w:p w:rsidR="00A94A84" w:rsidP="00A94A84" w:rsidRDefault="003025B0">
      <w:pPr>
        <w:numPr>
          <w:ilvl w:val="0"/>
          <w:numId w:val="1"/>
        </w:numPr>
        <w:spacing w:before="360" w:after="240" w:line="360" w:lineRule="auto"/>
        <w:ind w:left="714" w:hanging="357"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במקרה דנן, הצדדים הסכימו בדיון שהתקיים בפני </w:t>
      </w:r>
      <w:r w:rsidR="00A94A84">
        <w:rPr>
          <w:rFonts w:hint="cs" w:asciiTheme="minorHAnsi" w:hAnsiTheme="minorHAnsi"/>
          <w:noProof w:val="0"/>
          <w:rtl/>
        </w:rPr>
        <w:t xml:space="preserve">כי תינתן </w:t>
      </w:r>
      <w:r>
        <w:rPr>
          <w:rFonts w:hint="cs" w:asciiTheme="minorHAnsi" w:hAnsiTheme="minorHAnsi"/>
          <w:noProof w:val="0"/>
          <w:rtl/>
        </w:rPr>
        <w:t xml:space="preserve">רשות להתגונן 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בכפוף</w:t>
      </w:r>
      <w:r>
        <w:rPr>
          <w:rFonts w:hint="cs" w:asciiTheme="minorHAnsi" w:hAnsiTheme="minorHAnsi"/>
          <w:noProof w:val="0"/>
          <w:rtl/>
        </w:rPr>
        <w:t xml:space="preserve"> להפקדת ערבון כספי בסך </w:t>
      </w:r>
      <w:r w:rsidR="00A94A84">
        <w:rPr>
          <w:rFonts w:hint="cs" w:asciiTheme="minorHAnsi" w:hAnsiTheme="minorHAnsi"/>
          <w:noProof w:val="0"/>
          <w:rtl/>
        </w:rPr>
        <w:t>40</w:t>
      </w:r>
      <w:r>
        <w:rPr>
          <w:rFonts w:hint="cs" w:asciiTheme="minorHAnsi" w:hAnsiTheme="minorHAnsi"/>
          <w:noProof w:val="0"/>
          <w:rtl/>
        </w:rPr>
        <w:t>,000 ₪.</w:t>
      </w:r>
    </w:p>
    <w:p w:rsidRPr="00A94A84" w:rsidR="003025B0" w:rsidP="00A94A84" w:rsidRDefault="003025B0">
      <w:pPr>
        <w:numPr>
          <w:ilvl w:val="0"/>
          <w:numId w:val="1"/>
        </w:numPr>
        <w:spacing w:before="360" w:after="240" w:line="360" w:lineRule="auto"/>
        <w:ind w:left="714" w:hanging="357"/>
        <w:jc w:val="both"/>
        <w:rPr>
          <w:rFonts w:asciiTheme="minorHAnsi" w:hAnsiTheme="minorHAnsi"/>
          <w:noProof w:val="0"/>
        </w:rPr>
      </w:pPr>
      <w:r w:rsidRPr="00A94A84">
        <w:rPr>
          <w:rFonts w:hint="cs" w:ascii="Arial TUR" w:hAnsi="Arial TUR"/>
          <w:noProof w:val="0"/>
          <w:rtl/>
        </w:rPr>
        <w:t>זה המקום לציין, כי נושא התניית מתן רשות להתגונן בהפקדת ערבון מוסדר בתקנה 210 לתקנות סדר הדין האזרחי, התשמ"ד-1984. בפסיקה נקבע, כי מקום בו לוקה הגנת הנתבע בחוסר בהירות או שהיא נראית על פניה קלושה ביותר תותנה הרשות להתגונן בהפקדת סכומי ערבות. יפים לעניין זה דברי השופט זוסמן: "בנסיבות מיוחדות כשאמנם "כמעט" אין לנתבע הגנה, בית המשפט עושה חסד עם נתבע כאשר הוא נותן לו רשות להתגונן, אפילו היא מותנית בתנאי הפקדה" [</w:t>
      </w:r>
      <w:hyperlink w:history="1" r:id="rId9">
        <w:r w:rsidRPr="00A94A84">
          <w:rPr>
            <w:rStyle w:val="Hyperlink"/>
            <w:rFonts w:hint="cs" w:ascii="Arial TUR" w:hAnsi="Arial TUR"/>
            <w:noProof w:val="0"/>
            <w:rtl/>
          </w:rPr>
          <w:t xml:space="preserve">ע"א 373/69 </w:t>
        </w:r>
        <w:r w:rsidRPr="00A94A84">
          <w:rPr>
            <w:rStyle w:val="Hyperlink"/>
            <w:rFonts w:hint="cs" w:ascii="Arial TUR" w:hAnsi="Arial TUR"/>
            <w:b/>
            <w:bCs/>
            <w:noProof w:val="0"/>
            <w:rtl/>
          </w:rPr>
          <w:t>חונן נ' "חגור" מושב עובדים להתיישבות שיתופית בע"מ</w:t>
        </w:r>
        <w:r w:rsidRPr="00A94A84">
          <w:rPr>
            <w:rStyle w:val="Hyperlink"/>
            <w:rFonts w:hint="cs" w:ascii="Arial TUR" w:hAnsi="Arial TUR"/>
            <w:noProof w:val="0"/>
            <w:rtl/>
          </w:rPr>
          <w:t>, פ"ד כג</w:t>
        </w:r>
      </w:hyperlink>
      <w:r w:rsidRPr="00A94A84">
        <w:rPr>
          <w:rFonts w:hint="cs" w:ascii="Arial TUR" w:hAnsi="Arial TUR"/>
          <w:noProof w:val="0"/>
          <w:rtl/>
        </w:rPr>
        <w:t>(2) 347, 349 (1969)].</w:t>
      </w:r>
    </w:p>
    <w:p w:rsidR="00A94A84" w:rsidP="003025B0" w:rsidRDefault="003025B0">
      <w:pPr>
        <w:numPr>
          <w:ilvl w:val="0"/>
          <w:numId w:val="1"/>
        </w:numPr>
        <w:spacing w:before="360" w:after="240" w:line="360" w:lineRule="auto"/>
        <w:ind w:left="714" w:hanging="357"/>
        <w:jc w:val="both"/>
        <w:rPr>
          <w:rFonts w:hint="cs"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אין חולק, כי הערבון הכספי </w:t>
      </w:r>
      <w:r>
        <w:rPr>
          <w:rFonts w:hint="cs" w:asciiTheme="minorHAnsi" w:hAnsiTheme="minorHAnsi"/>
          <w:noProof w:val="0"/>
          <w:u w:val="single"/>
          <w:rtl/>
        </w:rPr>
        <w:t>לא</w:t>
      </w:r>
      <w:r>
        <w:rPr>
          <w:rFonts w:hint="cs" w:asciiTheme="minorHAnsi" w:hAnsiTheme="minorHAnsi"/>
          <w:noProof w:val="0"/>
          <w:rtl/>
        </w:rPr>
        <w:t xml:space="preserve"> הופקד במועד המוסכם. אין עוד חולק, כי הערבון </w:t>
      </w:r>
      <w:r w:rsidR="00A94A84">
        <w:rPr>
          <w:rFonts w:hint="cs" w:asciiTheme="minorHAnsi" w:hAnsiTheme="minorHAnsi"/>
          <w:noProof w:val="0"/>
          <w:rtl/>
        </w:rPr>
        <w:t>הכספי גם לא יופקד בקרוב נוכח הודעת הנתבע בתיק.</w:t>
      </w:r>
    </w:p>
    <w:p w:rsidR="003025B0" w:rsidP="00A94A84" w:rsidRDefault="003025B0">
      <w:pPr>
        <w:numPr>
          <w:ilvl w:val="0"/>
          <w:numId w:val="1"/>
        </w:numPr>
        <w:overflowPunct w:val="0"/>
        <w:autoSpaceDE w:val="0"/>
        <w:autoSpaceDN w:val="0"/>
        <w:spacing w:before="360" w:after="240" w:line="360" w:lineRule="auto"/>
        <w:ind w:left="714" w:hanging="357"/>
        <w:jc w:val="both"/>
        <w:rPr>
          <w:rFonts w:ascii="Arial TUR" w:hAnsi="Arial TUR"/>
          <w:noProof w:val="0"/>
          <w:lang w:eastAsia="he-IL"/>
        </w:rPr>
      </w:pPr>
      <w:r>
        <w:rPr>
          <w:rFonts w:hint="cs" w:ascii="Arial TUR" w:hAnsi="Arial TUR"/>
          <w:noProof w:val="0"/>
          <w:rtl/>
          <w:lang w:eastAsia="he-IL"/>
        </w:rPr>
        <w:lastRenderedPageBreak/>
        <w:t>התוצאה היא, ש</w:t>
      </w:r>
      <w:r w:rsidR="00A94A84">
        <w:rPr>
          <w:rFonts w:hint="cs" w:ascii="Arial TUR" w:hAnsi="Arial TUR"/>
          <w:noProof w:val="0"/>
          <w:rtl/>
          <w:lang w:eastAsia="he-IL"/>
        </w:rPr>
        <w:t xml:space="preserve">נוכח ההסדר בין הצדדים, </w:t>
      </w:r>
      <w:r>
        <w:rPr>
          <w:rFonts w:hint="cs" w:ascii="Arial TUR" w:hAnsi="Arial TUR"/>
          <w:noProof w:val="0"/>
          <w:rtl/>
          <w:lang w:eastAsia="he-IL"/>
        </w:rPr>
        <w:t xml:space="preserve">אני מורה על </w:t>
      </w:r>
      <w:r w:rsidR="00A94A84">
        <w:rPr>
          <w:rFonts w:hint="cs" w:ascii="Arial TUR" w:hAnsi="Arial TUR"/>
          <w:noProof w:val="0"/>
          <w:rtl/>
          <w:lang w:eastAsia="he-IL"/>
        </w:rPr>
        <w:t>דחיית</w:t>
      </w:r>
      <w:r>
        <w:rPr>
          <w:rFonts w:hint="cs" w:ascii="Arial TUR" w:hAnsi="Arial TUR"/>
          <w:noProof w:val="0"/>
          <w:rtl/>
          <w:lang w:eastAsia="he-IL"/>
        </w:rPr>
        <w:t xml:space="preserve"> הבקשה למתן רשות להתגונן.</w:t>
      </w:r>
    </w:p>
    <w:p w:rsidR="003025B0" w:rsidP="003025B0" w:rsidRDefault="003025B0">
      <w:pPr>
        <w:numPr>
          <w:ilvl w:val="0"/>
          <w:numId w:val="1"/>
        </w:numPr>
        <w:overflowPunct w:val="0"/>
        <w:autoSpaceDE w:val="0"/>
        <w:autoSpaceDN w:val="0"/>
        <w:spacing w:before="360" w:after="240" w:line="360" w:lineRule="auto"/>
        <w:ind w:left="714" w:hanging="357"/>
        <w:jc w:val="both"/>
        <w:rPr>
          <w:rFonts w:ascii="Arial TUR" w:hAnsi="Arial TUR"/>
          <w:noProof w:val="0"/>
          <w:lang w:eastAsia="he-IL"/>
        </w:rPr>
      </w:pPr>
      <w:r>
        <w:rPr>
          <w:rFonts w:hint="cs" w:ascii="Arial TUR" w:hAnsi="Arial TUR"/>
          <w:noProof w:val="0"/>
          <w:rtl/>
          <w:lang w:eastAsia="he-IL"/>
        </w:rPr>
        <w:t>לפנים משורת הדין, אינני עושה צו להוצאות</w:t>
      </w:r>
      <w:r w:rsidR="00A94A84">
        <w:rPr>
          <w:rFonts w:hint="cs" w:ascii="Arial TUR" w:hAnsi="Arial TUR"/>
          <w:noProof w:val="0"/>
          <w:rtl/>
          <w:lang w:eastAsia="he-IL"/>
        </w:rPr>
        <w:t xml:space="preserve"> בגין הבקשה האחרונה של התובע למתן פסק דין בהעדר</w:t>
      </w:r>
      <w:r>
        <w:rPr>
          <w:rFonts w:hint="cs" w:ascii="Arial TUR" w:hAnsi="Arial TUR"/>
          <w:noProof w:val="0"/>
          <w:rtl/>
          <w:lang w:eastAsia="he-IL"/>
        </w:rPr>
        <w:t>.</w:t>
      </w:r>
    </w:p>
    <w:p w:rsidR="003025B0" w:rsidP="00A94A84" w:rsidRDefault="003025B0">
      <w:pPr>
        <w:numPr>
          <w:ilvl w:val="0"/>
          <w:numId w:val="1"/>
        </w:numPr>
        <w:overflowPunct w:val="0"/>
        <w:autoSpaceDE w:val="0"/>
        <w:autoSpaceDN w:val="0"/>
        <w:spacing w:before="360" w:after="240" w:line="360" w:lineRule="auto"/>
        <w:ind w:left="714" w:hanging="357"/>
        <w:jc w:val="both"/>
        <w:rPr>
          <w:rFonts w:ascii="Arial TUR" w:hAnsi="Arial TUR"/>
          <w:noProof w:val="0"/>
          <w:lang w:eastAsia="he-IL"/>
        </w:rPr>
      </w:pPr>
      <w:r>
        <w:rPr>
          <w:rFonts w:hint="cs" w:ascii="Arial TUR" w:hAnsi="Arial TUR"/>
          <w:noProof w:val="0"/>
          <w:rtl/>
          <w:lang w:eastAsia="he-IL"/>
        </w:rPr>
        <w:t xml:space="preserve">התובע </w:t>
      </w:r>
      <w:r w:rsidR="00A94A84">
        <w:rPr>
          <w:rFonts w:hint="cs" w:ascii="Arial TUR" w:hAnsi="Arial TUR"/>
          <w:noProof w:val="0"/>
          <w:rtl/>
          <w:lang w:eastAsia="he-IL"/>
        </w:rPr>
        <w:t>י</w:t>
      </w:r>
      <w:r>
        <w:rPr>
          <w:rFonts w:hint="cs" w:ascii="Arial TUR" w:hAnsi="Arial TUR"/>
          <w:noProof w:val="0"/>
          <w:rtl/>
          <w:lang w:eastAsia="he-IL"/>
        </w:rPr>
        <w:t>גיש לתיק פסיקתא לחתימה. </w:t>
      </w:r>
    </w:p>
    <w:p w:rsidR="00A94A84" w:rsidP="00A94A84" w:rsidRDefault="00A94A84">
      <w:pPr>
        <w:numPr>
          <w:ilvl w:val="0"/>
          <w:numId w:val="1"/>
        </w:numPr>
        <w:overflowPunct w:val="0"/>
        <w:autoSpaceDE w:val="0"/>
        <w:autoSpaceDN w:val="0"/>
        <w:spacing w:before="360" w:after="240" w:line="360" w:lineRule="auto"/>
        <w:ind w:left="714" w:hanging="357"/>
        <w:jc w:val="both"/>
        <w:rPr>
          <w:rFonts w:hint="cs" w:ascii="Arial TUR" w:hAnsi="Arial TUR"/>
          <w:noProof w:val="0"/>
          <w:rtl/>
          <w:lang w:eastAsia="he-IL"/>
        </w:rPr>
      </w:pPr>
      <w:r w:rsidRPr="00A94A84">
        <w:rPr>
          <w:rFonts w:hint="cs" w:ascii="Arial TUR" w:hAnsi="Arial TUR"/>
          <w:b/>
          <w:bCs/>
          <w:noProof w:val="0"/>
          <w:u w:val="single"/>
          <w:rtl/>
          <w:lang w:eastAsia="he-IL"/>
        </w:rPr>
        <w:t>המזכירות תמציא פסק הדין לשני הצדדים</w:t>
      </w:r>
      <w:r>
        <w:rPr>
          <w:rFonts w:hint="cs" w:ascii="Arial TUR" w:hAnsi="Arial TUR"/>
          <w:noProof w:val="0"/>
          <w:rtl/>
          <w:lang w:eastAsia="he-IL"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32289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3bde0ebbda945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TUR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2289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2289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A2EE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228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25461C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25461C">
                <w:rPr>
                  <w:b/>
                  <w:bCs/>
                  <w:noProof w:val="0"/>
                  <w:sz w:val="26"/>
                  <w:szCs w:val="26"/>
                  <w:rtl/>
                </w:rPr>
                <w:t>8424-11-17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25461C">
                <w:rPr>
                  <w:b/>
                  <w:bCs/>
                  <w:noProof w:val="0"/>
                  <w:sz w:val="26"/>
                  <w:szCs w:val="26"/>
                  <w:rtl/>
                </w:rPr>
                <w:t>כסה נ' בן חיים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F7C"/>
    <w:multiLevelType w:val="hybridMultilevel"/>
    <w:tmpl w:val="94BC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44555B2"/>
    <w:multiLevelType w:val="hybridMultilevel"/>
    <w:tmpl w:val="8ACA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A2EEC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5461C"/>
    <w:rsid w:val="003025B0"/>
    <w:rsid w:val="0032289A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94A84"/>
    <w:rsid w:val="00AC4E19"/>
    <w:rsid w:val="00AF1ED6"/>
    <w:rsid w:val="00AF42D4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B29D3"/>
    <w:rsid w:val="00DD337E"/>
    <w:rsid w:val="00E00B6F"/>
    <w:rsid w:val="00E54642"/>
    <w:rsid w:val="00E97908"/>
    <w:rsid w:val="00EB620A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0692197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3025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://www.nevo.co.il/case/17920788" TargetMode="External" Id="rId9" /><Relationship Type="http://schemas.openxmlformats.org/officeDocument/2006/relationships/header" Target="header3.xml" Id="rId14" /><Relationship Type="http://schemas.openxmlformats.org/officeDocument/2006/relationships/image" Target="/media/image2.jpg" Id="Ra3bde0ebbda945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40</cp:revision>
  <dcterms:created xsi:type="dcterms:W3CDTF">2012-08-05T21:29:00Z</dcterms:created>
  <dcterms:modified xsi:type="dcterms:W3CDTF">2018-04-11T09:56:00Z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