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8E7B09" w:rsidRDefault="00C3612D">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106950">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דוד ידיד</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106950">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106950">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גוליה גינת</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8E7B09" w:rsidRDefault="008E7B09">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8E7B09" w:rsidRDefault="008E7B09">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C3612D" w:rsidP="00B956D6" w:rsidRDefault="00C3612D">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1.1.19  שעה 11:30.</w:t>
      </w:r>
    </w:p>
    <w:p w:rsidR="00C3612D" w:rsidP="0015510E" w:rsidRDefault="00C3612D">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C3612D" w:rsidP="0015510E" w:rsidRDefault="00C3612D">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C3612D" w:rsidP="005F41C1" w:rsidRDefault="00C3612D">
      <w:pPr>
        <w:spacing w:line="360" w:lineRule="auto"/>
        <w:jc w:val="both"/>
        <w:rPr>
          <w:rtl/>
        </w:rPr>
      </w:pPr>
      <w:r>
        <w:rPr>
          <w:rFonts w:hint="cs"/>
          <w:rtl/>
        </w:rPr>
        <w:t xml:space="preserve">על המערער/ים להפקיד עירבון להבטחת הוצאות המשיב/ים  בסך 20,000 ₪ עד ליום  27.5.18 . </w:t>
      </w:r>
    </w:p>
    <w:p w:rsidR="00C3612D" w:rsidP="0015510E" w:rsidRDefault="00C3612D">
      <w:pPr>
        <w:spacing w:line="360" w:lineRule="auto"/>
        <w:jc w:val="both"/>
        <w:rPr>
          <w:rtl/>
        </w:rPr>
      </w:pPr>
      <w:r>
        <w:rPr>
          <w:rFonts w:hint="cs"/>
          <w:rtl/>
        </w:rPr>
        <w:t>ימי הפגרה באים במניין הימים.</w:t>
      </w:r>
    </w:p>
    <w:p w:rsidR="00C3612D" w:rsidP="0015510E" w:rsidRDefault="00C3612D">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C3612D" w:rsidP="0015510E" w:rsidRDefault="00C3612D">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C3612D" w:rsidP="0015510E" w:rsidRDefault="00C3612D">
      <w:pPr>
        <w:spacing w:line="360" w:lineRule="auto"/>
        <w:jc w:val="both"/>
        <w:rPr>
          <w:b/>
          <w:bCs/>
          <w:u w:val="single"/>
          <w:rtl/>
        </w:rPr>
      </w:pPr>
      <w:r>
        <w:rPr>
          <w:rFonts w:hint="cs"/>
          <w:b/>
          <w:bCs/>
          <w:u w:val="single"/>
          <w:rtl/>
        </w:rPr>
        <w:t>ניתן לשלם בבנק הדואר או להפקיד בבית המשפט ערבות בנקאית מתאימה, כאמור דלעיל.</w:t>
      </w:r>
    </w:p>
    <w:p w:rsidR="00C3612D" w:rsidP="0015510E" w:rsidRDefault="00C3612D">
      <w:pPr>
        <w:spacing w:line="360" w:lineRule="auto"/>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C3612D" w:rsidP="0015510E" w:rsidRDefault="00C3612D">
      <w:pPr>
        <w:spacing w:line="360" w:lineRule="auto"/>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 התשמ"ד- 1984.</w:t>
      </w:r>
    </w:p>
    <w:p w:rsidR="00C3612D" w:rsidP="0015510E" w:rsidRDefault="00C3612D">
      <w:pPr>
        <w:spacing w:line="360" w:lineRule="auto"/>
        <w:jc w:val="both"/>
        <w:rPr>
          <w:rtl/>
        </w:rPr>
      </w:pPr>
      <w:r>
        <w:rPr>
          <w:rFonts w:hint="cs"/>
          <w:rtl/>
        </w:rPr>
        <w:lastRenderedPageBreak/>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C3612D" w:rsidP="0015510E" w:rsidRDefault="00C3612D">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C3612D" w:rsidP="0015510E" w:rsidRDefault="00C3612D">
      <w:pPr>
        <w:spacing w:line="360" w:lineRule="auto"/>
        <w:jc w:val="both"/>
        <w:rPr>
          <w:rtl/>
        </w:rPr>
      </w:pPr>
      <w:r>
        <w:rPr>
          <w:rFonts w:hint="cs"/>
          <w:rtl/>
        </w:rPr>
        <w:t>אם לא צורף לכתב הערעור העתק מאושר מפסק-הדין נושא הערעור, יש לצרפו בתוך 7 ימים מהיום.</w:t>
      </w:r>
    </w:p>
    <w:p w:rsidR="00C3612D" w:rsidP="0015510E" w:rsidRDefault="00C3612D">
      <w:pPr>
        <w:spacing w:line="360" w:lineRule="auto"/>
        <w:jc w:val="both"/>
        <w:rPr>
          <w:rtl/>
        </w:rPr>
      </w:pPr>
      <w:r>
        <w:rPr>
          <w:rFonts w:hint="cs"/>
          <w:b/>
          <w:bCs/>
          <w:u w:val="single"/>
          <w:rtl/>
        </w:rPr>
        <w:t>הצדדים יתייצבו אישית לדיון</w:t>
      </w:r>
      <w:r>
        <w:rPr>
          <w:rFonts w:hint="cs"/>
          <w:rtl/>
        </w:rPr>
        <w:t>.</w:t>
      </w:r>
    </w:p>
    <w:p w:rsidR="00C3612D" w:rsidP="0015510E" w:rsidRDefault="00C3612D">
      <w:pPr>
        <w:spacing w:line="360" w:lineRule="auto"/>
        <w:jc w:val="both"/>
        <w:rPr>
          <w:rtl/>
        </w:rPr>
      </w:pPr>
      <w:r>
        <w:rPr>
          <w:rFonts w:hint="cs"/>
          <w:rtl/>
        </w:rPr>
        <w:t>הדיון ישמע בבית המשפט המחוזי מרכז-לוד ,שכתובתו: רחוב שדרות הציונות 3 לוד.</w:t>
      </w:r>
    </w:p>
    <w:p w:rsidR="00C3612D" w:rsidP="0015510E" w:rsidRDefault="00C3612D">
      <w:pPr>
        <w:spacing w:line="360" w:lineRule="auto"/>
        <w:jc w:val="both"/>
        <w:rPr>
          <w:u w:val="single"/>
          <w:rtl/>
        </w:rPr>
      </w:pPr>
      <w:r>
        <w:rPr>
          <w:rFonts w:hint="cs"/>
          <w:b/>
          <w:bCs/>
          <w:u w:val="single"/>
          <w:rtl/>
        </w:rPr>
        <w:t>ת.פ.  למזכירות בעוד 52 יום</w:t>
      </w:r>
      <w:r>
        <w:rPr>
          <w:rFonts w:hint="cs"/>
          <w:u w:val="single"/>
          <w:rtl/>
        </w:rPr>
        <w:t>.</w:t>
      </w:r>
    </w:p>
    <w:p w:rsidR="00C3612D" w:rsidP="0015510E" w:rsidRDefault="00C3612D">
      <w:pPr>
        <w:spacing w:line="360" w:lineRule="auto"/>
        <w:jc w:val="both"/>
        <w:rPr>
          <w:u w:val="single"/>
          <w:rtl/>
        </w:rPr>
      </w:pPr>
      <w:r>
        <w:rPr>
          <w:rFonts w:hint="cs"/>
          <w:b/>
          <w:bCs/>
          <w:u w:val="single"/>
          <w:rtl/>
        </w:rPr>
        <w:t>המזכירות תמציא את ההחלטה לצדדים</w:t>
      </w:r>
      <w:r>
        <w:rPr>
          <w:rFonts w:hint="cs"/>
          <w:u w:val="single"/>
          <w:rtl/>
        </w:rPr>
        <w:t>.</w:t>
      </w:r>
    </w:p>
    <w:p w:rsidR="00C3612D" w:rsidP="00B956D6" w:rsidRDefault="00C3612D">
      <w:pPr>
        <w:spacing w:line="360" w:lineRule="auto"/>
        <w:jc w:val="both"/>
        <w:rPr>
          <w:b/>
          <w:bCs/>
          <w:rtl/>
        </w:rPr>
      </w:pPr>
      <w:r>
        <w:rPr>
          <w:rFonts w:hint="cs"/>
          <w:b/>
          <w:bCs/>
          <w:rtl/>
        </w:rPr>
        <w:t>נתנה בסמכותי כרשם.</w:t>
      </w:r>
    </w:p>
    <w:p w:rsidR="00C3612D" w:rsidP="0015510E" w:rsidRDefault="00C3612D">
      <w:pPr>
        <w:rPr>
          <w:rtl/>
        </w:rPr>
      </w:pP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0695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1600fd1d723429d"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06950">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06950">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0695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0695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7753-04-18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ידיד נ' גינת</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6950"/>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E7B09"/>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56D6"/>
    <w:rsid w:val="00B964D9"/>
    <w:rsid w:val="00BA0A7C"/>
    <w:rsid w:val="00BA517C"/>
    <w:rsid w:val="00BB3D05"/>
    <w:rsid w:val="00BB73BE"/>
    <w:rsid w:val="00BC2D89"/>
    <w:rsid w:val="00BD6531"/>
    <w:rsid w:val="00BE05B2"/>
    <w:rsid w:val="00BF1908"/>
    <w:rsid w:val="00C22D93"/>
    <w:rsid w:val="00C23458"/>
    <w:rsid w:val="00C31120"/>
    <w:rsid w:val="00C34482"/>
    <w:rsid w:val="00C3612D"/>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1600fd1d723429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14617" w:rsidP="00614617">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1461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461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14617"/>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61461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349</Words>
  <Characters>1746</Characters>
  <Application>Microsoft Office Word</Application>
  <DocSecurity>0</DocSecurity>
  <Lines>14</Lines>
  <Paragraphs>4</Paragraphs>
  <ScaleCrop>false</ScaleCrop>
  <Company>Microsoft Corporation</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