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דפנה בלטמן קדראי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55E7B" w:rsidRDefault="0085672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3029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חוזימה דאווד</w:t>
                </w:r>
              </w:sdtContent>
            </w:sdt>
          </w:p>
          <w:p w:rsidR="0094424E" w:rsidP="00D44968" w:rsidRDefault="0063029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3964083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312851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מחמד דאווד</w:t>
                </w:r>
              </w:sdtContent>
            </w:sdt>
          </w:p>
          <w:p w:rsidR="0094424E" w:rsidP="00D44968" w:rsidRDefault="0063029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96986817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749442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אחמד נדים דאוד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3029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025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F0250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3029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טייבה</w:t>
                </w:r>
              </w:sdtContent>
            </w:sdt>
          </w:p>
          <w:p w:rsidR="0094424E" w:rsidP="00D44968" w:rsidRDefault="0063029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1116098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8595440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התנועה האיסלאמית בעיר טייבה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55E7B" w:rsidRDefault="00255E7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A79C8" w:rsidR="0085672F" w:rsidP="00E37E07" w:rsidRDefault="0085672F">
      <w:pPr>
        <w:spacing w:line="360" w:lineRule="auto"/>
        <w:jc w:val="both"/>
        <w:rPr>
          <w:b/>
          <w:bCs/>
          <w:u w:val="single"/>
        </w:rPr>
      </w:pPr>
      <w:bookmarkStart w:name="NGCSBookmark" w:id="1"/>
      <w:bookmarkEnd w:id="1"/>
      <w:r>
        <w:rPr>
          <w:rFonts w:hint="cs"/>
          <w:b/>
          <w:bCs/>
          <w:u w:val="single"/>
          <w:rtl/>
        </w:rPr>
        <w:t xml:space="preserve">דיון מוקדם יתקיים לפניי </w:t>
      </w:r>
      <w:r w:rsidRPr="00DA79C8">
        <w:rPr>
          <w:rFonts w:hint="cs"/>
          <w:b/>
          <w:bCs/>
          <w:u w:val="single"/>
          <w:rtl/>
        </w:rPr>
        <w:t xml:space="preserve">ביום  </w:t>
      </w:r>
      <w:r w:rsidR="00F0250B">
        <w:rPr>
          <w:rFonts w:hint="cs"/>
          <w:b/>
          <w:bCs/>
          <w:u w:val="single"/>
          <w:rtl/>
        </w:rPr>
        <w:t>10.7.2018 ב</w:t>
      </w:r>
      <w:r w:rsidRPr="00DA79C8">
        <w:rPr>
          <w:rFonts w:hint="cs"/>
          <w:b/>
          <w:bCs/>
          <w:u w:val="single"/>
          <w:rtl/>
        </w:rPr>
        <w:t>שעה</w:t>
      </w:r>
      <w:r w:rsidR="00F0250B">
        <w:rPr>
          <w:rFonts w:hint="cs"/>
          <w:b/>
          <w:bCs/>
          <w:u w:val="single"/>
          <w:rtl/>
        </w:rPr>
        <w:t xml:space="preserve"> 14:00</w:t>
      </w:r>
      <w:r w:rsidRPr="00DA79C8">
        <w:rPr>
          <w:rFonts w:hint="cs"/>
          <w:b/>
          <w:bCs/>
          <w:u w:val="single"/>
          <w:rtl/>
        </w:rPr>
        <w:t xml:space="preserve"> </w:t>
      </w:r>
    </w:p>
    <w:p w:rsidR="0085672F" w:rsidP="00E37E07" w:rsidRDefault="0085672F">
      <w:pPr>
        <w:jc w:val="both"/>
        <w:rPr>
          <w:rtl/>
        </w:rPr>
      </w:pPr>
    </w:p>
    <w:p w:rsidR="0085672F" w:rsidP="00377661" w:rsidRDefault="0085672F">
      <w:pPr>
        <w:spacing w:line="360" w:lineRule="auto"/>
        <w:jc w:val="both"/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 xml:space="preserve">אישור מסירה יומצא לבית המשפט בתוך 5 ימים </w:t>
      </w:r>
    </w:p>
    <w:p w:rsidR="0085672F" w:rsidP="00F0250B" w:rsidRDefault="0085672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tl/>
        </w:rPr>
        <w:tab/>
      </w:r>
      <w:r>
        <w:rPr>
          <w:rFonts w:hint="cs"/>
          <w:rtl/>
        </w:rPr>
        <w:t>בכפוף להמצאת אישור מסירה למשיבים – תוגש  תגובה עד</w:t>
      </w:r>
      <w:r w:rsidR="00F0250B">
        <w:rPr>
          <w:rFonts w:hint="cs"/>
          <w:rtl/>
        </w:rPr>
        <w:t xml:space="preserve"> ליום 26.6.2017</w:t>
      </w:r>
      <w:r>
        <w:rPr>
          <w:rFonts w:hint="cs"/>
          <w:rtl/>
        </w:rPr>
        <w:t>.</w:t>
      </w:r>
    </w:p>
    <w:p w:rsidR="0085672F" w:rsidP="00377661" w:rsidRDefault="0085672F">
      <w:pPr>
        <w:spacing w:line="360" w:lineRule="auto"/>
        <w:ind w:left="720" w:hanging="720"/>
        <w:jc w:val="both"/>
      </w:pPr>
      <w:r>
        <w:rPr>
          <w:rFonts w:hint="cs"/>
          <w:rtl/>
        </w:rPr>
        <w:t>3.</w:t>
      </w:r>
      <w:r>
        <w:rPr>
          <w:rtl/>
        </w:rPr>
        <w:tab/>
      </w:r>
      <w:r>
        <w:rPr>
          <w:rFonts w:hint="cs"/>
          <w:rtl/>
        </w:rPr>
        <w:t xml:space="preserve">טענות שבעובדה יתמכו בתצהיר. </w:t>
      </w:r>
    </w:p>
    <w:p w:rsidR="0085672F" w:rsidP="00377661" w:rsidRDefault="0085672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>
        <w:rPr>
          <w:rFonts w:hint="cs"/>
          <w:rtl/>
        </w:rPr>
        <w:t xml:space="preserve">התגובה תוגש לבית המשפט ב – 2 עותקים. </w:t>
      </w:r>
    </w:p>
    <w:p w:rsidR="0085672F" w:rsidP="00377661" w:rsidRDefault="0085672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tl/>
        </w:rPr>
        <w:tab/>
      </w:r>
      <w:r>
        <w:rPr>
          <w:rFonts w:hint="cs"/>
          <w:rtl/>
        </w:rPr>
        <w:t xml:space="preserve">יש להגיש </w:t>
      </w:r>
      <w:r w:rsidRPr="00942D51">
        <w:rPr>
          <w:rFonts w:hint="cs"/>
          <w:u w:val="single"/>
          <w:rtl/>
        </w:rPr>
        <w:t>לפחות עותק אחד בכתב</w:t>
      </w:r>
      <w:r>
        <w:rPr>
          <w:rFonts w:hint="cs"/>
          <w:rtl/>
        </w:rPr>
        <w:t xml:space="preserve"> (השני ניתן להגשה באמצעות נט משפט) כאשר </w:t>
      </w:r>
      <w:r w:rsidRPr="00DC48B1">
        <w:rPr>
          <w:rFonts w:hint="cs"/>
          <w:b/>
          <w:bCs/>
          <w:sz w:val="30"/>
          <w:szCs w:val="30"/>
          <w:u w:val="single"/>
          <w:rtl/>
        </w:rPr>
        <w:t>הנספחים מדוגלים</w:t>
      </w:r>
      <w:r>
        <w:rPr>
          <w:rFonts w:hint="cs"/>
          <w:rtl/>
        </w:rPr>
        <w:t>, וכאשר כל העמודים (לרבות הנספחים) מסופררים במספר רץ בתחתית העמוד משמאל.</w:t>
      </w:r>
    </w:p>
    <w:p w:rsidR="0085672F" w:rsidP="00377661" w:rsidRDefault="0085672F">
      <w:pPr>
        <w:spacing w:line="360" w:lineRule="auto"/>
        <w:ind w:left="720" w:hanging="720"/>
        <w:jc w:val="both"/>
        <w:rPr>
          <w:rtl/>
        </w:rPr>
      </w:pPr>
    </w:p>
    <w:p w:rsidRPr="00DA79C8" w:rsidR="0085672F" w:rsidP="00E37E07" w:rsidRDefault="0085672F">
      <w:pPr>
        <w:spacing w:line="360" w:lineRule="auto"/>
        <w:jc w:val="both"/>
        <w:rPr>
          <w:rtl/>
        </w:rPr>
      </w:pPr>
      <w:r>
        <w:rPr>
          <w:rFonts w:hint="cs"/>
          <w:rtl/>
        </w:rPr>
        <w:t>הדיון במעמד בעלי הדין (לרבות נציג בקיא של הרשות)</w:t>
      </w:r>
    </w:p>
    <w:p w:rsidR="0085672F" w:rsidP="00E37E07" w:rsidRDefault="0085672F">
      <w:pPr>
        <w:jc w:val="both"/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3029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19250" cy="657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135744efc3549a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3029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3029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3029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3029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2401-04-18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דאווד ואח' נ' עירית טייבה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55E7B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297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25AED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5672F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250B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135744efc3549a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9522C" w:rsidP="0099522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9522C" w:rsidP="0099522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9522C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22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952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952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123</Words>
  <Characters>616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דפנה בלטמן קדראי</cp:lastModifiedBy>
  <cp:revision>118</cp:revision>
  <dcterms:created xsi:type="dcterms:W3CDTF">2012-08-06T05:16:00Z</dcterms:created>
  <dcterms:modified xsi:type="dcterms:W3CDTF">2018-04-12T11:20:00Z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