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איתן כהן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154486/2018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שלומי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קורקוס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204233332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מימון אדמון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25 ספטמבר 1992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הרב חי הכהן 42 נתיבות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12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12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6302-04-18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קורקוס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d0f91007dcfc4b19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f37b0aa051d941bf" /></Relationships>
</file>

<file path=customXML/item.xml><?xml version="1.0" encoding="utf-8"?>
<CourtOrderDS>
  <dt_OrderCaseParty>
    <OrderID>0</OrderID>
    <CasePartyID>180267117</CasePartyID>
    <CaseID>75371478</CaseID>
    <CourtOrderTemplateDS>
      <dt_CaseParties>
        <FullName>שלומי קורקוס</FullName>
        <PartyID>2</PartyID>
        <CasePartyID>180267117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2018-04-08T07:00:00+03:00</CaseOpenDate>
        <ProceedingID>18</ProceedingID>
        <CourtID>30</CourtID>
        <CaseName>מדינת ישראל נ' קורקוס</CaseName>
        <CaseTypeDesc/>
        <CaseTypeID>10059</CaseTypeID>
        <CaseTypeShortName>מ"י</CaseTypeShortName>
        <CaseDisplayIdentifier>6302-04-18</CaseDisplayIdentifier>
      </dt_OrderData>
      <dt_OrderManagment>
        <FatherName>מימון אדמון</FatherName>
        <FirstName>שלומי</FirstName>
        <LastName>קורקוס</LastName>
        <LegalEntityNumber>204233332</LegalEntityNumber>
        <AuthenticationTypeID>1</AuthenticationTypeID>
        <LegalEntityAddress>הרב חי הכהן 42 נתיבות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הרב חי הכהן 42 נתיבות </LegalEntityCasePartyAddress>
      </dt_OrderManagment>
      <dt_ExternalLinkCaseNumber>
        <ExternalLinkCaseNumber>154486/2018</ExternalLinkCaseNumber>
        <ExternalCaseType>-1</ExternalCaseType>
      </dt_ExternalLinkCaseNumber>
      <dt_CaseData>
        <FirstCriminalCase/>
      </dt_CaseData>
    </CourtOrderTemplateDS>
    <RoleName>חשוד 1</RoleName>
    <CaseDisplayIdentifier>6302-04-18</CaseDisplayIdentifier>
    <FullName>שלומי קורקוס</FullName>
    <AuthenticationTypeAndNumber>ת.ז. 204233332</AuthenticationTypeAndNumber>
    <FullAddress>הרב חי הכהן 42 נתיבות </FullAddress>
    <BirthDate>25/09/1992 00:00:00</BirthDate>
    <FatherName>מימון אדמון</FatherName>
    <AuthenticationTypeID>1</AuthenticationTypeID>
    <LegalEntityNumber>204233332</LegalEntityNumber>
    <LegalEntityID>8654135</LegalEntityID>
    <FirstName>שלומי</FirstName>
    <LastName>קורקוס</LastName>
    <PartyPropertyID>99</PartyPropertyID>
  </dt_OrderCaseParty>
  <dt_Document>
    <RowID>0</RowID>
    <DocumentTypeID>3</DocumentTypeID>
    <DocumentName>מסמך צו</DocumentName>
    <DocumentID>265684366</DocumentID>
    <DocumentURL>\\CTLNFSV02\doc_repository\973\883\f32ec5e8f2b24803a56e515fcd896d60.docx</DocumentURL>
  </dt_Document>
  <dt_Order>
    <OrderID>0</OrderID>
    <DecisionID>111870134</DecisionID>
    <OrderStatusID>2</OrderStatusID>
    <IsCancelled>false</IsCancelled>
    <CreationDate>2018-04-10T13:26:51.1132094+03:00</CreationDate>
    <ProcedureID>2</ProcedureID>
    <OrderTypeID>120</OrderTypeID>
    <ActivationDate>2018-04-10T00:00:00+03:00</ActivationDate>
    <RealSignedUserID>059769265@GOV.IL</RealSignedUserID>
    <OrderDesc/>
    <CreationUserID>059769265@GOV.IL</CreationUserID>
    <DocumentID>265684366</DocumentID>
    <SignatureUserID>059769265@GOV.IL</SignatureUserID>
    <DraftUpdateDesc/>
    <DecisionDocumentID>-1</DecisionDocumentID>
    <MotionDocumentID>-1</MotionDocumentID>
    <DecisionName/>
    <DaysForAnswer/>
    <SignatureUserDisplayName>איתן כהן</SignatureUserDisplayName>
    <DecisionSignatureUserID>059769265@GOV.IL</DecisionSignatureUserID>
    <DecisionSignatureUserDisplayName>איתן כהן</DecisionSignatureUserDisplayName>
    <CreationUserDisplayName>איתן כהן</CreationUserDisplayName>
    <IsDocumentModified>false</IsDocumentModified>
    <OrderNumber>2000215</OrderNumber>
    <OrderNumerator>02000215מע</OrderNumerator>
    <IsNotificationProcess>false</IsNotificationProcess>
    <IsPaperCase>false</IsPaperCase>
  </dt_Order>
  <dt_OrderCase>
    <OrderID>0</OrderID>
    <CaseID>75371478</CaseID>
    <CourtOrderTemplateDS>
      <dt_CaseParties>
        <FullName>שלומי קורקוס</FullName>
        <PartyID>2</PartyID>
        <CasePartyID>180267117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2018-04-08T07:00:00+03:00</CaseOpenDate>
        <ProceedingID>18</ProceedingID>
        <CourtID>30</CourtID>
        <CaseName>מדינת ישראל נ' קורקוס</CaseName>
        <CaseTypeDesc/>
        <CaseTypeID>10059</CaseTypeID>
        <CaseTypeShortName>מ"י</CaseTypeShortName>
        <CaseDisplayIdentifier>6302-04-18</CaseDisplayIdentifier>
      </dt_OrderData>
      <dt_OrderManagment>
        <FatherName>מימון אדמון</FatherName>
        <FirstName>שלומי</FirstName>
        <LastName>קורקוס</LastName>
        <LegalEntityNumber>204233332</LegalEntityNumber>
        <AuthenticationTypeID>1</AuthenticationTypeID>
        <LegalEntityAddress>הרב חי הכהן 42 נתיבות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הרב חי הכהן 42 נתיבות </LegalEntityCasePartyAddress>
      </dt_OrderManagment>
      <dt_ExternalLinkCaseNumber>
        <ExternalLinkCaseNumber>154486/2018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שלומי</FirstName>
    <LastName>קורקוס</LastName>
    <AuthenticationTypeID>1</AuthenticationTypeID>
    <LegalEntityNumber>204233332</LegalEntityNumber>
    <FatherName>מימון אדמון</FatherName>
    <BirthDate>1992-09-25T00:00:00+02:00</BirthDate>
    <LegalEntityAddress>הרב חי הכהן 42 נתיבות </LegalEntityAddress>
    <PoliceStationID>96</PoliceStationID>
    <DetentionPeriodTypeID>3</DetentionPeriodTypeID>
    <DetentionFinishDate>2018-04-12T12:00:00+03:00</DetentionFinishDate>
    <ExecutionDate>2018-04-10T13:26:54.4242094+03:00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D5DC5282-079B-4B78-B0CD-6260FBC841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