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מי-טל אל-עד קרביס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5A3A29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845762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רפאל פאריב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5A3A29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A3A2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84576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rFonts w:hint="cs"/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09314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A3A29" w:rsidP="0070711E" w:rsidRDefault="00405978">
      <w:pPr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Arial" w:hAnsi="Arial"/>
          <w:noProof w:val="0"/>
          <w:rtl/>
        </w:rPr>
        <w:t xml:space="preserve">לפניי בקשתו של התובע להמציא למומחה בית המשפט </w:t>
      </w:r>
      <w:r w:rsidR="00B63DBB">
        <w:rPr>
          <w:rFonts w:hint="cs" w:ascii="Arial" w:hAnsi="Arial"/>
          <w:noProof w:val="0"/>
          <w:rtl/>
        </w:rPr>
        <w:t xml:space="preserve">בתחום התעסוקתי </w:t>
      </w:r>
      <w:r w:rsidR="005A3A29">
        <w:rPr>
          <w:rFonts w:hint="cs" w:ascii="Arial" w:hAnsi="Arial"/>
          <w:noProof w:val="0"/>
          <w:rtl/>
        </w:rPr>
        <w:t xml:space="preserve">את </w:t>
      </w:r>
      <w:bookmarkStart w:name="NGCSBookmark" w:id="0"/>
      <w:bookmarkEnd w:id="0"/>
      <w:r w:rsidR="005A3A29">
        <w:rPr>
          <w:rFonts w:hint="cs" w:ascii="Tahoma" w:hAnsi="Tahoma"/>
          <w:noProof w:val="0"/>
          <w:color w:val="000000"/>
          <w:rtl/>
        </w:rPr>
        <w:t>ה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פרוטוקול </w:t>
      </w:r>
      <w:r>
        <w:rPr>
          <w:rFonts w:hint="cs" w:ascii="Tahoma" w:hAnsi="Tahoma"/>
          <w:noProof w:val="0"/>
          <w:color w:val="000000"/>
          <w:rtl/>
        </w:rPr>
        <w:t>וה</w:t>
      </w:r>
      <w:r w:rsidR="005A3A29">
        <w:rPr>
          <w:rFonts w:hint="cs" w:ascii="Tahoma" w:hAnsi="Tahoma"/>
          <w:noProof w:val="0"/>
          <w:color w:val="000000"/>
          <w:rtl/>
        </w:rPr>
        <w:t>ה</w:t>
      </w:r>
      <w:r>
        <w:rPr>
          <w:rFonts w:hint="cs" w:ascii="Tahoma" w:hAnsi="Tahoma"/>
          <w:noProof w:val="0"/>
          <w:color w:val="000000"/>
          <w:rtl/>
        </w:rPr>
        <w:t xml:space="preserve">חלטה של </w:t>
      </w:r>
      <w:r w:rsidRPr="0009314C" w:rsidR="0009314C">
        <w:rPr>
          <w:rFonts w:ascii="Tahoma" w:hAnsi="Tahoma"/>
          <w:noProof w:val="0"/>
          <w:color w:val="000000"/>
          <w:rtl/>
        </w:rPr>
        <w:t>ה</w:t>
      </w:r>
      <w:r w:rsidR="005A3A29">
        <w:rPr>
          <w:rFonts w:hint="cs" w:ascii="Tahoma" w:hAnsi="Tahoma"/>
          <w:noProof w:val="0"/>
          <w:color w:val="000000"/>
          <w:rtl/>
        </w:rPr>
        <w:t>ו</w:t>
      </w:r>
      <w:r w:rsidRPr="0009314C" w:rsidR="0009314C">
        <w:rPr>
          <w:rFonts w:ascii="Tahoma" w:hAnsi="Tahoma"/>
          <w:noProof w:val="0"/>
          <w:color w:val="000000"/>
          <w:rtl/>
        </w:rPr>
        <w:t>ועדה הרפואית לעררים</w:t>
      </w:r>
      <w:r>
        <w:rPr>
          <w:rFonts w:hint="cs" w:ascii="Tahoma" w:hAnsi="Tahoma"/>
          <w:noProof w:val="0"/>
          <w:color w:val="000000"/>
          <w:rtl/>
        </w:rPr>
        <w:t xml:space="preserve"> במוסד לביטוח לאומי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(פרוטוקול </w:t>
      </w:r>
      <w:r w:rsidR="00B63DBB">
        <w:rPr>
          <w:rFonts w:hint="cs" w:ascii="Tahoma" w:hAnsi="Tahoma"/>
          <w:noProof w:val="0"/>
          <w:color w:val="000000"/>
          <w:rtl/>
        </w:rPr>
        <w:t xml:space="preserve">והחלטה </w:t>
      </w:r>
      <w:r w:rsidRPr="0009314C" w:rsidR="0009314C">
        <w:rPr>
          <w:rFonts w:ascii="Tahoma" w:hAnsi="Tahoma"/>
          <w:noProof w:val="0"/>
          <w:color w:val="000000"/>
          <w:rtl/>
        </w:rPr>
        <w:t>שנית</w:t>
      </w:r>
      <w:r w:rsidR="00B63DBB">
        <w:rPr>
          <w:rFonts w:hint="cs" w:ascii="Tahoma" w:hAnsi="Tahoma"/>
          <w:noProof w:val="0"/>
          <w:color w:val="000000"/>
          <w:rtl/>
        </w:rPr>
        <w:t>נה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לאחרונה, בתאריך 15.2.18)</w:t>
      </w:r>
      <w:r w:rsidR="005A3A29">
        <w:rPr>
          <w:rFonts w:hint="cs" w:ascii="Tahoma" w:hAnsi="Tahoma"/>
          <w:noProof w:val="0"/>
          <w:color w:val="000000"/>
          <w:rtl/>
        </w:rPr>
        <w:t xml:space="preserve">. </w:t>
      </w:r>
    </w:p>
    <w:p w:rsidR="005A3A29" w:rsidP="005A3A29" w:rsidRDefault="005A3A29">
      <w:pPr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09314C" w:rsidR="0009314C" w:rsidP="0070711E" w:rsidRDefault="005A3A29">
      <w:pPr>
        <w:spacing w:line="360" w:lineRule="auto"/>
        <w:ind w:left="720" w:hanging="720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 xml:space="preserve">1. </w:t>
      </w:r>
      <w:r>
        <w:rPr>
          <w:rFonts w:hint="cs" w:ascii="Tahoma" w:hAnsi="Tahoma"/>
          <w:noProof w:val="0"/>
          <w:color w:val="000000"/>
          <w:rtl/>
        </w:rPr>
        <w:tab/>
      </w:r>
      <w:r w:rsidRPr="0009314C" w:rsidR="0009314C">
        <w:rPr>
          <w:rFonts w:ascii="Tahoma" w:hAnsi="Tahoma"/>
          <w:noProof w:val="0"/>
          <w:color w:val="000000"/>
          <w:rtl/>
        </w:rPr>
        <w:t xml:space="preserve">אכן, התובע כבר </w:t>
      </w:r>
      <w:r w:rsidR="0070711E">
        <w:rPr>
          <w:rFonts w:hint="cs" w:ascii="Tahoma" w:hAnsi="Tahoma"/>
          <w:noProof w:val="0"/>
          <w:color w:val="000000"/>
          <w:rtl/>
        </w:rPr>
        <w:t xml:space="preserve">הגיש ראיותיו ואף </w:t>
      </w:r>
      <w:r w:rsidRPr="0009314C" w:rsidR="0009314C">
        <w:rPr>
          <w:rFonts w:ascii="Tahoma" w:hAnsi="Tahoma"/>
          <w:noProof w:val="0"/>
          <w:color w:val="000000"/>
          <w:rtl/>
        </w:rPr>
        <w:t>נחקר. אולם, ההליך טרם הסתיים, והוא מבקש להציג למומחה בית המשפט בתחום הרפואה התעסוקתית נתונים מ</w:t>
      </w:r>
      <w:r>
        <w:rPr>
          <w:rFonts w:hint="cs" w:ascii="Tahoma" w:hAnsi="Tahoma"/>
          <w:noProof w:val="0"/>
          <w:color w:val="000000"/>
          <w:rtl/>
        </w:rPr>
        <w:t>ה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פרוטוקול </w:t>
      </w:r>
      <w:r>
        <w:rPr>
          <w:rFonts w:hint="cs" w:ascii="Tahoma" w:hAnsi="Tahoma"/>
          <w:noProof w:val="0"/>
          <w:color w:val="000000"/>
          <w:rtl/>
        </w:rPr>
        <w:t xml:space="preserve">האמור 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בעת חקירתו הנגדית של המומחה (ואף להקדים ולשלוח לו אותם כדי שלא להפתיעו </w:t>
      </w:r>
      <w:r>
        <w:rPr>
          <w:rFonts w:hint="cs" w:ascii="Tahoma" w:hAnsi="Tahoma"/>
          <w:noProof w:val="0"/>
          <w:color w:val="000000"/>
          <w:rtl/>
        </w:rPr>
        <w:t xml:space="preserve">במסגרת </w:t>
      </w:r>
      <w:r w:rsidR="0070711E">
        <w:rPr>
          <w:rFonts w:hint="cs" w:ascii="Tahoma" w:hAnsi="Tahoma"/>
          <w:noProof w:val="0"/>
          <w:color w:val="000000"/>
          <w:rtl/>
        </w:rPr>
        <w:t>ה</w:t>
      </w:r>
      <w:r>
        <w:rPr>
          <w:rFonts w:hint="cs" w:ascii="Tahoma" w:hAnsi="Tahoma"/>
          <w:noProof w:val="0"/>
          <w:color w:val="000000"/>
          <w:rtl/>
        </w:rPr>
        <w:t xml:space="preserve">חקירה </w:t>
      </w:r>
      <w:r w:rsidR="0070711E">
        <w:rPr>
          <w:rFonts w:hint="cs" w:ascii="Tahoma" w:hAnsi="Tahoma"/>
          <w:noProof w:val="0"/>
          <w:color w:val="000000"/>
          <w:rtl/>
        </w:rPr>
        <w:t>ה</w:t>
      </w:r>
      <w:r>
        <w:rPr>
          <w:rFonts w:hint="cs" w:ascii="Tahoma" w:hAnsi="Tahoma"/>
          <w:noProof w:val="0"/>
          <w:color w:val="000000"/>
          <w:rtl/>
        </w:rPr>
        <w:t>נגדית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). </w:t>
      </w:r>
    </w:p>
    <w:p w:rsidRPr="0009314C" w:rsidR="0009314C" w:rsidP="0009314C" w:rsidRDefault="0009314C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="0070711E" w:rsidP="0070711E" w:rsidRDefault="0070711E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 xml:space="preserve">2. </w:t>
      </w:r>
      <w:r>
        <w:rPr>
          <w:rFonts w:ascii="Tahoma" w:hAnsi="Tahoma"/>
          <w:noProof w:val="0"/>
          <w:color w:val="000000"/>
          <w:rtl/>
        </w:rPr>
        <w:tab/>
      </w:r>
      <w:r w:rsidRPr="0009314C" w:rsidR="0009314C">
        <w:rPr>
          <w:rFonts w:ascii="Tahoma" w:hAnsi="Tahoma"/>
          <w:noProof w:val="0"/>
          <w:color w:val="000000"/>
          <w:rtl/>
        </w:rPr>
        <w:t xml:space="preserve">הנתבעת טוענת כי הפרוטוקול </w:t>
      </w:r>
      <w:r w:rsidR="00405978">
        <w:rPr>
          <w:rFonts w:hint="cs" w:ascii="Tahoma" w:hAnsi="Tahoma"/>
          <w:noProof w:val="0"/>
          <w:color w:val="000000"/>
          <w:rtl/>
        </w:rPr>
        <w:t xml:space="preserve">וההחלטה </w:t>
      </w:r>
      <w:r w:rsidRPr="0009314C" w:rsidR="0009314C">
        <w:rPr>
          <w:rFonts w:ascii="Tahoma" w:hAnsi="Tahoma"/>
          <w:noProof w:val="0"/>
          <w:color w:val="000000"/>
          <w:rtl/>
        </w:rPr>
        <w:t>אי</w:t>
      </w:r>
      <w:r w:rsidR="00405978">
        <w:rPr>
          <w:rFonts w:hint="cs" w:ascii="Tahoma" w:hAnsi="Tahoma"/>
          <w:noProof w:val="0"/>
          <w:color w:val="000000"/>
          <w:rtl/>
        </w:rPr>
        <w:t xml:space="preserve">נם </w:t>
      </w:r>
      <w:r w:rsidRPr="0009314C" w:rsidR="0009314C">
        <w:rPr>
          <w:rFonts w:ascii="Tahoma" w:hAnsi="Tahoma"/>
          <w:noProof w:val="0"/>
          <w:color w:val="000000"/>
          <w:rtl/>
        </w:rPr>
        <w:t>קביל</w:t>
      </w:r>
      <w:r w:rsidR="00405978">
        <w:rPr>
          <w:rFonts w:hint="cs" w:ascii="Tahoma" w:hAnsi="Tahoma"/>
          <w:noProof w:val="0"/>
          <w:color w:val="000000"/>
          <w:rtl/>
        </w:rPr>
        <w:t>ים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כראיה</w:t>
      </w:r>
      <w:r w:rsidR="00CB0C23">
        <w:rPr>
          <w:rFonts w:hint="cs" w:ascii="Tahoma" w:hAnsi="Tahoma"/>
          <w:noProof w:val="0"/>
          <w:color w:val="000000"/>
          <w:rtl/>
        </w:rPr>
        <w:t xml:space="preserve"> שכן עורכיהם אינם עומדים לחקירה נגדית</w:t>
      </w:r>
      <w:r w:rsidR="0009314C">
        <w:rPr>
          <w:rFonts w:hint="cs" w:ascii="Tahoma" w:hAnsi="Tahoma"/>
          <w:noProof w:val="0"/>
          <w:color w:val="000000"/>
          <w:rtl/>
        </w:rPr>
        <w:t>.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</w:t>
      </w:r>
    </w:p>
    <w:p w:rsidR="0070711E" w:rsidP="0070711E" w:rsidRDefault="0070711E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noProof w:val="0"/>
          <w:color w:val="000000"/>
          <w:rtl/>
        </w:rPr>
      </w:pPr>
    </w:p>
    <w:p w:rsidRPr="0009314C" w:rsidR="0009314C" w:rsidP="0070711E" w:rsidRDefault="0070711E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 xml:space="preserve">3. </w:t>
      </w:r>
      <w:r>
        <w:rPr>
          <w:rFonts w:ascii="Tahoma" w:hAnsi="Tahoma"/>
          <w:noProof w:val="0"/>
          <w:color w:val="000000"/>
          <w:rtl/>
        </w:rPr>
        <w:tab/>
      </w:r>
      <w:r w:rsidR="00CB0C23">
        <w:rPr>
          <w:rFonts w:hint="cs" w:ascii="Tahoma" w:hAnsi="Tahoma"/>
          <w:noProof w:val="0"/>
          <w:color w:val="000000"/>
          <w:rtl/>
        </w:rPr>
        <w:t xml:space="preserve">עסקינן בתיק אזרחי "רגיל", ולא בתיק המתנהל לפי חוק פיצויים לנפגעי תאונות דרכים, תשל"ה </w:t>
      </w:r>
      <w:r w:rsidR="00CB0C23">
        <w:rPr>
          <w:rFonts w:ascii="Tahoma" w:hAnsi="Tahoma"/>
          <w:noProof w:val="0"/>
          <w:color w:val="000000"/>
          <w:rtl/>
        </w:rPr>
        <w:t>–</w:t>
      </w:r>
      <w:r w:rsidR="00CB0C23">
        <w:rPr>
          <w:rFonts w:hint="cs" w:ascii="Tahoma" w:hAnsi="Tahoma"/>
          <w:noProof w:val="0"/>
          <w:color w:val="000000"/>
          <w:rtl/>
        </w:rPr>
        <w:t xml:space="preserve"> 1975 והתקנות מכוחו</w:t>
      </w:r>
      <w:r w:rsidR="005A3A29">
        <w:rPr>
          <w:rFonts w:hint="cs" w:ascii="Tahoma" w:hAnsi="Tahoma"/>
          <w:noProof w:val="0"/>
          <w:color w:val="000000"/>
          <w:rtl/>
        </w:rPr>
        <w:t>,</w:t>
      </w:r>
      <w:r w:rsidR="00CB0C23">
        <w:rPr>
          <w:rFonts w:hint="cs" w:ascii="Tahoma" w:hAnsi="Tahoma"/>
          <w:noProof w:val="0"/>
          <w:color w:val="000000"/>
          <w:rtl/>
        </w:rPr>
        <w:t xml:space="preserve"> שלגביו יש הסדרים מיוחדים. על כן, ו</w:t>
      </w:r>
      <w:r w:rsidRPr="0009314C" w:rsidR="0009314C">
        <w:rPr>
          <w:rFonts w:ascii="Tahoma" w:hAnsi="Tahoma"/>
          <w:noProof w:val="0"/>
          <w:color w:val="000000"/>
          <w:rtl/>
        </w:rPr>
        <w:t>נוכח מגמת הפסיקה של "</w:t>
      </w:r>
      <w:r w:rsidRPr="0009314C" w:rsidR="0009314C">
        <w:rPr>
          <w:rFonts w:ascii="Tahoma" w:hAnsi="Tahoma"/>
          <w:b/>
          <w:bCs/>
          <w:noProof w:val="0"/>
          <w:color w:val="000000"/>
          <w:rtl/>
        </w:rPr>
        <w:t>מעבר מקבילות למשקל</w:t>
      </w:r>
      <w:r w:rsidRPr="0009314C" w:rsidR="0009314C">
        <w:rPr>
          <w:rFonts w:ascii="Tahoma" w:hAnsi="Tahoma"/>
          <w:noProof w:val="0"/>
          <w:color w:val="000000"/>
          <w:rtl/>
        </w:rPr>
        <w:t>" – צמצום המקרים בהם ת</w:t>
      </w:r>
      <w:r w:rsidR="005A3A29">
        <w:rPr>
          <w:rFonts w:hint="cs" w:ascii="Tahoma" w:hAnsi="Tahoma"/>
          <w:noProof w:val="0"/>
          <w:color w:val="000000"/>
          <w:rtl/>
        </w:rPr>
        <w:t>י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חשב ראיה כבלתי קבילה, תוך שבית המשפט ישים את הדגש על משקלה, ובהתחשב בשיקול דעתו הרחב של בית המשפט באשר לראיות שלפניו, וכדי לרדת לחקר האמת (דנ"א 7818/00 </w:t>
      </w:r>
      <w:r w:rsidRPr="0009314C" w:rsidR="0009314C">
        <w:rPr>
          <w:rFonts w:ascii="Tahoma" w:hAnsi="Tahoma"/>
          <w:b/>
          <w:bCs/>
          <w:noProof w:val="0"/>
          <w:color w:val="000000"/>
          <w:rtl/>
        </w:rPr>
        <w:t>אהרן נ' אהרוני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, פ"ד נט(6)653, 715 (2005); ע"א 119/05 </w:t>
      </w:r>
      <w:r w:rsidRPr="0009314C" w:rsidR="0009314C">
        <w:rPr>
          <w:rFonts w:ascii="Tahoma" w:hAnsi="Tahoma"/>
          <w:b/>
          <w:bCs/>
          <w:noProof w:val="0"/>
          <w:color w:val="000000"/>
          <w:rtl/>
        </w:rPr>
        <w:t>חליפה נ' מדינת ישראל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</w:t>
      </w:r>
      <w:r w:rsidRPr="0009314C" w:rsidR="0009314C">
        <w:rPr>
          <w:rFonts w:ascii="Tahoma" w:hAnsi="Tahoma"/>
          <w:b/>
          <w:bCs/>
          <w:noProof w:val="0"/>
          <w:color w:val="000000"/>
          <w:rtl/>
        </w:rPr>
        <w:t>– משרד הבריאות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(2006) בפסקה 32) </w:t>
      </w:r>
      <w:r w:rsidR="0009314C">
        <w:rPr>
          <w:rFonts w:ascii="Tahoma" w:hAnsi="Tahoma"/>
          <w:noProof w:val="0"/>
          <w:color w:val="000000"/>
          <w:rtl/>
        </w:rPr>
        <w:t>–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 </w:t>
      </w:r>
      <w:r w:rsidR="0009314C">
        <w:rPr>
          <w:rFonts w:hint="cs" w:ascii="Tahoma" w:hAnsi="Tahoma"/>
          <w:noProof w:val="0"/>
          <w:color w:val="000000"/>
          <w:rtl/>
        </w:rPr>
        <w:t xml:space="preserve">אאפשר המצאת </w:t>
      </w:r>
      <w:r w:rsidR="00EE2740">
        <w:rPr>
          <w:rFonts w:hint="cs" w:ascii="Tahoma" w:hAnsi="Tahoma"/>
          <w:noProof w:val="0"/>
          <w:color w:val="000000"/>
          <w:rtl/>
        </w:rPr>
        <w:t xml:space="preserve">האמור </w:t>
      </w:r>
      <w:r w:rsidR="0009314C">
        <w:rPr>
          <w:rFonts w:hint="cs" w:ascii="Tahoma" w:hAnsi="Tahoma"/>
          <w:noProof w:val="0"/>
          <w:color w:val="000000"/>
          <w:rtl/>
        </w:rPr>
        <w:t xml:space="preserve">למומחה. 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טענותיה של הנתבעת </w:t>
      </w:r>
      <w:r w:rsidR="0009314C">
        <w:rPr>
          <w:rFonts w:hint="cs" w:ascii="Tahoma" w:hAnsi="Tahoma"/>
          <w:noProof w:val="0"/>
          <w:color w:val="000000"/>
          <w:rtl/>
        </w:rPr>
        <w:t xml:space="preserve">באשר למשקלה של הראיה 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שמורות לה בסיכומיה. </w:t>
      </w:r>
    </w:p>
    <w:p w:rsidRPr="0009314C" w:rsidR="0009314C" w:rsidP="0009314C" w:rsidRDefault="0009314C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09314C" w:rsidR="0009314C" w:rsidP="0009314C" w:rsidRDefault="0070711E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4</w:t>
      </w:r>
      <w:r w:rsidR="0009314C">
        <w:rPr>
          <w:rFonts w:hint="cs" w:ascii="Tahoma" w:hAnsi="Tahoma"/>
          <w:noProof w:val="0"/>
          <w:color w:val="000000"/>
          <w:rtl/>
        </w:rPr>
        <w:t xml:space="preserve">. </w:t>
      </w:r>
      <w:r w:rsidR="0009314C">
        <w:rPr>
          <w:rFonts w:ascii="Tahoma" w:hAnsi="Tahoma"/>
          <w:noProof w:val="0"/>
          <w:color w:val="000000"/>
          <w:rtl/>
        </w:rPr>
        <w:tab/>
      </w:r>
      <w:r w:rsidRPr="0009314C" w:rsidR="0009314C">
        <w:rPr>
          <w:rFonts w:ascii="Tahoma" w:hAnsi="Tahoma"/>
          <w:noProof w:val="0"/>
          <w:color w:val="000000"/>
          <w:rtl/>
        </w:rPr>
        <w:t xml:space="preserve">התובע רשאי להמציא לד"ר וינר את הפרוטוקול </w:t>
      </w:r>
      <w:r w:rsidR="00CB0C23">
        <w:rPr>
          <w:rFonts w:hint="cs" w:ascii="Tahoma" w:hAnsi="Tahoma"/>
          <w:noProof w:val="0"/>
          <w:color w:val="000000"/>
          <w:rtl/>
        </w:rPr>
        <w:t xml:space="preserve">והחלטת הוועדה </w:t>
      </w:r>
      <w:r w:rsidRPr="0009314C" w:rsidR="0009314C">
        <w:rPr>
          <w:rFonts w:ascii="Tahoma" w:hAnsi="Tahoma"/>
          <w:noProof w:val="0"/>
          <w:color w:val="000000"/>
          <w:rtl/>
        </w:rPr>
        <w:t>(עם העתק המכתב לב"כ הנתבעת), ונוכח מועד הדיון (17.5.18) - עליו לעשות כן ללא ד</w:t>
      </w:r>
      <w:r w:rsidR="005A3A29">
        <w:rPr>
          <w:rFonts w:hint="cs" w:ascii="Tahoma" w:hAnsi="Tahoma"/>
          <w:noProof w:val="0"/>
          <w:color w:val="000000"/>
          <w:rtl/>
        </w:rPr>
        <w:t>י</w:t>
      </w:r>
      <w:r w:rsidRPr="0009314C" w:rsidR="0009314C">
        <w:rPr>
          <w:rFonts w:ascii="Tahoma" w:hAnsi="Tahoma"/>
          <w:noProof w:val="0"/>
          <w:color w:val="000000"/>
          <w:rtl/>
        </w:rPr>
        <w:t xml:space="preserve">חוי.  </w:t>
      </w:r>
    </w:p>
    <w:p w:rsidR="0009314C" w:rsidP="0009314C" w:rsidRDefault="0009314C">
      <w:pPr>
        <w:autoSpaceDE w:val="0"/>
        <w:autoSpaceDN w:val="0"/>
        <w:adjustRightInd w:val="0"/>
        <w:rPr>
          <w:rFonts w:ascii="Tahoma" w:hAnsi="Tahoma" w:cs="Tahoma"/>
          <w:noProof w:val="0"/>
          <w:sz w:val="20"/>
          <w:szCs w:val="20"/>
          <w:rtl/>
        </w:rPr>
      </w:pPr>
    </w:p>
    <w:p w:rsidRPr="0009314C" w:rsidR="00405978" w:rsidP="00405978" w:rsidRDefault="0070711E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lastRenderedPageBreak/>
        <w:t>5</w:t>
      </w:r>
      <w:r w:rsidRPr="0009314C" w:rsidR="00405978">
        <w:rPr>
          <w:rFonts w:ascii="Tahoma" w:hAnsi="Tahoma"/>
          <w:noProof w:val="0"/>
          <w:color w:val="000000"/>
          <w:rtl/>
        </w:rPr>
        <w:t xml:space="preserve">. </w:t>
      </w:r>
      <w:r w:rsidR="00405978">
        <w:rPr>
          <w:rFonts w:ascii="Tahoma" w:hAnsi="Tahoma"/>
          <w:noProof w:val="0"/>
          <w:color w:val="000000"/>
          <w:rtl/>
        </w:rPr>
        <w:tab/>
      </w:r>
      <w:r w:rsidRPr="0009314C" w:rsidR="00405978">
        <w:rPr>
          <w:rFonts w:ascii="Tahoma" w:hAnsi="Tahoma"/>
          <w:noProof w:val="0"/>
          <w:color w:val="000000"/>
          <w:rtl/>
        </w:rPr>
        <w:t xml:space="preserve">בהסכמת התובע, נתוני שכרה של רעייתו אשר השתרבבו בטעות יוצאו מתיק בית המשפט.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9314C" w:rsidR="0009314C" w:rsidRDefault="0009314C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9314C">
        <w:rPr>
          <w:rFonts w:hint="cs" w:ascii="Arial" w:hAnsi="Arial"/>
          <w:b/>
          <w:bCs/>
          <w:noProof w:val="0"/>
          <w:rtl/>
        </w:rPr>
        <w:t>המזכירות תמציא החלטתי זו לב"כ הצד</w:t>
      </w:r>
      <w:bookmarkStart w:name="_GoBack" w:id="1"/>
      <w:bookmarkEnd w:id="1"/>
      <w:r w:rsidRPr="0009314C">
        <w:rPr>
          <w:rFonts w:hint="cs" w:ascii="Arial" w:hAnsi="Arial"/>
          <w:b/>
          <w:bCs/>
          <w:noProof w:val="0"/>
          <w:rtl/>
        </w:rPr>
        <w:t xml:space="preserve">דים. </w:t>
      </w:r>
    </w:p>
    <w:p w:rsidRPr="0009314C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9314C">
        <w:rPr>
          <w:rFonts w:ascii="Arial" w:hAnsi="Arial"/>
          <w:b/>
          <w:bCs/>
          <w:noProof w:val="0"/>
          <w:rtl/>
        </w:rPr>
        <w:t>נית</w:t>
      </w:r>
      <w:r w:rsidRPr="0009314C">
        <w:rPr>
          <w:rFonts w:hint="cs" w:ascii="Arial" w:hAnsi="Arial"/>
          <w:b/>
          <w:bCs/>
          <w:noProof w:val="0"/>
          <w:rtl/>
        </w:rPr>
        <w:t>נה</w:t>
      </w:r>
      <w:r w:rsidRPr="0009314C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09314C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09314C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84576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6690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2faf8434d5b4d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845762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845762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57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8457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29167-12-09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פאריב נ' מגדל חברה לביטוח בע"מ</w:t>
              </w:r>
            </w:sdtContent>
          </w:sdt>
        </w:p>
        <w:p w:rsidRPr="00FA4EAF" w:rsidR="007D45E3" w:rsidP="00314311" w:rsidRDefault="008457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4637268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383248277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25539-06-11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77957136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פאריב נ' מגדל חברה לביטוח בע"מ באמ' שמגד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314C"/>
    <w:rsid w:val="00096AF7"/>
    <w:rsid w:val="000B344B"/>
    <w:rsid w:val="000C3B0F"/>
    <w:rsid w:val="000C3B60"/>
    <w:rsid w:val="000E0DD2"/>
    <w:rsid w:val="000E3AF1"/>
    <w:rsid w:val="000F0BC8"/>
    <w:rsid w:val="000F0DD6"/>
    <w:rsid w:val="000F6155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05978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A3A29"/>
    <w:rsid w:val="005F4F09"/>
    <w:rsid w:val="0061431B"/>
    <w:rsid w:val="00617CEE"/>
    <w:rsid w:val="00622BAA"/>
    <w:rsid w:val="006306CF"/>
    <w:rsid w:val="0064039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0711E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45762"/>
    <w:rsid w:val="00863F5D"/>
    <w:rsid w:val="00870890"/>
    <w:rsid w:val="00873602"/>
    <w:rsid w:val="00875D12"/>
    <w:rsid w:val="008800CD"/>
    <w:rsid w:val="0088479D"/>
    <w:rsid w:val="00891BDA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B5794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63DBB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B0C23"/>
    <w:rsid w:val="00CC7622"/>
    <w:rsid w:val="00CD3EA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E2740"/>
    <w:rsid w:val="00F06995"/>
    <w:rsid w:val="00F13623"/>
    <w:rsid w:val="00F44D1D"/>
    <w:rsid w:val="00F84B6D"/>
    <w:rsid w:val="00F91AD4"/>
    <w:rsid w:val="00FA4EAF"/>
    <w:rsid w:val="00FA5FDA"/>
    <w:rsid w:val="00FB6AB3"/>
    <w:rsid w:val="00FD1419"/>
    <w:rsid w:val="00FD79E4"/>
    <w:rsid w:val="00FE2894"/>
    <w:rsid w:val="00FF551D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684DA68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2faf8434d5b4d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מי-טל אל-עד קרביס</cp:lastModifiedBy>
  <cp:revision>165</cp:revision>
  <dcterms:created xsi:type="dcterms:W3CDTF">2012-08-06T05:16:00Z</dcterms:created>
  <dcterms:modified xsi:type="dcterms:W3CDTF">2018-04-11T10:04:00Z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