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דנה כהן-לקח</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562FF2" w:rsidRDefault="0025250D">
                <w:pPr>
                  <w:suppressLineNumbers/>
                  <w:rPr>
                    <w:rFonts w:ascii="Arial" w:hAnsi="Arial"/>
                    <w:b/>
                    <w:bCs/>
                    <w:noProof w:val="0"/>
                    <w:sz w:val="26"/>
                    <w:szCs w:val="26"/>
                    <w:rtl/>
                  </w:rPr>
                </w:pPr>
                <w:r>
                  <w:rPr>
                    <w:rFonts w:ascii="Arial" w:hAnsi="Arial"/>
                    <w:b/>
                    <w:bCs/>
                    <w:noProof w:val="0"/>
                    <w:sz w:val="26"/>
                    <w:szCs w:val="26"/>
                    <w:rtl/>
                  </w:rPr>
                  <w:t>מבקשים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25250D">
            <w:pPr>
              <w:suppressLineNumbers/>
              <w:rPr>
                <w:b/>
                <w:bCs/>
                <w:noProof w:val="0"/>
                <w:sz w:val="26"/>
                <w:szCs w:val="26"/>
              </w:rPr>
            </w:pPr>
            <w:sdt>
              <w:sdtPr>
                <w:rPr>
                  <w:rtl/>
                </w:rPr>
                <w:alias w:val="1462"/>
                <w:tag w:val="1462"/>
                <w:id w:val="-2139489462"/>
                <w:text w:multiLine="1"/>
              </w:sdtPr>
              <w:sdtEndPr/>
              <w:sdtContent>
                <w:r w:rsidR="00CF6BB7">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CF6BB7">
                  <w:rPr>
                    <w:rFonts w:ascii="Arial" w:hAnsi="Arial"/>
                    <w:b/>
                    <w:bCs/>
                    <w:noProof w:val="0"/>
                    <w:sz w:val="26"/>
                    <w:szCs w:val="26"/>
                    <w:rtl/>
                  </w:rPr>
                  <w:t>אסנת יודקביץ</w:t>
                </w:r>
              </w:sdtContent>
            </w:sdt>
          </w:p>
          <w:p w:rsidR="0094424E" w:rsidP="00D44968" w:rsidRDefault="0025250D">
            <w:pPr>
              <w:suppressLineNumbers/>
              <w:rPr>
                <w:b/>
                <w:bCs/>
                <w:noProof w:val="0"/>
                <w:sz w:val="26"/>
                <w:szCs w:val="26"/>
              </w:rPr>
            </w:pPr>
            <w:sdt>
              <w:sdtPr>
                <w:rPr>
                  <w:rtl/>
                </w:rPr>
                <w:alias w:val="1462"/>
                <w:tag w:val="1462"/>
                <w:id w:val="729351699"/>
                <w:text w:multiLine="1"/>
              </w:sdtPr>
              <w:sdtEndPr/>
              <w:sdtContent>
                <w:r w:rsidR="00CF6BB7">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994560757"/>
                <w:text w:multiLine="1"/>
              </w:sdtPr>
              <w:sdtEndPr/>
              <w:sdtContent>
                <w:r w:rsidR="00CF6BB7">
                  <w:rPr>
                    <w:rFonts w:ascii="Arial" w:hAnsi="Arial"/>
                    <w:b/>
                    <w:bCs/>
                    <w:noProof w:val="0"/>
                    <w:sz w:val="26"/>
                    <w:szCs w:val="26"/>
                    <w:rtl/>
                  </w:rPr>
                  <w:t>שאול (אבי) יודקביץ</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25250D">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CF6BB7" w:rsidP="00D44968" w:rsidRDefault="00CF6BB7">
            <w:pPr>
              <w:suppressLineNumbers/>
              <w:rPr>
                <w:b/>
                <w:bCs/>
                <w:noProof w:val="0"/>
                <w:sz w:val="26"/>
                <w:szCs w:val="26"/>
                <w:rtl/>
              </w:rPr>
            </w:pPr>
          </w:p>
          <w:p w:rsidR="0094424E" w:rsidP="00D44968" w:rsidRDefault="0025250D">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צבי יחזקאל</w:t>
                </w:r>
              </w:sdtContent>
            </w:sdt>
          </w:p>
          <w:p w:rsidR="0094424E" w:rsidP="00D44968" w:rsidRDefault="0025250D">
            <w:pPr>
              <w:suppressLineNumbers/>
              <w:rPr>
                <w:rtl/>
              </w:rPr>
            </w:pPr>
            <w:sdt>
              <w:sdtPr>
                <w:rPr>
                  <w:rtl/>
                </w:rPr>
                <w:alias w:val="1571"/>
                <w:tag w:val="1571"/>
                <w:id w:val="-1133939154"/>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589120483"/>
                <w:text w:multiLine="1"/>
              </w:sdtPr>
              <w:sdtEndPr/>
              <w:sdtContent>
                <w:r w:rsidR="00CF6BB7">
                  <w:rPr>
                    <w:rFonts w:ascii="Arial" w:hAnsi="Arial"/>
                    <w:b/>
                    <w:bCs/>
                    <w:noProof w:val="0"/>
                    <w:sz w:val="26"/>
                    <w:szCs w:val="26"/>
                    <w:rtl/>
                  </w:rPr>
                  <w:t>יעקב שטרית</w:t>
                </w:r>
              </w:sdtContent>
            </w:sdt>
          </w:p>
          <w:p w:rsidR="0094424E" w:rsidP="00D44968" w:rsidRDefault="0025250D">
            <w:pPr>
              <w:suppressLineNumbers/>
              <w:rPr>
                <w:rtl/>
              </w:rPr>
            </w:pPr>
            <w:sdt>
              <w:sdtPr>
                <w:rPr>
                  <w:rtl/>
                </w:rPr>
                <w:alias w:val="1571"/>
                <w:tag w:val="1571"/>
                <w:id w:val="-1481613400"/>
                <w:text w:multiLine="1"/>
              </w:sdtPr>
              <w:sdtEndPr/>
              <w:sdtContent>
                <w:r w:rsidR="00CF6BB7">
                  <w:rPr>
                    <w:rFonts w:ascii="Arial" w:hAnsi="Arial"/>
                    <w:b/>
                    <w:bCs/>
                    <w:noProof w:val="0"/>
                    <w:sz w:val="26"/>
                    <w:szCs w:val="26"/>
                    <w:rtl/>
                  </w:rPr>
                  <w:t>3</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781640158"/>
                <w:text w:multiLine="1"/>
              </w:sdtPr>
              <w:sdtEndPr/>
              <w:sdtContent>
                <w:r w:rsidR="00CF6BB7">
                  <w:rPr>
                    <w:rFonts w:ascii="Arial" w:hAnsi="Arial"/>
                    <w:b/>
                    <w:bCs/>
                    <w:noProof w:val="0"/>
                    <w:sz w:val="26"/>
                    <w:szCs w:val="26"/>
                    <w:rtl/>
                  </w:rPr>
                  <w:t>דוד וולוסוב</w:t>
                </w:r>
              </w:sdtContent>
            </w:sdt>
          </w:p>
          <w:p w:rsidR="0094424E" w:rsidP="00D44968" w:rsidRDefault="0025250D">
            <w:pPr>
              <w:suppressLineNumbers/>
              <w:rPr>
                <w:rtl/>
              </w:rPr>
            </w:pPr>
            <w:sdt>
              <w:sdtPr>
                <w:rPr>
                  <w:rtl/>
                </w:rPr>
                <w:alias w:val="1571"/>
                <w:tag w:val="1571"/>
                <w:id w:val="1695654543"/>
                <w:text w:multiLine="1"/>
              </w:sdtPr>
              <w:sdtEndPr/>
              <w:sdtContent>
                <w:r w:rsidR="00CF6BB7">
                  <w:rPr>
                    <w:rFonts w:ascii="Arial" w:hAnsi="Arial"/>
                    <w:b/>
                    <w:bCs/>
                    <w:noProof w:val="0"/>
                    <w:sz w:val="26"/>
                    <w:szCs w:val="26"/>
                    <w:rtl/>
                  </w:rPr>
                  <w:t>4</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647636332"/>
                <w:text w:multiLine="1"/>
              </w:sdtPr>
              <w:sdtEndPr/>
              <w:sdtContent>
                <w:r w:rsidR="00CF6BB7">
                  <w:rPr>
                    <w:rFonts w:ascii="Arial" w:hAnsi="Arial"/>
                    <w:b/>
                    <w:bCs/>
                    <w:noProof w:val="0"/>
                    <w:sz w:val="26"/>
                    <w:szCs w:val="26"/>
                    <w:rtl/>
                  </w:rPr>
                  <w:t>עמרם אביגזר</w:t>
                </w:r>
              </w:sdtContent>
            </w:sdt>
          </w:p>
          <w:p w:rsidR="0094424E" w:rsidP="00D44968" w:rsidRDefault="0025250D">
            <w:pPr>
              <w:suppressLineNumbers/>
              <w:rPr>
                <w:rtl/>
              </w:rPr>
            </w:pPr>
            <w:sdt>
              <w:sdtPr>
                <w:rPr>
                  <w:rtl/>
                </w:rPr>
                <w:alias w:val="1571"/>
                <w:tag w:val="1571"/>
                <w:id w:val="156428732"/>
                <w:text w:multiLine="1"/>
              </w:sdtPr>
              <w:sdtEndPr/>
              <w:sdtContent>
                <w:r w:rsidR="00CF6BB7">
                  <w:rPr>
                    <w:rFonts w:ascii="Arial" w:hAnsi="Arial"/>
                    <w:b/>
                    <w:bCs/>
                    <w:noProof w:val="0"/>
                    <w:sz w:val="26"/>
                    <w:szCs w:val="26"/>
                    <w:rtl/>
                  </w:rPr>
                  <w:t>5</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630167662"/>
                <w:text w:multiLine="1"/>
              </w:sdtPr>
              <w:sdtEndPr/>
              <w:sdtContent>
                <w:r w:rsidR="00CF6BB7">
                  <w:rPr>
                    <w:rFonts w:ascii="Arial" w:hAnsi="Arial"/>
                    <w:b/>
                    <w:bCs/>
                    <w:noProof w:val="0"/>
                    <w:sz w:val="26"/>
                    <w:szCs w:val="26"/>
                    <w:rtl/>
                  </w:rPr>
                  <w:t>אסתר אביגזר</w:t>
                </w:r>
              </w:sdtContent>
            </w:sdt>
          </w:p>
          <w:p w:rsidR="0094424E" w:rsidP="00D44968" w:rsidRDefault="0025250D">
            <w:pPr>
              <w:suppressLineNumbers/>
              <w:rPr>
                <w:rtl/>
              </w:rPr>
            </w:pPr>
            <w:sdt>
              <w:sdtPr>
                <w:rPr>
                  <w:rtl/>
                </w:rPr>
                <w:alias w:val="1571"/>
                <w:tag w:val="1571"/>
                <w:id w:val="-1295972852"/>
                <w:text w:multiLine="1"/>
              </w:sdtPr>
              <w:sdtEndPr/>
              <w:sdtContent>
                <w:r w:rsidR="00CF6BB7">
                  <w:rPr>
                    <w:rFonts w:ascii="Arial" w:hAnsi="Arial"/>
                    <w:b/>
                    <w:bCs/>
                    <w:noProof w:val="0"/>
                    <w:sz w:val="26"/>
                    <w:szCs w:val="26"/>
                    <w:rtl/>
                  </w:rPr>
                  <w:t>6</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01187020"/>
                <w:text w:multiLine="1"/>
              </w:sdtPr>
              <w:sdtEndPr/>
              <w:sdtContent>
                <w:r w:rsidR="00CF6BB7">
                  <w:rPr>
                    <w:rFonts w:ascii="Arial" w:hAnsi="Arial"/>
                    <w:b/>
                    <w:bCs/>
                    <w:noProof w:val="0"/>
                    <w:sz w:val="26"/>
                    <w:szCs w:val="26"/>
                    <w:rtl/>
                  </w:rPr>
                  <w:t>שמעון ויצמן</w:t>
                </w:r>
              </w:sdtContent>
            </w:sdt>
          </w:p>
          <w:p w:rsidR="0094424E" w:rsidP="00D44968" w:rsidRDefault="0025250D">
            <w:pPr>
              <w:suppressLineNumbers/>
              <w:rPr>
                <w:rtl/>
              </w:rPr>
            </w:pPr>
            <w:sdt>
              <w:sdtPr>
                <w:rPr>
                  <w:rtl/>
                </w:rPr>
                <w:alias w:val="1571"/>
                <w:tag w:val="1571"/>
                <w:id w:val="1008636133"/>
                <w:text w:multiLine="1"/>
              </w:sdtPr>
              <w:sdtEndPr/>
              <w:sdtContent>
                <w:r w:rsidR="00CF6BB7">
                  <w:rPr>
                    <w:rFonts w:ascii="Arial" w:hAnsi="Arial"/>
                    <w:b/>
                    <w:bCs/>
                    <w:noProof w:val="0"/>
                    <w:sz w:val="26"/>
                    <w:szCs w:val="26"/>
                    <w:rtl/>
                  </w:rPr>
                  <w:t>7</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179426077"/>
                <w:text w:multiLine="1"/>
              </w:sdtPr>
              <w:sdtEndPr/>
              <w:sdtContent>
                <w:r w:rsidR="00CF6BB7">
                  <w:rPr>
                    <w:rFonts w:ascii="Arial" w:hAnsi="Arial"/>
                    <w:b/>
                    <w:bCs/>
                    <w:noProof w:val="0"/>
                    <w:sz w:val="26"/>
                    <w:szCs w:val="26"/>
                    <w:rtl/>
                  </w:rPr>
                  <w:t>שרה ויצמן</w:t>
                </w:r>
              </w:sdtContent>
            </w:sdt>
          </w:p>
          <w:p w:rsidR="0094424E" w:rsidP="00D44968" w:rsidRDefault="0025250D">
            <w:pPr>
              <w:suppressLineNumbers/>
              <w:rPr>
                <w:rtl/>
              </w:rPr>
            </w:pPr>
            <w:sdt>
              <w:sdtPr>
                <w:rPr>
                  <w:rtl/>
                </w:rPr>
                <w:alias w:val="1571"/>
                <w:tag w:val="1571"/>
                <w:id w:val="963392240"/>
                <w:text w:multiLine="1"/>
              </w:sdtPr>
              <w:sdtEndPr/>
              <w:sdtContent>
                <w:r w:rsidR="00CF6BB7">
                  <w:rPr>
                    <w:rFonts w:ascii="Arial" w:hAnsi="Arial"/>
                    <w:b/>
                    <w:bCs/>
                    <w:noProof w:val="0"/>
                    <w:sz w:val="26"/>
                    <w:szCs w:val="26"/>
                    <w:rtl/>
                  </w:rPr>
                  <w:t>8</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214203640"/>
                <w:text w:multiLine="1"/>
              </w:sdtPr>
              <w:sdtEndPr/>
              <w:sdtContent>
                <w:r w:rsidR="00CF6BB7">
                  <w:rPr>
                    <w:rFonts w:ascii="Arial" w:hAnsi="Arial"/>
                    <w:b/>
                    <w:bCs/>
                    <w:noProof w:val="0"/>
                    <w:sz w:val="26"/>
                    <w:szCs w:val="26"/>
                    <w:rtl/>
                  </w:rPr>
                  <w:t>אוהד עוזירי</w:t>
                </w:r>
              </w:sdtContent>
            </w:sdt>
          </w:p>
          <w:p w:rsidR="0094424E" w:rsidP="00D44968" w:rsidRDefault="0025250D">
            <w:pPr>
              <w:suppressLineNumbers/>
              <w:rPr>
                <w:rtl/>
              </w:rPr>
            </w:pPr>
            <w:sdt>
              <w:sdtPr>
                <w:rPr>
                  <w:rtl/>
                </w:rPr>
                <w:alias w:val="1571"/>
                <w:tag w:val="1571"/>
                <w:id w:val="1385679569"/>
                <w:text w:multiLine="1"/>
              </w:sdtPr>
              <w:sdtEndPr/>
              <w:sdtContent>
                <w:r w:rsidR="00CF6BB7">
                  <w:rPr>
                    <w:rFonts w:ascii="Arial" w:hAnsi="Arial"/>
                    <w:b/>
                    <w:bCs/>
                    <w:noProof w:val="0"/>
                    <w:sz w:val="26"/>
                    <w:szCs w:val="26"/>
                    <w:rtl/>
                  </w:rPr>
                  <w:t>9</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736906686"/>
                <w:text w:multiLine="1"/>
              </w:sdtPr>
              <w:sdtEndPr/>
              <w:sdtContent>
                <w:r w:rsidR="00CF6BB7">
                  <w:rPr>
                    <w:rFonts w:ascii="Arial" w:hAnsi="Arial"/>
                    <w:b/>
                    <w:bCs/>
                    <w:noProof w:val="0"/>
                    <w:sz w:val="26"/>
                    <w:szCs w:val="26"/>
                    <w:rtl/>
                  </w:rPr>
                  <w:t>הדס עוזירי</w:t>
                </w:r>
              </w:sdtContent>
            </w:sdt>
          </w:p>
          <w:p w:rsidR="0094424E" w:rsidP="00D44968" w:rsidRDefault="0025250D">
            <w:pPr>
              <w:suppressLineNumbers/>
              <w:rPr>
                <w:rtl/>
              </w:rPr>
            </w:pPr>
            <w:sdt>
              <w:sdtPr>
                <w:rPr>
                  <w:rtl/>
                </w:rPr>
                <w:alias w:val="1571"/>
                <w:tag w:val="1571"/>
                <w:id w:val="197595902"/>
                <w:text w:multiLine="1"/>
              </w:sdtPr>
              <w:sdtEndPr/>
              <w:sdtContent>
                <w:r w:rsidR="00CF6BB7">
                  <w:rPr>
                    <w:rFonts w:ascii="Arial" w:hAnsi="Arial"/>
                    <w:b/>
                    <w:bCs/>
                    <w:noProof w:val="0"/>
                    <w:sz w:val="26"/>
                    <w:szCs w:val="26"/>
                    <w:rtl/>
                  </w:rPr>
                  <w:t>10</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273246970"/>
                <w:text w:multiLine="1"/>
              </w:sdtPr>
              <w:sdtEndPr/>
              <w:sdtContent>
                <w:r w:rsidR="00CF6BB7">
                  <w:rPr>
                    <w:rFonts w:ascii="Arial" w:hAnsi="Arial"/>
                    <w:b/>
                    <w:bCs/>
                    <w:noProof w:val="0"/>
                    <w:sz w:val="26"/>
                    <w:szCs w:val="26"/>
                    <w:rtl/>
                  </w:rPr>
                  <w:t>מרים חזן</w:t>
                </w:r>
              </w:sdtContent>
            </w:sdt>
          </w:p>
          <w:p w:rsidR="0094424E" w:rsidP="00D44968" w:rsidRDefault="0025250D">
            <w:pPr>
              <w:suppressLineNumbers/>
              <w:rPr>
                <w:rtl/>
              </w:rPr>
            </w:pPr>
            <w:sdt>
              <w:sdtPr>
                <w:rPr>
                  <w:rtl/>
                </w:rPr>
                <w:alias w:val="1571"/>
                <w:tag w:val="1571"/>
                <w:id w:val="387837489"/>
                <w:text w:multiLine="1"/>
              </w:sdtPr>
              <w:sdtEndPr/>
              <w:sdtContent>
                <w:r w:rsidR="00CF6BB7">
                  <w:rPr>
                    <w:rFonts w:ascii="Arial" w:hAnsi="Arial"/>
                    <w:b/>
                    <w:bCs/>
                    <w:noProof w:val="0"/>
                    <w:sz w:val="26"/>
                    <w:szCs w:val="26"/>
                    <w:rtl/>
                  </w:rPr>
                  <w:t>11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201789317"/>
                <w:text w:multiLine="1"/>
              </w:sdtPr>
              <w:sdtEndPr/>
              <w:sdtContent>
                <w:r w:rsidR="00CF6BB7">
                  <w:rPr>
                    <w:rFonts w:ascii="Arial" w:hAnsi="Arial"/>
                    <w:b/>
                    <w:bCs/>
                    <w:noProof w:val="0"/>
                    <w:sz w:val="26"/>
                    <w:szCs w:val="26"/>
                    <w:rtl/>
                  </w:rPr>
                  <w:t>מאיר אלן</w:t>
                </w:r>
              </w:sdtContent>
            </w:sdt>
          </w:p>
          <w:p w:rsidR="0094424E" w:rsidP="00D44968" w:rsidRDefault="0025250D">
            <w:pPr>
              <w:suppressLineNumbers/>
              <w:rPr>
                <w:rtl/>
              </w:rPr>
            </w:pPr>
            <w:sdt>
              <w:sdtPr>
                <w:rPr>
                  <w:rtl/>
                </w:rPr>
                <w:alias w:val="1571"/>
                <w:tag w:val="1571"/>
                <w:id w:val="-1211873118"/>
                <w:text w:multiLine="1"/>
              </w:sdtPr>
              <w:sdtEndPr/>
              <w:sdtContent>
                <w:r w:rsidR="00CF6BB7">
                  <w:rPr>
                    <w:rFonts w:ascii="Arial" w:hAnsi="Arial"/>
                    <w:b/>
                    <w:bCs/>
                    <w:noProof w:val="0"/>
                    <w:sz w:val="26"/>
                    <w:szCs w:val="26"/>
                    <w:rtl/>
                  </w:rPr>
                  <w:t>12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361320452"/>
                <w:text w:multiLine="1"/>
              </w:sdtPr>
              <w:sdtEndPr/>
              <w:sdtContent>
                <w:r w:rsidR="00CF6BB7">
                  <w:rPr>
                    <w:rFonts w:ascii="Arial" w:hAnsi="Arial"/>
                    <w:b/>
                    <w:bCs/>
                    <w:noProof w:val="0"/>
                    <w:sz w:val="26"/>
                    <w:szCs w:val="26"/>
                    <w:rtl/>
                  </w:rPr>
                  <w:t>מאיר פביאן</w:t>
                </w:r>
              </w:sdtContent>
            </w:sdt>
          </w:p>
          <w:p w:rsidR="0094424E" w:rsidP="00D44968" w:rsidRDefault="0025250D">
            <w:pPr>
              <w:suppressLineNumbers/>
              <w:rPr>
                <w:rtl/>
              </w:rPr>
            </w:pPr>
            <w:sdt>
              <w:sdtPr>
                <w:rPr>
                  <w:rtl/>
                </w:rPr>
                <w:alias w:val="1571"/>
                <w:tag w:val="1571"/>
                <w:id w:val="1620562280"/>
                <w:text w:multiLine="1"/>
              </w:sdtPr>
              <w:sdtEndPr/>
              <w:sdtContent>
                <w:r w:rsidR="00CF6BB7">
                  <w:rPr>
                    <w:rFonts w:ascii="Arial" w:hAnsi="Arial"/>
                    <w:b/>
                    <w:bCs/>
                    <w:noProof w:val="0"/>
                    <w:sz w:val="26"/>
                    <w:szCs w:val="26"/>
                    <w:rtl/>
                  </w:rPr>
                  <w:t>13</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818727399"/>
                <w:text w:multiLine="1"/>
              </w:sdtPr>
              <w:sdtEndPr/>
              <w:sdtContent>
                <w:r w:rsidR="00CF6BB7">
                  <w:rPr>
                    <w:rFonts w:ascii="Arial" w:hAnsi="Arial"/>
                    <w:b/>
                    <w:bCs/>
                    <w:noProof w:val="0"/>
                    <w:sz w:val="26"/>
                    <w:szCs w:val="26"/>
                    <w:rtl/>
                  </w:rPr>
                  <w:t>קעסין מייקל</w:t>
                </w:r>
              </w:sdtContent>
            </w:sdt>
          </w:p>
          <w:p w:rsidR="0094424E" w:rsidP="00D44968" w:rsidRDefault="0025250D">
            <w:pPr>
              <w:suppressLineNumbers/>
              <w:rPr>
                <w:rtl/>
              </w:rPr>
            </w:pPr>
            <w:sdt>
              <w:sdtPr>
                <w:rPr>
                  <w:rtl/>
                </w:rPr>
                <w:alias w:val="1571"/>
                <w:tag w:val="1571"/>
                <w:id w:val="34559183"/>
                <w:text w:multiLine="1"/>
              </w:sdtPr>
              <w:sdtEndPr/>
              <w:sdtContent>
                <w:r w:rsidR="00CF6BB7">
                  <w:rPr>
                    <w:rFonts w:ascii="Arial" w:hAnsi="Arial"/>
                    <w:b/>
                    <w:bCs/>
                    <w:noProof w:val="0"/>
                    <w:sz w:val="26"/>
                    <w:szCs w:val="26"/>
                    <w:rtl/>
                  </w:rPr>
                  <w:t>14</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5672141"/>
                <w:text w:multiLine="1"/>
              </w:sdtPr>
              <w:sdtEndPr/>
              <w:sdtContent>
                <w:r w:rsidR="00CF6BB7">
                  <w:rPr>
                    <w:rFonts w:ascii="Arial" w:hAnsi="Arial"/>
                    <w:b/>
                    <w:bCs/>
                    <w:noProof w:val="0"/>
                    <w:sz w:val="26"/>
                    <w:szCs w:val="26"/>
                    <w:rtl/>
                  </w:rPr>
                  <w:t>ברזק רשקובסקי</w:t>
                </w:r>
              </w:sdtContent>
            </w:sdt>
          </w:p>
          <w:p w:rsidR="0094424E" w:rsidP="00D44968" w:rsidRDefault="0025250D">
            <w:pPr>
              <w:suppressLineNumbers/>
              <w:rPr>
                <w:rtl/>
              </w:rPr>
            </w:pPr>
            <w:sdt>
              <w:sdtPr>
                <w:rPr>
                  <w:rtl/>
                </w:rPr>
                <w:alias w:val="1571"/>
                <w:tag w:val="1571"/>
                <w:id w:val="-1923632791"/>
                <w:text w:multiLine="1"/>
              </w:sdtPr>
              <w:sdtEndPr/>
              <w:sdtContent>
                <w:r w:rsidR="00CF6BB7">
                  <w:rPr>
                    <w:rFonts w:ascii="Arial" w:hAnsi="Arial"/>
                    <w:b/>
                    <w:bCs/>
                    <w:noProof w:val="0"/>
                    <w:sz w:val="26"/>
                    <w:szCs w:val="26"/>
                    <w:rtl/>
                  </w:rPr>
                  <w:t>15</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228891461"/>
                <w:text w:multiLine="1"/>
              </w:sdtPr>
              <w:sdtEndPr/>
              <w:sdtContent>
                <w:r w:rsidR="00CF6BB7">
                  <w:rPr>
                    <w:rFonts w:ascii="Arial" w:hAnsi="Arial"/>
                    <w:b/>
                    <w:bCs/>
                    <w:noProof w:val="0"/>
                    <w:sz w:val="26"/>
                    <w:szCs w:val="26"/>
                    <w:rtl/>
                  </w:rPr>
                  <w:t>רשות הפיתוח עמידר</w:t>
                </w:r>
              </w:sdtContent>
            </w:sdt>
          </w:p>
          <w:p w:rsidR="0094424E" w:rsidP="00D44968" w:rsidRDefault="0025250D">
            <w:pPr>
              <w:suppressLineNumbers/>
              <w:rPr>
                <w:rtl/>
              </w:rPr>
            </w:pPr>
            <w:sdt>
              <w:sdtPr>
                <w:rPr>
                  <w:rtl/>
                </w:rPr>
                <w:alias w:val="1571"/>
                <w:tag w:val="1571"/>
                <w:id w:val="-261988651"/>
                <w:text w:multiLine="1"/>
              </w:sdtPr>
              <w:sdtEndPr/>
              <w:sdtContent>
                <w:r w:rsidR="00CF6BB7">
                  <w:rPr>
                    <w:rFonts w:ascii="Arial" w:hAnsi="Arial"/>
                    <w:b/>
                    <w:bCs/>
                    <w:noProof w:val="0"/>
                    <w:sz w:val="26"/>
                    <w:szCs w:val="26"/>
                    <w:rtl/>
                  </w:rPr>
                  <w:t>16</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793945109"/>
                <w:text w:multiLine="1"/>
              </w:sdtPr>
              <w:sdtEndPr/>
              <w:sdtContent>
                <w:r w:rsidR="00CF6BB7">
                  <w:rPr>
                    <w:rFonts w:ascii="Arial" w:hAnsi="Arial"/>
                    <w:b/>
                    <w:bCs/>
                    <w:noProof w:val="0"/>
                    <w:sz w:val="26"/>
                    <w:szCs w:val="26"/>
                    <w:rtl/>
                  </w:rPr>
                  <w:t>המפקח על המקרקעין</w:t>
                </w:r>
              </w:sdtContent>
            </w:sdt>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497C07" w:rsidP="00497C07" w:rsidRDefault="00497C07">
      <w:pPr>
        <w:pStyle w:val="Ruller4"/>
        <w:rPr>
          <w:rtl/>
        </w:rPr>
      </w:pPr>
      <w:bookmarkStart w:name="NGCSBookmark" w:id="0"/>
      <w:bookmarkEnd w:id="0"/>
      <w:r>
        <w:rPr>
          <w:rtl/>
        </w:rPr>
        <w:tab/>
        <w:t xml:space="preserve">לפניי בקשה שכותרתה: "בקשה דחופה לעיכוב הליכים במעמד צד אחד". בקשה זו הוגשה היום בד בבד עם הגשתה של המרצת הפתיחה שבכותרת. </w:t>
      </w:r>
    </w:p>
    <w:p w:rsidR="00497C07" w:rsidP="00497C07" w:rsidRDefault="00497C07">
      <w:pPr>
        <w:pStyle w:val="Ruller4"/>
        <w:rPr>
          <w:rtl/>
        </w:rPr>
      </w:pPr>
    </w:p>
    <w:p w:rsidR="00497C07" w:rsidP="00497C07" w:rsidRDefault="00497C07">
      <w:pPr>
        <w:pStyle w:val="Ruller4"/>
        <w:rPr>
          <w:rtl/>
        </w:rPr>
      </w:pPr>
      <w:r>
        <w:rPr>
          <w:rtl/>
        </w:rPr>
        <w:t>1.</w:t>
      </w:r>
      <w:r>
        <w:rPr>
          <w:rtl/>
        </w:rPr>
        <w:tab/>
        <w:t xml:space="preserve">המרצת-הפתיחה, המהווה את ההליך העיקרי, עוסקת בחצר הצמודה לדירת קרקע בבניין מגורים בירושלים (להלן: </w:t>
      </w:r>
      <w:r w:rsidRPr="00BD4CBE">
        <w:rPr>
          <w:rFonts w:hint="eastAsia" w:ascii="Century" w:hAnsi="Century" w:cs="Miriam"/>
          <w:b/>
          <w:spacing w:val="0"/>
          <w:szCs w:val="24"/>
          <w:rtl/>
        </w:rPr>
        <w:t>החצר</w:t>
      </w:r>
      <w:r>
        <w:rPr>
          <w:rtl/>
        </w:rPr>
        <w:t xml:space="preserve">; וכן: </w:t>
      </w:r>
      <w:r>
        <w:rPr>
          <w:rFonts w:hint="eastAsia" w:ascii="Century" w:hAnsi="Century" w:cs="Miriam"/>
          <w:b/>
          <w:spacing w:val="0"/>
          <w:szCs w:val="24"/>
          <w:rtl/>
        </w:rPr>
        <w:t>דירת</w:t>
      </w:r>
      <w:r>
        <w:rPr>
          <w:rFonts w:ascii="Century" w:hAnsi="Century" w:cs="Miriam"/>
          <w:b/>
          <w:spacing w:val="0"/>
          <w:szCs w:val="24"/>
          <w:rtl/>
        </w:rPr>
        <w:t xml:space="preserve"> </w:t>
      </w:r>
      <w:r>
        <w:rPr>
          <w:rFonts w:hint="eastAsia" w:ascii="Century" w:hAnsi="Century" w:cs="Miriam"/>
          <w:b/>
          <w:spacing w:val="0"/>
          <w:szCs w:val="24"/>
          <w:rtl/>
        </w:rPr>
        <w:t>הקרקע</w:t>
      </w:r>
      <w:r>
        <w:rPr>
          <w:rFonts w:ascii="Century" w:hAnsi="Century" w:cs="Miriam"/>
          <w:b/>
          <w:spacing w:val="0"/>
          <w:szCs w:val="24"/>
          <w:rtl/>
        </w:rPr>
        <w:t xml:space="preserve"> </w:t>
      </w:r>
      <w:r w:rsidRPr="00BD4CBE">
        <w:rPr>
          <w:rFonts w:hint="eastAsia" w:ascii="Century" w:hAnsi="Century"/>
          <w:rtl/>
        </w:rPr>
        <w:t>או</w:t>
      </w:r>
      <w:r>
        <w:rPr>
          <w:rFonts w:ascii="Century" w:hAnsi="Century" w:cs="Miriam"/>
          <w:b/>
          <w:spacing w:val="0"/>
          <w:szCs w:val="24"/>
          <w:rtl/>
        </w:rPr>
        <w:t xml:space="preserve"> </w:t>
      </w:r>
      <w:r>
        <w:rPr>
          <w:rFonts w:hint="eastAsia" w:ascii="Century" w:hAnsi="Century" w:cs="Miriam"/>
          <w:b/>
          <w:spacing w:val="0"/>
          <w:szCs w:val="24"/>
          <w:rtl/>
        </w:rPr>
        <w:t>ה</w:t>
      </w:r>
      <w:r w:rsidRPr="00BD4CBE">
        <w:rPr>
          <w:rFonts w:hint="eastAsia" w:ascii="Century" w:hAnsi="Century" w:cs="Miriam"/>
          <w:b/>
          <w:spacing w:val="0"/>
          <w:szCs w:val="24"/>
          <w:rtl/>
        </w:rPr>
        <w:t>דירה</w:t>
      </w:r>
      <w:r>
        <w:rPr>
          <w:rtl/>
        </w:rPr>
        <w:t xml:space="preserve"> בהתאמה). לטענת המבקשים, הם רכשו את הזכויות בדירה לפי הסכם מכר מיום 21.4.2016 שנערך עם בעליה הקודמים של הדירה. מכוח אותו הסכם מכר, רשומה לטובת המבקשים הערת-אזהרה על הדירה (רישום הבעלות טרם הושלם), והמבקשים מחזיקים בה. המשיבים הם דיירי הבניין בו מצויה הדירה.</w:t>
      </w:r>
    </w:p>
    <w:p w:rsidR="00497C07" w:rsidP="00497C07" w:rsidRDefault="00497C07">
      <w:pPr>
        <w:pStyle w:val="Ruller4"/>
        <w:rPr>
          <w:rtl/>
        </w:rPr>
      </w:pPr>
    </w:p>
    <w:p w:rsidR="00497C07" w:rsidP="00497C07" w:rsidRDefault="00497C07">
      <w:pPr>
        <w:pStyle w:val="Ruller4"/>
        <w:rPr>
          <w:rtl/>
        </w:rPr>
      </w:pPr>
      <w:r>
        <w:rPr>
          <w:rtl/>
        </w:rPr>
        <w:tab/>
        <w:t xml:space="preserve">במסגרת המרצת-הפתיחה, עותרים המבקשים לסעדים הבאים: </w:t>
      </w:r>
      <w:r w:rsidRPr="00D3713D">
        <w:rPr>
          <w:rFonts w:cs="Miriam"/>
          <w:sz w:val="24"/>
          <w:szCs w:val="24"/>
          <w:rtl/>
        </w:rPr>
        <w:t>ראשית</w:t>
      </w:r>
      <w:r>
        <w:rPr>
          <w:rtl/>
        </w:rPr>
        <w:t xml:space="preserve">, להצהיר כי החצר הצמודה לדירת הקרקע, מוצמדת לדירה מכוח שימוש ייחודי רב-שנים שהחל </w:t>
      </w:r>
      <w:r>
        <w:rPr>
          <w:rFonts w:hint="cs"/>
          <w:rtl/>
        </w:rPr>
        <w:t xml:space="preserve">עוד </w:t>
      </w:r>
      <w:r>
        <w:rPr>
          <w:rtl/>
        </w:rPr>
        <w:t xml:space="preserve">לפני בנייתו של החלק החדש בבניין. </w:t>
      </w:r>
      <w:r w:rsidRPr="00D3713D">
        <w:rPr>
          <w:rFonts w:hint="eastAsia" w:ascii="Century" w:hAnsi="Century" w:cs="Miriam"/>
          <w:b/>
          <w:spacing w:val="0"/>
          <w:szCs w:val="24"/>
          <w:rtl/>
        </w:rPr>
        <w:t>שנית</w:t>
      </w:r>
      <w:r>
        <w:rPr>
          <w:rtl/>
        </w:rPr>
        <w:t xml:space="preserve">, להורות על תיקון צו רישום הבית המשותף מיום 12.8.1997, באופן שיבטא את הצמדת החצר לדירה הנדונה, כך שאינה חלק מהרכוש המשותף. </w:t>
      </w:r>
      <w:r w:rsidRPr="00BD4CBE">
        <w:rPr>
          <w:rFonts w:hint="eastAsia" w:ascii="Century" w:hAnsi="Century" w:cs="Miriam"/>
          <w:b/>
          <w:spacing w:val="0"/>
          <w:szCs w:val="24"/>
          <w:rtl/>
        </w:rPr>
        <w:t>שלישית</w:t>
      </w:r>
      <w:r>
        <w:rPr>
          <w:rtl/>
        </w:rPr>
        <w:t xml:space="preserve">, להורות למשיבים – דיירי הבניין – להימנע מלעשות כל שימוש בחצר ו/או להיכנס לחצר. </w:t>
      </w:r>
    </w:p>
    <w:p w:rsidR="00497C07" w:rsidP="00497C07" w:rsidRDefault="00497C07">
      <w:pPr>
        <w:pStyle w:val="Ruller4"/>
        <w:rPr>
          <w:rtl/>
        </w:rPr>
      </w:pPr>
    </w:p>
    <w:p w:rsidR="00497C07" w:rsidP="00497C07" w:rsidRDefault="00497C07">
      <w:pPr>
        <w:pStyle w:val="Ruller4"/>
        <w:rPr>
          <w:rtl/>
        </w:rPr>
      </w:pPr>
      <w:r>
        <w:rPr>
          <w:rtl/>
        </w:rPr>
        <w:t>2.</w:t>
      </w:r>
      <w:r>
        <w:rPr>
          <w:rtl/>
        </w:rPr>
        <w:tab/>
        <w:t>יחד עם המרצת-הפתיחה, הוגשה בקשה לעיכוב הליכים במעמד צד אחד</w:t>
      </w:r>
      <w:r>
        <w:rPr>
          <w:rFonts w:hint="cs"/>
          <w:rtl/>
        </w:rPr>
        <w:t xml:space="preserve"> </w:t>
      </w:r>
      <w:r>
        <w:rPr>
          <w:rtl/>
        </w:rPr>
        <w:t>–</w:t>
      </w:r>
      <w:r>
        <w:rPr>
          <w:rFonts w:hint="cs"/>
          <w:rtl/>
        </w:rPr>
        <w:t xml:space="preserve"> היא הבקשה המונחת להכרעתי</w:t>
      </w:r>
      <w:r>
        <w:rPr>
          <w:rtl/>
        </w:rPr>
        <w:t xml:space="preserve">. מהבקשה ומהמרצת-הפתיחה שהוגשו היום על-ידי המבקשים, עולה כי ביולי 2017 הגישה נציגות הבית המשותף (להלן: </w:t>
      </w:r>
      <w:r w:rsidRPr="001B6782">
        <w:rPr>
          <w:rFonts w:hint="eastAsia" w:ascii="Century" w:hAnsi="Century" w:cs="Miriam"/>
          <w:b/>
          <w:spacing w:val="0"/>
          <w:szCs w:val="24"/>
          <w:rtl/>
        </w:rPr>
        <w:t>הנציגות</w:t>
      </w:r>
      <w:r>
        <w:rPr>
          <w:rtl/>
        </w:rPr>
        <w:t xml:space="preserve">) תביעה כנגד המבקשים לפני המפקח על רישום המקרקעין בירושלים (להלן: </w:t>
      </w:r>
      <w:r w:rsidRPr="00E95C5C">
        <w:rPr>
          <w:rFonts w:cs="Miriam"/>
          <w:sz w:val="24"/>
          <w:szCs w:val="24"/>
          <w:rtl/>
        </w:rPr>
        <w:t>המפקח</w:t>
      </w:r>
      <w:r>
        <w:rPr>
          <w:rtl/>
        </w:rPr>
        <w:t xml:space="preserve">). באותה תביעה, טוענת נציגות הבית המשותף כי החצר הנדונה היא חלק מהרכוש המשותף, וכי המבקשים פעלו שלא כדין כדי "להשתלט" על החצר ו"לספח" אותה לדירתם. בתביעה לפני המפקח, עותרת הנציגות, בין היתר, לחייב את המבקשים להשיב את הרכוש המשותף למצבו הקודם, להסיר את השער שהותקן, לאפשר לדיירי הבניין להיכנס לחצר, לפצות את דיירי הבניין פיצוי כספי, ועוד. מהחומר שלפניי עולה כי ביום 31.10.2017 התקיימה ישיבה במעמד הצדדים ובאי-כוחם לפני המפקח, ובסופה הורה המפקח לצדדים על הגשת תצהירי עדות ראשית וחוות-דעת מומחים ככל הנדרש. לפי הנטען, מחר צפויה להיערך ישיבת הוכחות בתביעה לפני המפקח. </w:t>
      </w:r>
    </w:p>
    <w:p w:rsidR="00497C07" w:rsidP="00497C07" w:rsidRDefault="00497C07">
      <w:pPr>
        <w:pStyle w:val="Ruller4"/>
        <w:rPr>
          <w:rtl/>
        </w:rPr>
      </w:pPr>
    </w:p>
    <w:p w:rsidR="00497C07" w:rsidP="00497C07" w:rsidRDefault="00497C07">
      <w:pPr>
        <w:pStyle w:val="Ruller4"/>
        <w:rPr>
          <w:rtl/>
        </w:rPr>
      </w:pPr>
      <w:r>
        <w:rPr>
          <w:rtl/>
        </w:rPr>
        <w:tab/>
        <w:t>בבקשה שלפניי עותרים המבקשים לכך שאורה בדחיפות על עיכוב הליכים אצל המפקח עד למתן פסק-דין בתובענה שבכותרת. נטען כי עיכוב ההליכים נדרש כדי למנוע הכרעות סותרות בהליך המתנהל לפני המפקח, ובהליך שהוגש היום לבית-משפט זה. לטענת המבקשים, אם תינתן על-ידי המפקח בהליך לפניו החלטה שתחייב את המבקשים לפנות את החצר הצמודה לדירתם, יהווה הדבר פגיעה מהותית במבקשים, הן פגיעה כלכלית והן פגיעה באיכות החיים, והדבר יגרום להם נזק בלתי הפיך. בנוסף, נטען כי הכרעה כאמור תהפוך את ההליך שבכותרת לתיאורטית.</w:t>
      </w:r>
    </w:p>
    <w:p w:rsidR="00497C07" w:rsidP="00497C07" w:rsidRDefault="00497C07">
      <w:pPr>
        <w:pStyle w:val="Ruller4"/>
        <w:rPr>
          <w:rtl/>
        </w:rPr>
      </w:pPr>
    </w:p>
    <w:p w:rsidR="00497C07" w:rsidP="00497C07" w:rsidRDefault="00497C07">
      <w:pPr>
        <w:pStyle w:val="Ruller4"/>
        <w:rPr>
          <w:rtl/>
        </w:rPr>
      </w:pPr>
      <w:r>
        <w:rPr>
          <w:rtl/>
        </w:rPr>
        <w:t>3.</w:t>
      </w:r>
      <w:r>
        <w:rPr>
          <w:rtl/>
        </w:rPr>
        <w:tab/>
        <w:t>דין הבקשה להידחות, בלא צורך בתשובת הצד שכנגד.</w:t>
      </w:r>
    </w:p>
    <w:p w:rsidR="00497C07" w:rsidP="00497C07" w:rsidRDefault="00497C07">
      <w:pPr>
        <w:pStyle w:val="Ruller4"/>
        <w:rPr>
          <w:rtl/>
        </w:rPr>
      </w:pPr>
    </w:p>
    <w:p w:rsidR="00497C07" w:rsidP="00497C07" w:rsidRDefault="00497C07">
      <w:pPr>
        <w:pStyle w:val="Ruller4"/>
        <w:rPr>
          <w:rtl/>
        </w:rPr>
      </w:pPr>
      <w:r>
        <w:rPr>
          <w:rtl/>
        </w:rPr>
        <w:tab/>
        <w:t xml:space="preserve">המבקשים לא הבהירו מניין נובעת סמכותו של בית-משפט זה להורות על עיכוב הליך המתנהל לפני המפקח בשים לב לכך שברגיל, בקשה לעיכוב הליכים בשל הליך אחר שתלוי ועומד, מוגשת לערכאה שלפניה מתנהל ההליך אותו מבקשים לעכב (ראו והשוו: רע"א 346/06 </w:t>
      </w:r>
      <w:r w:rsidRPr="00E47217">
        <w:rPr>
          <w:rFonts w:hint="eastAsia" w:ascii="Century" w:hAnsi="Century" w:cs="Miriam"/>
          <w:b/>
          <w:spacing w:val="0"/>
          <w:szCs w:val="24"/>
          <w:rtl/>
        </w:rPr>
        <w:t>חזאן</w:t>
      </w:r>
      <w:r w:rsidRPr="00E47217">
        <w:rPr>
          <w:rFonts w:ascii="Century" w:hAnsi="Century" w:cs="Miriam"/>
          <w:b/>
          <w:spacing w:val="0"/>
          <w:szCs w:val="24"/>
          <w:rtl/>
        </w:rPr>
        <w:t xml:space="preserve"> </w:t>
      </w:r>
      <w:r w:rsidRPr="00E47217">
        <w:rPr>
          <w:rFonts w:hint="eastAsia" w:ascii="Century" w:hAnsi="Century" w:cs="Miriam"/>
          <w:b/>
          <w:spacing w:val="0"/>
          <w:szCs w:val="24"/>
          <w:rtl/>
        </w:rPr>
        <w:t>נ</w:t>
      </w:r>
      <w:r w:rsidRPr="00E47217">
        <w:rPr>
          <w:rFonts w:ascii="Century" w:hAnsi="Century" w:cs="Miriam"/>
          <w:b/>
          <w:spacing w:val="0"/>
          <w:szCs w:val="24"/>
          <w:rtl/>
        </w:rPr>
        <w:t xml:space="preserve">' </w:t>
      </w:r>
      <w:r w:rsidRPr="00E47217">
        <w:rPr>
          <w:rFonts w:hint="eastAsia" w:ascii="Century" w:hAnsi="Century" w:cs="Miriam"/>
          <w:b/>
          <w:spacing w:val="0"/>
          <w:szCs w:val="24"/>
          <w:rtl/>
        </w:rPr>
        <w:t>קלאב</w:t>
      </w:r>
      <w:r w:rsidRPr="00E47217">
        <w:rPr>
          <w:rFonts w:ascii="Century" w:hAnsi="Century" w:cs="Miriam"/>
          <w:b/>
          <w:spacing w:val="0"/>
          <w:szCs w:val="24"/>
          <w:rtl/>
        </w:rPr>
        <w:t xml:space="preserve"> </w:t>
      </w:r>
      <w:r w:rsidRPr="00E47217">
        <w:rPr>
          <w:rFonts w:hint="eastAsia" w:ascii="Century" w:hAnsi="Century" w:cs="Miriam"/>
          <w:b/>
          <w:spacing w:val="0"/>
          <w:szCs w:val="24"/>
          <w:rtl/>
        </w:rPr>
        <w:t>אין</w:t>
      </w:r>
      <w:r w:rsidRPr="00E47217">
        <w:rPr>
          <w:rFonts w:ascii="Century" w:hAnsi="Century" w:cs="Miriam"/>
          <w:b/>
          <w:spacing w:val="0"/>
          <w:szCs w:val="24"/>
          <w:rtl/>
        </w:rPr>
        <w:t xml:space="preserve"> </w:t>
      </w:r>
      <w:r w:rsidRPr="00E47217">
        <w:rPr>
          <w:rFonts w:hint="eastAsia" w:ascii="Century" w:hAnsi="Century" w:cs="Miriam"/>
          <w:b/>
          <w:spacing w:val="0"/>
          <w:szCs w:val="24"/>
          <w:rtl/>
        </w:rPr>
        <w:t>אילת</w:t>
      </w:r>
      <w:r w:rsidRPr="00E47217">
        <w:rPr>
          <w:rFonts w:ascii="Century" w:hAnsi="Century" w:cs="Miriam"/>
          <w:b/>
          <w:spacing w:val="0"/>
          <w:szCs w:val="24"/>
          <w:rtl/>
        </w:rPr>
        <w:t xml:space="preserve"> </w:t>
      </w:r>
      <w:r w:rsidRPr="00E47217">
        <w:rPr>
          <w:rFonts w:hint="eastAsia" w:ascii="Century" w:hAnsi="Century" w:cs="Miriam"/>
          <w:b/>
          <w:spacing w:val="0"/>
          <w:szCs w:val="24"/>
          <w:rtl/>
        </w:rPr>
        <w:t>אחזקות</w:t>
      </w:r>
      <w:r w:rsidRPr="00E47217">
        <w:rPr>
          <w:rFonts w:ascii="Century" w:hAnsi="Century" w:cs="Miriam"/>
          <w:b/>
          <w:spacing w:val="0"/>
          <w:szCs w:val="24"/>
          <w:rtl/>
        </w:rPr>
        <w:t xml:space="preserve"> </w:t>
      </w:r>
      <w:r w:rsidRPr="00E47217">
        <w:rPr>
          <w:rFonts w:hint="eastAsia" w:ascii="Century" w:hAnsi="Century" w:cs="Miriam"/>
          <w:b/>
          <w:spacing w:val="0"/>
          <w:szCs w:val="24"/>
          <w:rtl/>
        </w:rPr>
        <w:t>בע</w:t>
      </w:r>
      <w:r w:rsidRPr="00E47217">
        <w:rPr>
          <w:rFonts w:ascii="Century" w:hAnsi="Century" w:cs="Miriam"/>
          <w:b/>
          <w:spacing w:val="0"/>
          <w:szCs w:val="24"/>
          <w:rtl/>
        </w:rPr>
        <w:t>"</w:t>
      </w:r>
      <w:r w:rsidRPr="00E47217">
        <w:rPr>
          <w:rFonts w:hint="eastAsia" w:ascii="Century" w:hAnsi="Century" w:cs="Miriam"/>
          <w:b/>
          <w:spacing w:val="0"/>
          <w:szCs w:val="24"/>
          <w:rtl/>
        </w:rPr>
        <w:t>מ</w:t>
      </w:r>
      <w:r w:rsidRPr="00E47217">
        <w:rPr>
          <w:rtl/>
        </w:rPr>
        <w:t xml:space="preserve"> </w:t>
      </w:r>
      <w:r>
        <w:rPr>
          <w:rtl/>
        </w:rPr>
        <w:t xml:space="preserve">(14.5.2016), תחילת פס' 4). </w:t>
      </w:r>
    </w:p>
    <w:p w:rsidR="00497C07" w:rsidP="00497C07" w:rsidRDefault="00497C07">
      <w:pPr>
        <w:pStyle w:val="Ruller4"/>
        <w:rPr>
          <w:rtl/>
        </w:rPr>
      </w:pPr>
    </w:p>
    <w:p w:rsidR="00497C07" w:rsidP="00497C07" w:rsidRDefault="00497C07">
      <w:pPr>
        <w:pStyle w:val="Ruller4"/>
        <w:rPr>
          <w:rtl/>
        </w:rPr>
      </w:pPr>
      <w:r>
        <w:rPr>
          <w:rtl/>
        </w:rPr>
        <w:tab/>
        <w:t>מכל מקום, הבקשה שלפניי הוגשה בשיהוי ניכר, ודי בכך כ</w:t>
      </w:r>
      <w:bookmarkStart w:name="_GoBack" w:id="1"/>
      <w:bookmarkEnd w:id="1"/>
      <w:r>
        <w:rPr>
          <w:rtl/>
        </w:rPr>
        <w:t xml:space="preserve">די לדחותה. מנספח 11 להמרצת-הפתיחה עולה כי הדיון לפני המפקח התקיים </w:t>
      </w:r>
      <w:r w:rsidRPr="001B6782">
        <w:rPr>
          <w:u w:val="single"/>
          <w:rtl/>
        </w:rPr>
        <w:t>ביום 31.10.2017</w:t>
      </w:r>
      <w:r>
        <w:rPr>
          <w:rtl/>
        </w:rPr>
        <w:t xml:space="preserve">. לא ברור מדוע המבקשים ראו להגיש את תובענתם ואת בקשתם רק היום, כשישה וחצי חודשים לאחר אותו דיון, ויום לפני מועד ההוכחות שנקבע לפני המפקח. זאת ועוד; עיון בפרוטוקול הדיון הנ"ל אצל המפקח </w:t>
      </w:r>
      <w:r w:rsidRPr="00E43863">
        <w:rPr>
          <w:u w:val="single"/>
          <w:rtl/>
        </w:rPr>
        <w:t>מיום 31.10.2017</w:t>
      </w:r>
      <w:r>
        <w:rPr>
          <w:rtl/>
        </w:rPr>
        <w:t xml:space="preserve"> מעלה כי ב"כ המבקשים ציין שם: "מבקש להגיע להוכחות. </w:t>
      </w:r>
      <w:r w:rsidRPr="00E43863">
        <w:rPr>
          <w:rFonts w:hint="eastAsia" w:ascii="Century" w:hAnsi="Century" w:cs="Miriam"/>
          <w:b/>
          <w:spacing w:val="0"/>
          <w:szCs w:val="24"/>
          <w:rtl/>
        </w:rPr>
        <w:t>אם</w:t>
      </w:r>
      <w:r w:rsidRPr="00E43863">
        <w:rPr>
          <w:rFonts w:ascii="Century" w:hAnsi="Century" w:cs="Miriam"/>
          <w:b/>
          <w:spacing w:val="0"/>
          <w:szCs w:val="24"/>
          <w:rtl/>
        </w:rPr>
        <w:t xml:space="preserve"> </w:t>
      </w:r>
      <w:r w:rsidRPr="00E43863">
        <w:rPr>
          <w:rFonts w:hint="eastAsia" w:ascii="Century" w:hAnsi="Century" w:cs="Miriam"/>
          <w:b/>
          <w:spacing w:val="0"/>
          <w:szCs w:val="24"/>
          <w:rtl/>
        </w:rPr>
        <w:t>צריך</w:t>
      </w:r>
      <w:r w:rsidRPr="00E43863">
        <w:rPr>
          <w:rFonts w:ascii="Century" w:hAnsi="Century" w:cs="Miriam"/>
          <w:b/>
          <w:spacing w:val="0"/>
          <w:szCs w:val="24"/>
          <w:rtl/>
        </w:rPr>
        <w:t xml:space="preserve"> </w:t>
      </w:r>
      <w:r w:rsidRPr="00E43863">
        <w:rPr>
          <w:rFonts w:hint="eastAsia" w:ascii="Century" w:hAnsi="Century" w:cs="Miriam"/>
          <w:b/>
          <w:spacing w:val="0"/>
          <w:szCs w:val="24"/>
          <w:rtl/>
        </w:rPr>
        <w:t>לגשת</w:t>
      </w:r>
      <w:r w:rsidRPr="00E43863">
        <w:rPr>
          <w:rFonts w:ascii="Century" w:hAnsi="Century" w:cs="Miriam"/>
          <w:b/>
          <w:spacing w:val="0"/>
          <w:szCs w:val="24"/>
          <w:rtl/>
        </w:rPr>
        <w:t xml:space="preserve"> </w:t>
      </w:r>
      <w:r w:rsidRPr="00E43863">
        <w:rPr>
          <w:rFonts w:hint="eastAsia" w:ascii="Century" w:hAnsi="Century" w:cs="Miriam"/>
          <w:b/>
          <w:spacing w:val="0"/>
          <w:szCs w:val="24"/>
          <w:rtl/>
        </w:rPr>
        <w:t>לבית</w:t>
      </w:r>
      <w:r w:rsidRPr="00E43863">
        <w:rPr>
          <w:rFonts w:ascii="Century" w:hAnsi="Century" w:cs="Miriam"/>
          <w:b/>
          <w:spacing w:val="0"/>
          <w:szCs w:val="24"/>
          <w:rtl/>
        </w:rPr>
        <w:t xml:space="preserve"> </w:t>
      </w:r>
      <w:r w:rsidRPr="00E43863">
        <w:rPr>
          <w:rFonts w:hint="eastAsia" w:ascii="Century" w:hAnsi="Century" w:cs="Miriam"/>
          <w:b/>
          <w:spacing w:val="0"/>
          <w:szCs w:val="24"/>
          <w:rtl/>
        </w:rPr>
        <w:t>משפט</w:t>
      </w:r>
      <w:r w:rsidRPr="00E43863">
        <w:rPr>
          <w:rFonts w:ascii="Century" w:hAnsi="Century" w:cs="Miriam"/>
          <w:b/>
          <w:spacing w:val="0"/>
          <w:szCs w:val="24"/>
          <w:rtl/>
        </w:rPr>
        <w:t xml:space="preserve"> </w:t>
      </w:r>
      <w:r w:rsidRPr="00E43863">
        <w:rPr>
          <w:rFonts w:hint="eastAsia" w:ascii="Century" w:hAnsi="Century" w:cs="Miriam"/>
          <w:b/>
          <w:spacing w:val="0"/>
          <w:szCs w:val="24"/>
          <w:rtl/>
        </w:rPr>
        <w:t>מחוזי</w:t>
      </w:r>
      <w:r w:rsidRPr="00E43863">
        <w:rPr>
          <w:rFonts w:ascii="Century" w:hAnsi="Century" w:cs="Miriam"/>
          <w:b/>
          <w:spacing w:val="0"/>
          <w:szCs w:val="24"/>
          <w:rtl/>
        </w:rPr>
        <w:t xml:space="preserve"> </w:t>
      </w:r>
      <w:r w:rsidRPr="00E43863">
        <w:rPr>
          <w:rFonts w:hint="eastAsia" w:ascii="Century" w:hAnsi="Century" w:cs="Miriam"/>
          <w:b/>
          <w:spacing w:val="0"/>
          <w:szCs w:val="24"/>
          <w:rtl/>
        </w:rPr>
        <w:t>זה</w:t>
      </w:r>
      <w:r w:rsidRPr="00E43863">
        <w:rPr>
          <w:rFonts w:ascii="Century" w:hAnsi="Century" w:cs="Miriam"/>
          <w:b/>
          <w:spacing w:val="0"/>
          <w:szCs w:val="24"/>
          <w:rtl/>
        </w:rPr>
        <w:t xml:space="preserve"> </w:t>
      </w:r>
      <w:r w:rsidRPr="00E43863">
        <w:rPr>
          <w:rFonts w:hint="eastAsia" w:ascii="Century" w:hAnsi="Century" w:cs="Miriam"/>
          <w:b/>
          <w:spacing w:val="0"/>
          <w:szCs w:val="24"/>
          <w:rtl/>
        </w:rPr>
        <w:t>מה</w:t>
      </w:r>
      <w:r w:rsidRPr="00E43863">
        <w:rPr>
          <w:rFonts w:ascii="Century" w:hAnsi="Century" w:cs="Miriam"/>
          <w:b/>
          <w:spacing w:val="0"/>
          <w:szCs w:val="24"/>
          <w:rtl/>
        </w:rPr>
        <w:t xml:space="preserve"> </w:t>
      </w:r>
      <w:r w:rsidRPr="00E43863">
        <w:rPr>
          <w:rFonts w:hint="eastAsia" w:ascii="Century" w:hAnsi="Century" w:cs="Miriam"/>
          <w:b/>
          <w:spacing w:val="0"/>
          <w:szCs w:val="24"/>
          <w:rtl/>
        </w:rPr>
        <w:t>שיקרה</w:t>
      </w:r>
      <w:r w:rsidRPr="00E43863">
        <w:rPr>
          <w:rFonts w:ascii="Century" w:hAnsi="Century" w:cs="Miriam"/>
          <w:b/>
          <w:spacing w:val="0"/>
          <w:szCs w:val="24"/>
          <w:rtl/>
        </w:rPr>
        <w:t xml:space="preserve"> </w:t>
      </w:r>
      <w:r w:rsidRPr="00E43863">
        <w:rPr>
          <w:rFonts w:hint="eastAsia" w:ascii="Century" w:hAnsi="Century" w:cs="Miriam"/>
          <w:b/>
          <w:spacing w:val="0"/>
          <w:szCs w:val="24"/>
          <w:rtl/>
        </w:rPr>
        <w:t>במיידי</w:t>
      </w:r>
      <w:r>
        <w:rPr>
          <w:rtl/>
        </w:rPr>
        <w:t xml:space="preserve">. עד אז אני מבקש להגיע להוכחות. אביא את ההסכם. אביא את המצגים. ואוכיח כאן אחד לאחד" (ההדגשה אינה במקור-ד.כ.ל). דא עקא, מאז אותם דברים נחרצים, חלפו כשישה וחצי חודשים עד הגשת ההליך שבכותרת. לשיהוי ניכר זה לא ניתן כל הסבר, ויש בו כדי להעלות תהייה שמא תיזמון הגשת הבקשה נועד להוביל לדחיית מועד ההוכחות הקבוע למחר לפני המפקח. די בשיהוי האמור כדי להוביל לדחיית הבקשה שלפניי. </w:t>
      </w:r>
    </w:p>
    <w:p w:rsidR="00497C07" w:rsidP="00497C07" w:rsidRDefault="00497C07">
      <w:pPr>
        <w:pStyle w:val="Ruller4"/>
        <w:rPr>
          <w:rtl/>
        </w:rPr>
      </w:pPr>
    </w:p>
    <w:p w:rsidR="00497C07" w:rsidP="00497C07" w:rsidRDefault="00497C07">
      <w:pPr>
        <w:pStyle w:val="Ruller4"/>
        <w:rPr>
          <w:rtl/>
        </w:rPr>
      </w:pPr>
      <w:r>
        <w:rPr>
          <w:rtl/>
        </w:rPr>
        <w:tab/>
        <w:t>הדרך נותרת פתוחה לפני המבקשים להעלות בקשה מתאימה לפני המפקח, אשר יכריע בה כחוכמתו.</w:t>
      </w:r>
    </w:p>
    <w:p w:rsidR="00497C07" w:rsidP="00497C07" w:rsidRDefault="00497C07">
      <w:pPr>
        <w:pStyle w:val="Ruller4"/>
        <w:rPr>
          <w:rtl/>
        </w:rPr>
      </w:pPr>
    </w:p>
    <w:p w:rsidR="00497C07" w:rsidP="00497C07" w:rsidRDefault="00497C07">
      <w:pPr>
        <w:pStyle w:val="Ruller4"/>
        <w:rPr>
          <w:rtl/>
        </w:rPr>
      </w:pPr>
      <w:r>
        <w:rPr>
          <w:rtl/>
        </w:rPr>
        <w:tab/>
        <w:t xml:space="preserve">אשר על כן, הבקשה נדחית. </w:t>
      </w:r>
    </w:p>
    <w:p w:rsidR="00497C07" w:rsidP="00497C07" w:rsidRDefault="00497C07">
      <w:pPr>
        <w:pStyle w:val="Ruller4"/>
        <w:rPr>
          <w:rtl/>
        </w:rPr>
      </w:pPr>
    </w:p>
    <w:p w:rsidR="00497C07" w:rsidP="00497C07" w:rsidRDefault="00497C07">
      <w:pPr>
        <w:pStyle w:val="Ruller4"/>
        <w:rPr>
          <w:rtl/>
        </w:rPr>
      </w:pPr>
      <w:r>
        <w:rPr>
          <w:rtl/>
        </w:rPr>
        <w:tab/>
        <w:t>משלא התבקשה תגובה, אין צו להוצאות.</w:t>
      </w:r>
    </w:p>
    <w:p w:rsidR="00497C07" w:rsidP="00497C07" w:rsidRDefault="00497C07">
      <w:pPr>
        <w:pStyle w:val="Ruller4"/>
        <w:rPr>
          <w:rtl/>
        </w:rPr>
      </w:pPr>
    </w:p>
    <w:p w:rsidR="00497C07" w:rsidP="00497C07" w:rsidRDefault="00497C07">
      <w:pPr>
        <w:pStyle w:val="Ruller4"/>
        <w:rPr>
          <w:rtl/>
        </w:rPr>
      </w:pPr>
      <w:r>
        <w:rPr>
          <w:rtl/>
        </w:rPr>
        <w:tab/>
      </w:r>
      <w:r w:rsidRPr="00E43863">
        <w:rPr>
          <w:b/>
          <w:bCs/>
          <w:u w:val="single"/>
          <w:rtl/>
        </w:rPr>
        <w:t>להמציא לב"כ הצדדים בהקדם</w:t>
      </w:r>
      <w:r>
        <w:rPr>
          <w:rtl/>
        </w:rPr>
        <w:t>.</w:t>
      </w:r>
    </w:p>
    <w:p w:rsidR="00497C07" w:rsidP="00497C07" w:rsidRDefault="00497C07">
      <w:pPr>
        <w:pStyle w:val="Ruller4"/>
        <w:rPr>
          <w:rtl/>
        </w:rPr>
      </w:pPr>
    </w:p>
    <w:p w:rsidRPr="00497C07" w:rsidR="00694556" w:rsidP="00497C07" w:rsidRDefault="0043502B">
      <w:pPr>
        <w:pStyle w:val="Ruller4"/>
        <w:ind w:firstLine="720"/>
        <w:rPr>
          <w:rtl/>
        </w:rPr>
      </w:pPr>
      <w:r w:rsidRPr="00497C07">
        <w:rPr>
          <w:rtl/>
        </w:rPr>
        <w:t>נית</w:t>
      </w:r>
      <w:r w:rsidRPr="00497C07">
        <w:rPr>
          <w:rFonts w:hint="cs"/>
          <w:rtl/>
        </w:rPr>
        <w:t>נה</w:t>
      </w:r>
      <w:r w:rsidRPr="00497C07" w:rsidR="00005C8B">
        <w:rPr>
          <w:rtl/>
        </w:rPr>
        <w:t xml:space="preserve"> היום, </w:t>
      </w:r>
      <w:sdt>
        <w:sdtPr>
          <w:rPr>
            <w:rtl/>
          </w:rPr>
          <w:alias w:val="1455"/>
          <w:tag w:val="1455"/>
          <w:id w:val="1666048407"/>
          <w:text w:multiLine="1"/>
        </w:sdtPr>
        <w:sdtEndPr/>
        <w:sdtContent>
          <w:r>
            <w:rPr>
              <w:rtl/>
            </w:rPr>
            <w:t>כ"ו ניסן תשע"ח</w:t>
          </w:r>
        </w:sdtContent>
      </w:sdt>
      <w:r w:rsidRPr="00497C07" w:rsidR="00005C8B">
        <w:rPr>
          <w:rtl/>
        </w:rPr>
        <w:t xml:space="preserve">, </w:t>
      </w:r>
      <w:sdt>
        <w:sdtPr>
          <w:rPr>
            <w:rtl/>
          </w:rPr>
          <w:alias w:val="1456"/>
          <w:tag w:val="1456"/>
          <w:id w:val="-1186288958"/>
          <w:text w:multiLine="1"/>
        </w:sdtPr>
        <w:sdtEndPr/>
        <w:sdtContent>
          <w:r>
            <w:rPr>
              <w:rtl/>
            </w:rPr>
            <w:t>11 אפריל 2018</w:t>
          </w:r>
        </w:sdtContent>
      </w:sdt>
      <w:r w:rsidRPr="00497C07" w:rsidR="00005C8B">
        <w:rPr>
          <w:rtl/>
        </w:rPr>
        <w:t>, בהעדר הצדדים.</w:t>
      </w:r>
    </w:p>
    <w:p w:rsidR="00C43648" w:rsidP="00BD6531" w:rsidRDefault="0025250D">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205740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1de0ad7807e461c" cstate="print">
                            <a:extLst>
                              <a:ext uri="{28A0092B-C50C-407E-A947-70E740481C1C}"/>
                            </a:extLst>
                          </a:blip>
                          <a:stretch>
                            <a:fillRect/>
                          </a:stretch>
                        </pic:blipFill>
                        <pic:spPr>
                          <a:xfrm>
                            <a:off x="0" y="0"/>
                            <a:ext cx="2057400" cy="885825"/>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C07" w:rsidRDefault="00497C07">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5250D">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5250D">
      <w:rPr>
        <w:rStyle w:val="ab"/>
        <w:rtl/>
      </w:rPr>
      <w:t>4</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C07" w:rsidRDefault="00497C0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C07" w:rsidRDefault="00497C07">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97C07">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25250D">
          <w:pPr>
            <w:rPr>
              <w:b/>
              <w:bCs/>
              <w:noProof w:val="0"/>
              <w:sz w:val="26"/>
              <w:szCs w:val="26"/>
              <w:rtl/>
            </w:rPr>
          </w:pPr>
          <w:sdt>
            <w:sdtPr>
              <w:rPr>
                <w:rtl/>
              </w:rPr>
              <w:alias w:val="1170"/>
              <w:tag w:val="1170"/>
              <w:id w:val="1066377040"/>
              <w:text w:multiLine="1"/>
            </w:sdtPr>
            <w:sdtEndPr/>
            <w:sdtContent>
              <w:r w:rsidR="00CF6BB7">
                <w:rPr>
                  <w:b/>
                  <w:bCs/>
                  <w:noProof w:val="0"/>
                  <w:sz w:val="26"/>
                  <w:szCs w:val="26"/>
                  <w:rtl/>
                </w:rPr>
                <w:t>ה"פ</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17549-04-18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יודקביץ ואח' נ' יחזקאל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C07" w:rsidRDefault="00497C0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5250D"/>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97C07"/>
    <w:rsid w:val="004C17EE"/>
    <w:rsid w:val="004C4BDF"/>
    <w:rsid w:val="004D1187"/>
    <w:rsid w:val="004D3AA0"/>
    <w:rsid w:val="004E1987"/>
    <w:rsid w:val="004E2E15"/>
    <w:rsid w:val="004E6E3C"/>
    <w:rsid w:val="00520898"/>
    <w:rsid w:val="00523621"/>
    <w:rsid w:val="00524986"/>
    <w:rsid w:val="005268F6"/>
    <w:rsid w:val="00534284"/>
    <w:rsid w:val="00547DB7"/>
    <w:rsid w:val="00562FF2"/>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19ED01E6"/>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customStyle="1" w:styleId="Ruller4">
    <w:name w:val="Ruller4"/>
    <w:basedOn w:val="a"/>
    <w:rsid w:val="00497C07"/>
    <w:pPr>
      <w:tabs>
        <w:tab w:val="left" w:pos="800"/>
      </w:tabs>
      <w:overflowPunct w:val="0"/>
      <w:autoSpaceDE w:val="0"/>
      <w:autoSpaceDN w:val="0"/>
      <w:adjustRightInd w:val="0"/>
      <w:spacing w:line="360" w:lineRule="auto"/>
      <w:jc w:val="both"/>
      <w:textAlignment w:val="baseline"/>
    </w:pPr>
    <w:rPr>
      <w:rFonts w:ascii="Arial TUR" w:hAnsi="Arial TUR" w:cs="FrankRuehl"/>
      <w:noProof w:val="0"/>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91de0ad7807e461c"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5C1B84" w:rsidP="005C1B84">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5C1B84" w:rsidP="005C1B84">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5C1B84"/>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1B84"/>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5C1B84"/>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5C1B84"/>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677</Words>
  <Characters>3389</Characters>
  <Application>Microsoft Office Word</Application>
  <DocSecurity>0</DocSecurity>
  <Lines>28</Lines>
  <Paragraphs>8</Paragraphs>
  <ScaleCrop>false</ScaleCrop>
  <Company>Microsoft Corporation</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דנה כהן-לקח</cp:lastModifiedBy>
  <cp:revision>116</cp:revision>
  <dcterms:created xsi:type="dcterms:W3CDTF">2012-08-06T05:16:00Z</dcterms:created>
  <dcterms:modified xsi:type="dcterms:W3CDTF">2018-04-11T18:14:00Z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