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שופטת</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זהבה (קאודרס) בנר</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noProof w:val="0"/>
                <w:sz w:val="26"/>
                <w:szCs w:val="26"/>
              </w:rPr>
            </w:pPr>
          </w:p>
          <w:sdt>
            <w:sdtPr>
              <w:rPr>
                <w:rtl/>
              </w:rPr>
              <w:alias w:val="1180"/>
              <w:tag w:val="1180"/>
              <w:id w:val="637458750"/>
              <w:text w:multiLine="1"/>
            </w:sdtPr>
            <w:sdtEndPr/>
            <w:sdtContent>
              <w:p w:rsidR="00B84BDF" w:rsidRDefault="00C85345">
                <w:pPr>
                  <w:suppressLineNumbers/>
                  <w:rPr>
                    <w:rFonts w:ascii="Arial" w:hAnsi="Arial"/>
                    <w:b/>
                    <w:bCs/>
                    <w:noProof w:val="0"/>
                    <w:sz w:val="26"/>
                    <w:szCs w:val="26"/>
                    <w:rtl/>
                  </w:rPr>
                </w:pPr>
                <w:r>
                  <w:rPr>
                    <w:rFonts w:ascii="Arial" w:hAnsi="Arial"/>
                    <w:b/>
                    <w:bCs/>
                    <w:noProof w:val="0"/>
                    <w:sz w:val="26"/>
                    <w:szCs w:val="26"/>
                    <w:rtl/>
                  </w:rPr>
                  <w:t>תובע</w:t>
                </w:r>
              </w:p>
            </w:sdtContent>
          </w:sdt>
        </w:tc>
        <w:tc>
          <w:tcPr>
            <w:tcW w:w="5571" w:type="dxa"/>
          </w:tcPr>
          <w:p w:rsidR="0094424E" w:rsidP="00D44968" w:rsidRDefault="0094424E">
            <w:pPr>
              <w:suppressLineNumbers/>
              <w:rPr>
                <w:rFonts w:ascii="Arial" w:hAnsi="Arial"/>
                <w:b/>
                <w:bCs/>
                <w:noProof w:val="0"/>
                <w:sz w:val="26"/>
                <w:szCs w:val="26"/>
                <w:rtl/>
              </w:rPr>
            </w:pPr>
          </w:p>
          <w:p w:rsidR="0094424E" w:rsidP="00D44968" w:rsidRDefault="00130903">
            <w:pPr>
              <w:suppressLineNumbers/>
              <w:rPr>
                <w:b/>
                <w:bCs/>
                <w:noProof w:val="0"/>
                <w:sz w:val="26"/>
                <w:szCs w:val="26"/>
              </w:rPr>
            </w:pPr>
            <w:sdt>
              <w:sdtPr>
                <w:rPr>
                  <w:rtl/>
                </w:rPr>
                <w:alias w:val="1478"/>
                <w:tag w:val="1478"/>
                <w:id w:val="-2076122985"/>
                <w:text w:multiLine="1"/>
              </w:sdtPr>
              <w:sdtEndPr/>
              <w:sdtContent>
                <w:r w:rsidR="00CF6BB7">
                  <w:rPr>
                    <w:rFonts w:ascii="Arial" w:hAnsi="Arial"/>
                    <w:b/>
                    <w:bCs/>
                    <w:noProof w:val="0"/>
                    <w:sz w:val="26"/>
                    <w:szCs w:val="26"/>
                    <w:rtl/>
                  </w:rPr>
                  <w:t>מארי סבאח</w:t>
                </w:r>
              </w:sdtContent>
            </w:sdt>
          </w:p>
        </w:tc>
      </w:tr>
      <w:tr w:rsidR="0094424E">
        <w:trPr>
          <w:jc w:val="center"/>
        </w:trPr>
        <w:tc>
          <w:tcPr>
            <w:tcW w:w="8820" w:type="dxa"/>
            <w:gridSpan w:val="3"/>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130903">
            <w:pPr>
              <w:suppressLineNumbers/>
              <w:rPr>
                <w:rFonts w:ascii="Arial" w:hAnsi="Arial"/>
                <w:b/>
                <w:bCs/>
                <w:noProof w:val="0"/>
                <w:sz w:val="26"/>
                <w:szCs w:val="26"/>
              </w:rPr>
            </w:pPr>
            <w:sdt>
              <w:sdtPr>
                <w:rPr>
                  <w:rtl/>
                </w:rPr>
                <w:alias w:val="1184"/>
                <w:tag w:val="1184"/>
                <w:id w:val="-340621022"/>
                <w:text w:multiLine="1"/>
              </w:sdtPr>
              <w:sdtEndPr/>
              <w:sdtContent>
                <w:r w:rsidR="00C85345">
                  <w:rPr>
                    <w:rFonts w:ascii="Arial" w:hAnsi="Arial"/>
                    <w:b/>
                    <w:bCs/>
                    <w:noProof w:val="0"/>
                    <w:sz w:val="26"/>
                    <w:szCs w:val="26"/>
                    <w:rtl/>
                  </w:rPr>
                  <w:t>נתבע</w:t>
                </w:r>
                <w:r w:rsidR="00C85345">
                  <w:rPr>
                    <w:rFonts w:hint="cs" w:ascii="Arial" w:hAnsi="Arial"/>
                    <w:b/>
                    <w:bCs/>
                    <w:noProof w:val="0"/>
                    <w:sz w:val="26"/>
                    <w:szCs w:val="26"/>
                    <w:rtl/>
                  </w:rPr>
                  <w:t>ת</w:t>
                </w:r>
              </w:sdtContent>
            </w:sdt>
          </w:p>
        </w:tc>
        <w:tc>
          <w:tcPr>
            <w:tcW w:w="5571" w:type="dxa"/>
          </w:tcPr>
          <w:p w:rsidR="0094424E" w:rsidP="00D44968" w:rsidRDefault="00130903">
            <w:pPr>
              <w:suppressLineNumbers/>
              <w:rPr>
                <w:rtl/>
              </w:rPr>
            </w:pPr>
            <w:sdt>
              <w:sdtPr>
                <w:rPr>
                  <w:rtl/>
                </w:rPr>
                <w:alias w:val="1486"/>
                <w:tag w:val="1486"/>
                <w:id w:val="-309872140"/>
                <w:text w:multiLine="1"/>
              </w:sdtPr>
              <w:sdtEndPr/>
              <w:sdtContent>
                <w:r w:rsidR="00CF6BB7">
                  <w:rPr>
                    <w:rFonts w:ascii="Arial" w:hAnsi="Arial"/>
                    <w:b/>
                    <w:bCs/>
                    <w:noProof w:val="0"/>
                    <w:sz w:val="26"/>
                    <w:szCs w:val="26"/>
                    <w:rtl/>
                  </w:rPr>
                  <w:t>מנורה מבטחים פנסיה בע"מ</w:t>
                </w:r>
              </w:sdtContent>
            </w:sdt>
          </w:p>
          <w:p w:rsidR="00CF6BB7" w:rsidP="00D44968" w:rsidRDefault="00CF6BB7">
            <w:pPr>
              <w:suppressLineNumbers/>
              <w:rPr>
                <w:b/>
                <w:bCs/>
                <w:noProof w:val="0"/>
                <w:sz w:val="26"/>
                <w:szCs w:val="26"/>
                <w:rtl/>
              </w:rPr>
            </w:pPr>
          </w:p>
        </w:tc>
      </w:tr>
    </w:tbl>
    <w:p w:rsidR="0094424E" w:rsidP="00D44968" w:rsidRDefault="0094424E">
      <w:pPr>
        <w:suppressLineNumbers/>
        <w:rPr>
          <w:rtl/>
        </w:rPr>
      </w:pPr>
      <w:bookmarkStart w:name="_GoBack" w:id="0"/>
      <w:bookmarkEnd w:id="0"/>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9F0A1E" w:rsidRDefault="001B788D">
      <w:pPr>
        <w:spacing w:line="360" w:lineRule="auto"/>
        <w:jc w:val="both"/>
        <w:rPr>
          <w:rFonts w:ascii="Arial" w:hAnsi="Arial"/>
          <w:noProof w:val="0"/>
          <w:rtl/>
        </w:rPr>
      </w:pPr>
      <w:bookmarkStart w:name="NGCSBookmark" w:id="1"/>
      <w:bookmarkEnd w:id="1"/>
      <w:r>
        <w:rPr>
          <w:rFonts w:hint="cs" w:ascii="Arial" w:hAnsi="Arial"/>
          <w:noProof w:val="0"/>
          <w:rtl/>
        </w:rPr>
        <w:t xml:space="preserve">1. בפני בקשת הנתבעת  לסילוק </w:t>
      </w:r>
      <w:r w:rsidR="00140163">
        <w:rPr>
          <w:rFonts w:hint="cs" w:ascii="Arial" w:hAnsi="Arial"/>
          <w:noProof w:val="0"/>
          <w:rtl/>
        </w:rPr>
        <w:t xml:space="preserve">על הסף מחמת חוסר סמכות עניינית. </w:t>
      </w:r>
    </w:p>
    <w:p w:rsidR="00694556" w:rsidRDefault="00140163">
      <w:pPr>
        <w:spacing w:line="360" w:lineRule="auto"/>
        <w:jc w:val="both"/>
        <w:rPr>
          <w:rFonts w:ascii="Arial" w:hAnsi="Arial"/>
          <w:noProof w:val="0"/>
          <w:rtl/>
        </w:rPr>
      </w:pPr>
      <w:r>
        <w:rPr>
          <w:rFonts w:hint="cs" w:ascii="Arial" w:hAnsi="Arial"/>
          <w:noProof w:val="0"/>
          <w:rtl/>
        </w:rPr>
        <w:t>לחילופין</w:t>
      </w:r>
      <w:r w:rsidR="009F0A1E">
        <w:rPr>
          <w:rFonts w:hint="cs" w:ascii="Arial" w:hAnsi="Arial"/>
          <w:noProof w:val="0"/>
          <w:rtl/>
        </w:rPr>
        <w:t xml:space="preserve"> מבקשת הנתבעת </w:t>
      </w:r>
      <w:r>
        <w:rPr>
          <w:rFonts w:hint="cs" w:ascii="Arial" w:hAnsi="Arial"/>
          <w:noProof w:val="0"/>
          <w:rtl/>
        </w:rPr>
        <w:t xml:space="preserve"> להעביר את התיק לבית הדין לעבודה. </w:t>
      </w:r>
    </w:p>
    <w:p w:rsidR="009F0A1E" w:rsidRDefault="009F0A1E">
      <w:pPr>
        <w:spacing w:line="360" w:lineRule="auto"/>
        <w:jc w:val="both"/>
        <w:rPr>
          <w:rFonts w:ascii="Arial" w:hAnsi="Arial"/>
          <w:noProof w:val="0"/>
          <w:rtl/>
        </w:rPr>
      </w:pPr>
    </w:p>
    <w:p w:rsidR="001B788D" w:rsidRDefault="001B788D">
      <w:pPr>
        <w:spacing w:line="360" w:lineRule="auto"/>
        <w:jc w:val="both"/>
        <w:rPr>
          <w:rFonts w:ascii="Arial" w:hAnsi="Arial"/>
          <w:noProof w:val="0"/>
          <w:rtl/>
        </w:rPr>
      </w:pPr>
      <w:r>
        <w:rPr>
          <w:rFonts w:hint="cs" w:ascii="Arial" w:hAnsi="Arial"/>
          <w:noProof w:val="0"/>
          <w:rtl/>
        </w:rPr>
        <w:t xml:space="preserve">2. כפי שטענה הנתבעת, בתביעה שבין עובד לקרן פנסיה נתונה סמכות ייחודית לבית הדין לעבודה. </w:t>
      </w:r>
    </w:p>
    <w:p w:rsidR="00C85345" w:rsidP="00475D1D" w:rsidRDefault="00C85345">
      <w:pPr>
        <w:spacing w:line="360" w:lineRule="auto"/>
        <w:jc w:val="both"/>
        <w:rPr>
          <w:rFonts w:ascii="Arial" w:hAnsi="Arial"/>
          <w:noProof w:val="0"/>
          <w:rtl/>
        </w:rPr>
      </w:pPr>
      <w:r>
        <w:rPr>
          <w:rFonts w:hint="cs" w:ascii="Arial" w:hAnsi="Arial"/>
          <w:noProof w:val="0"/>
          <w:rtl/>
        </w:rPr>
        <w:t>סעיף 24 לחוק בית הדין לעבודה, התשכ"ט-1969 קובע את העניינים בהם יש לבית הדין לעבודה סמכות ייחודית.</w:t>
      </w:r>
      <w:r w:rsidR="00475D1D">
        <w:rPr>
          <w:rFonts w:hint="cs" w:ascii="Arial" w:hAnsi="Arial"/>
          <w:noProof w:val="0"/>
          <w:rtl/>
        </w:rPr>
        <w:t xml:space="preserve"> בכלל הנושאים בהם יש לבית הדין לעבודה סמכות ייחודית </w:t>
      </w:r>
    </w:p>
    <w:p w:rsidRPr="00DE1E7D" w:rsidR="001B788D" w:rsidP="00475D1D" w:rsidRDefault="001B788D">
      <w:pPr>
        <w:spacing w:line="360" w:lineRule="auto"/>
        <w:jc w:val="both"/>
        <w:rPr>
          <w:rFonts w:ascii="Arial" w:hAnsi="Arial"/>
          <w:noProof w:val="0"/>
          <w:rtl/>
        </w:rPr>
      </w:pPr>
      <w:r>
        <w:rPr>
          <w:rFonts w:hint="cs" w:ascii="Arial" w:hAnsi="Arial"/>
          <w:noProof w:val="0"/>
          <w:rtl/>
        </w:rPr>
        <w:t xml:space="preserve">סעיף 24 א(3) </w:t>
      </w:r>
      <w:r w:rsidR="00475D1D">
        <w:rPr>
          <w:rFonts w:hint="cs" w:ascii="Arial" w:hAnsi="Arial"/>
          <w:noProof w:val="0"/>
          <w:rtl/>
        </w:rPr>
        <w:t xml:space="preserve"> קובע את הסמכות הייחודית בתביעות כנגד קופות גמל: </w:t>
      </w:r>
    </w:p>
    <w:p w:rsidR="00694556" w:rsidRDefault="001B788D">
      <w:pPr>
        <w:spacing w:line="360" w:lineRule="auto"/>
        <w:jc w:val="both"/>
        <w:rPr>
          <w:rFonts w:ascii="Arial" w:hAnsi="Arial"/>
          <w:b/>
          <w:bCs/>
          <w:noProof w:val="0"/>
          <w:rtl/>
        </w:rPr>
      </w:pPr>
      <w:r w:rsidRPr="00D140FB">
        <w:rPr>
          <w:rFonts w:hint="cs" w:ascii="Arial" w:hAnsi="Arial"/>
          <w:b/>
          <w:bCs/>
          <w:noProof w:val="0"/>
          <w:rtl/>
        </w:rPr>
        <w:t>"</w:t>
      </w:r>
      <w:r w:rsidRPr="00D140FB" w:rsidR="00E16CCC">
        <w:rPr>
          <w:rFonts w:ascii="Arial" w:hAnsi="Arial"/>
          <w:b/>
          <w:bCs/>
          <w:noProof w:val="0"/>
          <w:rtl/>
        </w:rPr>
        <w:t>תובענות של חברים או חליפיהם או של מעסיקים או חליפיהם נגד קופות גמל, כמשמעותן בחוק הגנת השכר, תשי"ח-1958, או תובענות של קופות הגמל נגד חבריהן או חליפיהם או נגד מעסיקים או חליפיהם הכל אם התובענות נובעות מהחברות בקופות או מחבותם של מעסיקים לקופות, לפי הענין וכן כל תובענה לקצבה הנובעת מיחסי עבודה;</w:t>
      </w:r>
      <w:r w:rsidRPr="00D140FB" w:rsidR="00D140FB">
        <w:rPr>
          <w:rFonts w:hint="cs" w:ascii="Arial" w:hAnsi="Arial"/>
          <w:b/>
          <w:bCs/>
          <w:noProof w:val="0"/>
          <w:rtl/>
        </w:rPr>
        <w:t>"</w:t>
      </w:r>
    </w:p>
    <w:p w:rsidR="00400081" w:rsidRDefault="00400081">
      <w:pPr>
        <w:spacing w:line="360" w:lineRule="auto"/>
        <w:jc w:val="both"/>
        <w:rPr>
          <w:rFonts w:hint="cs" w:ascii="Arial" w:hAnsi="Arial"/>
          <w:b/>
          <w:bCs/>
          <w:noProof w:val="0"/>
          <w:rtl/>
        </w:rPr>
      </w:pPr>
    </w:p>
    <w:p w:rsidR="00400081" w:rsidRDefault="00400081">
      <w:pPr>
        <w:spacing w:line="360" w:lineRule="auto"/>
        <w:jc w:val="both"/>
        <w:rPr>
          <w:rFonts w:ascii="Arial" w:hAnsi="Arial"/>
          <w:noProof w:val="0"/>
          <w:rtl/>
        </w:rPr>
      </w:pPr>
      <w:r>
        <w:rPr>
          <w:rFonts w:hint="cs" w:ascii="Arial" w:hAnsi="Arial"/>
          <w:noProof w:val="0"/>
          <w:rtl/>
        </w:rPr>
        <w:t>3. אשר על כן, בתביעה שבנידון, יש לבית הדין  לעבודה סמכות יחודית לדון בתביעה.</w:t>
      </w:r>
    </w:p>
    <w:p w:rsidR="00400081" w:rsidRDefault="00400081">
      <w:pPr>
        <w:spacing w:line="360" w:lineRule="auto"/>
        <w:jc w:val="both"/>
        <w:rPr>
          <w:rFonts w:hint="cs" w:ascii="Arial" w:hAnsi="Arial"/>
          <w:noProof w:val="0"/>
          <w:rtl/>
        </w:rPr>
      </w:pPr>
    </w:p>
    <w:p w:rsidR="00400081" w:rsidRDefault="00400081">
      <w:pPr>
        <w:spacing w:line="360" w:lineRule="auto"/>
        <w:jc w:val="both"/>
        <w:rPr>
          <w:rFonts w:ascii="Arial" w:hAnsi="Arial"/>
          <w:noProof w:val="0"/>
          <w:rtl/>
        </w:rPr>
      </w:pPr>
      <w:r>
        <w:rPr>
          <w:rFonts w:hint="cs" w:ascii="Arial" w:hAnsi="Arial"/>
          <w:noProof w:val="0"/>
          <w:rtl/>
        </w:rPr>
        <w:t xml:space="preserve">4. משכך, התביעה מועברת לבית הדין האזורי לעבודה בחיפה. </w:t>
      </w:r>
    </w:p>
    <w:p w:rsidR="00232D38" w:rsidRDefault="00232D38">
      <w:pPr>
        <w:spacing w:line="360" w:lineRule="auto"/>
        <w:jc w:val="both"/>
        <w:rPr>
          <w:rFonts w:ascii="Arial" w:hAnsi="Arial"/>
          <w:noProof w:val="0"/>
          <w:rtl/>
        </w:rPr>
      </w:pPr>
    </w:p>
    <w:p w:rsidRPr="00DE1E7D" w:rsidR="00694556" w:rsidP="00232D38" w:rsidRDefault="00232D38">
      <w:pPr>
        <w:spacing w:line="360" w:lineRule="auto"/>
        <w:jc w:val="both"/>
        <w:rPr>
          <w:rFonts w:ascii="Arial" w:hAnsi="Arial"/>
          <w:noProof w:val="0"/>
          <w:rtl/>
        </w:rPr>
      </w:pPr>
      <w:r>
        <w:rPr>
          <w:rFonts w:hint="cs" w:ascii="Arial" w:hAnsi="Arial"/>
          <w:noProof w:val="0"/>
          <w:rtl/>
        </w:rPr>
        <w:t xml:space="preserve">5. הדיון הקבוע ליום 16/10/18, מבוטל. </w:t>
      </w: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130903">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638300" cy="61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c269d4ae6d7f4d6f" cstate="print">
                            <a:extLst>
                              <a:ext uri="{28A0092B-C50C-407E-A947-70E740481C1C}"/>
                            </a:extLst>
                          </a:blip>
                          <a:stretch>
                            <a:fillRect/>
                          </a:stretch>
                        </pic:blipFill>
                        <pic:spPr>
                          <a:xfrm>
                            <a:off x="0" y="0"/>
                            <a:ext cx="1638300" cy="619125"/>
                          </a:xfrm>
                          <a:prstGeom prst="rect">
                            <a:avLst/>
                          </a:prstGeom>
                        </pic:spPr>
                      </pic:pic>
                    </a:graphicData>
                  </a:graphic>
                </wp:inline>
              </w:drawing>
            </w:r>
          </w:p>
        </w:sdtContent>
      </w:sdt>
    </w:p>
    <w:sectPr w:rsidR="00694556" w:rsidSect="006C30C5">
      <w:headerReference w:type="default" r:id="rId9"/>
      <w:footerReference w:type="default" r:id="rId10"/>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130903">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130903">
      <w:rPr>
        <w:rStyle w:val="ab"/>
        <w:rtl/>
      </w:rPr>
      <w:t>1</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130903">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לתביעות קטנות בעכו</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130903">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ת"ק</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32758-03-18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סבאח נ' מנורה מבטחים פנסיה בע"מ</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3586"/>
    <w:rsid w:val="00107E6D"/>
    <w:rsid w:val="0011194C"/>
    <w:rsid w:val="0011424C"/>
    <w:rsid w:val="001173C6"/>
    <w:rsid w:val="00130903"/>
    <w:rsid w:val="001367BC"/>
    <w:rsid w:val="00140163"/>
    <w:rsid w:val="00144D2A"/>
    <w:rsid w:val="0014653E"/>
    <w:rsid w:val="00146849"/>
    <w:rsid w:val="00180519"/>
    <w:rsid w:val="00191C82"/>
    <w:rsid w:val="001B788D"/>
    <w:rsid w:val="001C4003"/>
    <w:rsid w:val="001D4DBF"/>
    <w:rsid w:val="001E75CA"/>
    <w:rsid w:val="002265FF"/>
    <w:rsid w:val="00232D38"/>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3F38DE"/>
    <w:rsid w:val="00400081"/>
    <w:rsid w:val="0040096C"/>
    <w:rsid w:val="00414F1F"/>
    <w:rsid w:val="0043125D"/>
    <w:rsid w:val="0043502B"/>
    <w:rsid w:val="004443AC"/>
    <w:rsid w:val="00444B02"/>
    <w:rsid w:val="00451E28"/>
    <w:rsid w:val="00462C62"/>
    <w:rsid w:val="00465D36"/>
    <w:rsid w:val="00475D1D"/>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E7FF2"/>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0A1E"/>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4BDF"/>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85345"/>
    <w:rsid w:val="00CC7622"/>
    <w:rsid w:val="00CD608F"/>
    <w:rsid w:val="00CF6BB7"/>
    <w:rsid w:val="00D04AA4"/>
    <w:rsid w:val="00D140FB"/>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16CCC"/>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E5127"/>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168D4352"/>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c269d4ae6d7f4d6f"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D24CF1" w:rsidP="00D24CF1">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D24CF1" w:rsidP="00D24CF1">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D24CF1"/>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24CF1"/>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D24CF1"/>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D24CF1"/>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152</TotalTime>
  <Pages>1</Pages>
  <Words>183</Words>
  <Characters>915</Characters>
  <Application>Microsoft Office Word</Application>
  <DocSecurity>0</DocSecurity>
  <Lines>7</Lines>
  <Paragraphs>2</Paragraphs>
  <ScaleCrop>false</ScaleCrop>
  <Company>Microsoft Corporation</Company>
  <LinksUpToDate>false</LinksUpToDate>
  <CharactersWithSpaces>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זהבה קאודרס-בנר</cp:lastModifiedBy>
  <cp:revision>131</cp:revision>
  <dcterms:created xsi:type="dcterms:W3CDTF">2012-08-06T05:16:00Z</dcterms:created>
  <dcterms:modified xsi:type="dcterms:W3CDTF">2018-04-12T11:57:00Z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