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A27180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B7343" w:rsidRDefault="00BB169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D7873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D7873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2718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A27180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AD7873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ראיד כנאענה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A27180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</w:p>
    <w:p w:rsidR="00A27180" w:rsidRPr="00A27180" w:rsidRDefault="00A27180" w:rsidP="002E5BEB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  <w:r w:rsidRPr="00A27180">
        <w:rPr>
          <w:rFonts w:ascii="Tahoma" w:hAnsi="Tahoma"/>
          <w:noProof w:val="0"/>
          <w:rtl/>
        </w:rPr>
        <w:t xml:space="preserve">לאור </w:t>
      </w:r>
      <w:r w:rsidRPr="00A27180">
        <w:rPr>
          <w:rFonts w:ascii="Tahoma" w:hAnsi="Tahoma" w:hint="cs"/>
          <w:noProof w:val="0"/>
          <w:rtl/>
        </w:rPr>
        <w:t>בקשת המאשימה</w:t>
      </w:r>
      <w:r w:rsidRPr="00A27180">
        <w:rPr>
          <w:rFonts w:ascii="Tahoma" w:hAnsi="Tahoma"/>
          <w:noProof w:val="0"/>
          <w:rtl/>
        </w:rPr>
        <w:t>, הדי</w:t>
      </w:r>
      <w:r w:rsidRPr="00A27180">
        <w:rPr>
          <w:rFonts w:ascii="Tahoma" w:hAnsi="Tahoma" w:hint="cs"/>
          <w:noProof w:val="0"/>
          <w:rtl/>
        </w:rPr>
        <w:t>ו</w:t>
      </w:r>
      <w:r w:rsidRPr="00A27180">
        <w:rPr>
          <w:rFonts w:ascii="Tahoma" w:hAnsi="Tahoma"/>
          <w:noProof w:val="0"/>
          <w:rtl/>
        </w:rPr>
        <w:t xml:space="preserve">ן נדחה ליום </w:t>
      </w:r>
      <w:r w:rsidR="002E5BEB">
        <w:rPr>
          <w:rFonts w:ascii="Tahoma" w:hAnsi="Tahoma" w:hint="cs"/>
          <w:noProof w:val="0"/>
          <w:rtl/>
        </w:rPr>
        <w:t>08</w:t>
      </w:r>
      <w:r w:rsidRPr="00A27180">
        <w:rPr>
          <w:rFonts w:ascii="Tahoma" w:hAnsi="Tahoma"/>
          <w:noProof w:val="0"/>
          <w:rtl/>
        </w:rPr>
        <w:t>.</w:t>
      </w:r>
      <w:r w:rsidR="002E5BEB">
        <w:rPr>
          <w:rFonts w:ascii="Tahoma" w:hAnsi="Tahoma" w:hint="cs"/>
          <w:noProof w:val="0"/>
          <w:rtl/>
        </w:rPr>
        <w:t>07</w:t>
      </w:r>
      <w:r w:rsidRPr="00A27180">
        <w:rPr>
          <w:rFonts w:ascii="Tahoma" w:hAnsi="Tahoma"/>
          <w:noProof w:val="0"/>
          <w:rtl/>
        </w:rPr>
        <w:t xml:space="preserve">.2018 שעה </w:t>
      </w:r>
      <w:r w:rsidR="002E5BEB">
        <w:rPr>
          <w:rFonts w:ascii="Tahoma" w:hAnsi="Tahoma" w:hint="cs"/>
          <w:noProof w:val="0"/>
          <w:rtl/>
        </w:rPr>
        <w:t>09</w:t>
      </w:r>
      <w:bookmarkStart w:id="1" w:name="_GoBack"/>
      <w:bookmarkEnd w:id="1"/>
      <w:r w:rsidRPr="00A27180">
        <w:rPr>
          <w:rFonts w:ascii="Tahoma" w:hAnsi="Tahoma"/>
          <w:noProof w:val="0"/>
          <w:rtl/>
        </w:rPr>
        <w:t xml:space="preserve">:00. </w:t>
      </w:r>
    </w:p>
    <w:p w:rsidR="00A27180" w:rsidRPr="00A27180" w:rsidRDefault="00A27180" w:rsidP="00A27180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="00694556" w:rsidRPr="00A27180" w:rsidRDefault="00A27180" w:rsidP="00A27180">
      <w:pPr>
        <w:spacing w:line="360" w:lineRule="auto"/>
        <w:jc w:val="both"/>
        <w:rPr>
          <w:rFonts w:ascii="Arial" w:hAnsi="Arial"/>
          <w:noProof w:val="0"/>
          <w:rtl/>
        </w:rPr>
      </w:pPr>
      <w:r w:rsidRPr="00A27180">
        <w:rPr>
          <w:rFonts w:ascii="Tahoma" w:hAnsi="Tahoma"/>
          <w:noProof w:val="0"/>
          <w:rtl/>
        </w:rPr>
        <w:t>באחריות המאשימה להודיע לנאשם על ביטול מועד הדיון ולזמנ</w:t>
      </w:r>
      <w:r w:rsidRPr="00A27180">
        <w:rPr>
          <w:rFonts w:ascii="Tahoma" w:hAnsi="Tahoma" w:hint="cs"/>
          <w:noProof w:val="0"/>
          <w:rtl/>
        </w:rPr>
        <w:t>ו</w:t>
      </w:r>
      <w:r w:rsidRPr="00A27180">
        <w:rPr>
          <w:rFonts w:ascii="Tahoma" w:hAnsi="Tahoma"/>
          <w:noProof w:val="0"/>
          <w:rtl/>
        </w:rPr>
        <w:t xml:space="preserve"> למועד החדש</w:t>
      </w:r>
      <w:r w:rsidRPr="00A27180">
        <w:rPr>
          <w:rFonts w:ascii="Arial" w:hAnsi="Arial" w:hint="cs"/>
          <w:noProof w:val="0"/>
          <w:rtl/>
        </w:rPr>
        <w:t>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AD7873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237165168"/>
        </w:sdtPr>
        <w:sdtEndPr/>
        <w:sdtContent>
          <w:r w:rsidR="00AD7873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80" w:rsidRDefault="00A2718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D78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D78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80" w:rsidRDefault="00A271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80" w:rsidRDefault="00A2718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5B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D78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29717-08-16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כנאענה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80" w:rsidRDefault="00A271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819253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819253&amp;lt;/CaseID&amp;gt;_x000d__x000a_        &amp;lt;DocumentID&amp;gt;265751472&amp;lt;/DocumentID&amp;gt;_x000d__x000a_      &amp;lt;/dt_DocumentCase&amp;gt;_x000d__x000a_      &amp;lt;dt_Document diffgr:id=&amp;quot;dt_Document1&amp;quot; msdata:rowOrder=&amp;quot;0&amp;quot;&amp;gt;_x000d__x000a_        &amp;lt;DocumentID&amp;gt;265751472&amp;lt;/DocumentID&amp;gt;_x000d__x000a_        &amp;lt;DocumentMainID&amp;gt;0&amp;lt;/DocumentMainID&amp;gt;_x000d__x000a_        &amp;lt;CaseID&amp;gt;73819253&amp;lt;/CaseID&amp;gt;_x000d__x000a_        &amp;lt;DocumentIncludedDate&amp;gt;2018-04-11T11:21:26.147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21:26.147+03:00&amp;lt;/DocumentSavingDate&amp;gt;_x000d__x000a_        &amp;lt;DocumentChangeDate&amp;gt;2018-04-11T11:21:26.29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21:26.29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48835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f994cbb362010000090037f6940ce267&amp;lt;/FileID&amp;gt;_x000d__x000a_        &amp;lt;URL&amp;gt;\\CTLNFSV02\doc_repository\113\559\242fbeb362010000090037f6940cce37_copy.docx&amp;lt;/URL&amp;gt;_x000d__x000a_        &amp;lt;OlivePriority&amp;gt;1&amp;lt;/OlivePriority&amp;gt;_x000d__x000a_        &amp;lt;MetaDataTypeID&amp;gt;1&amp;lt;/MetaDataTypeID&amp;gt;_x000d__x000a_        &amp;lt;MetaDataChangeDate&amp;gt;2018-04-11T11:21:26.29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06:51.1341688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06:51.13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5BEB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7180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7873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1695"/>
    <w:rsid w:val="00BB3D05"/>
    <w:rsid w:val="00BB7343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93E5A2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02C33" w:rsidP="00502C3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02C33" w:rsidP="00502C3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02C33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C3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02C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02C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