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F639B" w:rsidTr="00B7693D">
        <w:trPr>
          <w:jc w:val="center"/>
        </w:trPr>
        <w:tc>
          <w:tcPr>
            <w:tcW w:w="8820" w:type="dxa"/>
            <w:hideMark/>
          </w:tcPr>
          <w:p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p w:rsidR="00043EAE" w:rsidP="00043EAE" w:rsidRDefault="00043EAE">
      <w:pPr>
        <w:rPr>
          <w:rtl/>
        </w:rPr>
      </w:pPr>
      <w:r>
        <w:rPr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12"/>
        <w:gridCol w:w="5529"/>
      </w:tblGrid>
      <w:tr w:rsidR="00043EAE">
        <w:trPr>
          <w:trHeight w:val="295"/>
          <w:jc w:val="center"/>
        </w:trPr>
        <w:tc>
          <w:tcPr>
            <w:tcW w:w="8820" w:type="dxa"/>
            <w:gridSpan w:val="4"/>
          </w:tcPr>
          <w:p w:rsidR="00043EAE" w:rsidP="001F639B" w:rsidRDefault="001F639B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</w:p>
        </w:tc>
      </w:tr>
      <w:tr w:rsidR="00043EAE" w:rsidTr="00043EAE">
        <w:trPr>
          <w:trHeight w:val="295"/>
          <w:jc w:val="center"/>
        </w:trPr>
        <w:tc>
          <w:tcPr>
            <w:tcW w:w="608" w:type="dxa"/>
          </w:tcPr>
          <w:p w:rsidR="00043EAE" w:rsidRDefault="00043E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043EAE" w:rsidRDefault="007C5F8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043EA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043EA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שרה שדיאור</w:t>
                </w:r>
              </w:sdtContent>
            </w:sdt>
          </w:p>
          <w:p w:rsidR="00043EAE" w:rsidRDefault="00043E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804436164"/>
              <w:text w:multiLine="1"/>
            </w:sdtPr>
            <w:sdtEndPr/>
            <w:sdtContent>
              <w:p w:rsidR="00244677" w:rsidRDefault="00872C75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43EAE" w:rsidRDefault="003442B5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היא אטרש</w:t>
                </w:r>
              </w:sdtContent>
            </w:sdt>
          </w:p>
        </w:tc>
      </w:tr>
      <w:tr w:rsidR="00043EAE">
        <w:trPr>
          <w:jc w:val="center"/>
        </w:trPr>
        <w:tc>
          <w:tcPr>
            <w:tcW w:w="8820" w:type="dxa"/>
            <w:gridSpan w:val="4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3442B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3442B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70774192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043EA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משרד החינוך/היועצת המשפטית</w:t>
                </w:r>
              </w:sdtContent>
            </w:sdt>
          </w:p>
          <w:p w:rsidR="00043EAE" w:rsidRDefault="003442B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28007164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043EA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59330184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רשת עמל 1 בע"מ (חל"צ)</w:t>
                </w:r>
              </w:sdtContent>
            </w:sdt>
          </w:p>
        </w:tc>
      </w:tr>
      <w:tr w:rsidR="00375235" w:rsidTr="001A6DFF">
        <w:trPr>
          <w:jc w:val="center"/>
        </w:trPr>
        <w:tc>
          <w:tcPr>
            <w:tcW w:w="8820" w:type="dxa"/>
            <w:gridSpan w:val="4"/>
          </w:tcPr>
          <w:p w:rsidRPr="007C02BD"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375235" w:rsidTr="00375235">
        <w:trPr>
          <w:jc w:val="center"/>
        </w:trPr>
        <w:tc>
          <w:tcPr>
            <w:tcW w:w="3291" w:type="dxa"/>
            <w:gridSpan w:val="3"/>
          </w:tcPr>
          <w:p w:rsidR="00375235" w:rsidP="00375235" w:rsidRDefault="003752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29" w:type="dxa"/>
          </w:tcPr>
          <w:p w:rsidR="00244677" w:rsidRDefault="00244677">
            <w:pPr>
              <w:rPr>
                <w:rFonts w:cs="Times New Roman"/>
              </w:rPr>
            </w:pPr>
          </w:p>
        </w:tc>
      </w:tr>
    </w:tbl>
    <w:p w:rsidR="00043EAE" w:rsidP="00043EAE" w:rsidRDefault="00043EAE">
      <w:pPr>
        <w:rPr>
          <w:rtl/>
        </w:rPr>
      </w:pPr>
    </w:p>
    <w:p w:rsidR="00043EAE" w:rsidRDefault="00043EAE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511439" w:rsidP="00511439" w:rsidRDefault="00511439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בפני בית הדין בקשות שונות נדון בהן כסדרן.</w:t>
      </w:r>
    </w:p>
    <w:p w:rsidR="003A1911" w:rsidP="00511439" w:rsidRDefault="00511439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בפני בקשת התובעת למחיקת הנתבעת 2 שהוגשה אחרי סיום ההוכחות בהליך </w:t>
      </w:r>
      <w:r w:rsidR="00CC3298">
        <w:rPr>
          <w:rFonts w:hint="cs" w:ascii="Arial" w:hAnsi="Arial"/>
          <w:rtl/>
        </w:rPr>
        <w:t xml:space="preserve">ואחרי הגשת סיכומי התובע  </w:t>
      </w:r>
      <w:r>
        <w:rPr>
          <w:rFonts w:hint="cs" w:ascii="Arial" w:hAnsi="Arial"/>
          <w:rtl/>
        </w:rPr>
        <w:t>ביום 8/4/18 לטענתה נוכח ההסכמות שגובשו ודחית מועד השימוע , התייתרה נוכחות הנתבעת 2 בהליך.</w:t>
      </w:r>
    </w:p>
    <w:p w:rsidR="00846B70" w:rsidP="00846B70" w:rsidRDefault="00511439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לפני התנגדות הנתבעת 2 למחיקה. </w:t>
      </w:r>
      <w:r w:rsidR="00846B70">
        <w:rPr>
          <w:rFonts w:hint="cs" w:ascii="Arial" w:hAnsi="Arial"/>
          <w:rtl/>
        </w:rPr>
        <w:t>וכן תשובה לתגובה.</w:t>
      </w:r>
    </w:p>
    <w:p w:rsidRPr="00846B70" w:rsidR="00511439" w:rsidP="00846B70" w:rsidRDefault="00846B70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הנתבעת 2חלקה על העובדות בבקשה לעניין מועדי הפניה למחיקה, וציינה כי עמל זו שפנתה למחיקה בתחילת ההליך וכי התובעת סירבה , וב"כ התובעת טען אחרת.אין בדעתי להיכנס לטענות ב"כ הצדדים על ההתנהלות ביניהם ואבדוק הבקשה לגופו של עניין.</w:t>
      </w:r>
    </w:p>
    <w:p w:rsidR="00511439" w:rsidP="00846B70" w:rsidRDefault="00846B70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לגופו </w:t>
      </w:r>
      <w:r w:rsidR="00511439">
        <w:rPr>
          <w:rFonts w:hint="cs" w:ascii="Arial" w:hAnsi="Arial"/>
          <w:rtl/>
        </w:rPr>
        <w:t xml:space="preserve"> טענה כי מועד הבקשה בא להימנע מהוצאות</w:t>
      </w:r>
      <w:r>
        <w:rPr>
          <w:rFonts w:hint="cs" w:ascii="Arial" w:hAnsi="Arial"/>
          <w:rtl/>
        </w:rPr>
        <w:t xml:space="preserve">, וכי הייתה מעורבת </w:t>
      </w:r>
      <w:r w:rsidR="007C02BD">
        <w:rPr>
          <w:rFonts w:hint="cs" w:ascii="Arial" w:hAnsi="Arial"/>
          <w:rtl/>
        </w:rPr>
        <w:t xml:space="preserve">מהותית </w:t>
      </w:r>
      <w:r>
        <w:rPr>
          <w:rFonts w:hint="cs" w:ascii="Arial" w:hAnsi="Arial"/>
          <w:rtl/>
        </w:rPr>
        <w:t>בהליך לגופו ועלולה להנזק כספית</w:t>
      </w:r>
      <w:r w:rsidR="007C02BD">
        <w:rPr>
          <w:rFonts w:hint="cs" w:ascii="Arial" w:hAnsi="Arial"/>
          <w:rtl/>
        </w:rPr>
        <w:t xml:space="preserve"> בין היתר בעיצומים כספיים ממשרד החינוך</w:t>
      </w:r>
      <w:r w:rsidR="00AE4FCB">
        <w:rPr>
          <w:rFonts w:hint="cs" w:ascii="Arial" w:hAnsi="Arial"/>
          <w:rtl/>
        </w:rPr>
        <w:t>.</w:t>
      </w:r>
    </w:p>
    <w:p w:rsidR="00CC3298" w:rsidP="00511439" w:rsidRDefault="00CC3298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לאחר ששקלתי מצאתי כי אין למחוק את הנתבעת 2 מההליך בשלב בו הוגשה הבקשה. שיקולי מחיקה וזכות התובע למחוק פורטו בהרחבה בפסק דינו של כב' הש' גולדברג מיום 3/1/18 בצ"ו 344448-07-17 בעניינה של תובעת זו.</w:t>
      </w:r>
    </w:p>
    <w:p w:rsidR="00CC3298" w:rsidP="00511439" w:rsidRDefault="00CC3298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מחי</w:t>
      </w:r>
      <w:r w:rsidR="0026185F">
        <w:rPr>
          <w:rFonts w:hint="cs" w:ascii="Arial" w:hAnsi="Arial"/>
          <w:rtl/>
        </w:rPr>
        <w:t>קה משמעה כי  לא נוצר מעשה בית דין כלפי הנתבעת 2.</w:t>
      </w:r>
    </w:p>
    <w:p w:rsidR="0026185F" w:rsidP="00511439" w:rsidRDefault="0026185F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עוד קיים העניין הציבורי</w:t>
      </w:r>
      <w:r w:rsidR="00AE4FCB">
        <w:rPr>
          <w:rFonts w:hint="cs" w:ascii="Arial" w:hAnsi="Arial"/>
          <w:rtl/>
        </w:rPr>
        <w:t xml:space="preserve"> בסיום ההתדיינות, בפרט בהליך זה ונוכח גילגוליו השונים.</w:t>
      </w:r>
    </w:p>
    <w:p w:rsidR="0026185F" w:rsidP="0026185F" w:rsidRDefault="0026185F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לכך יש להוסיף את השלב, לאחר שהנתבעת 2 הייתה שותפה לו מעשית לרבות הוכחות והבאת עד, </w:t>
      </w:r>
      <w:r w:rsidR="007C02BD">
        <w:rPr>
          <w:rFonts w:hint="cs" w:ascii="Arial" w:hAnsi="Arial"/>
          <w:rtl/>
        </w:rPr>
        <w:t xml:space="preserve">חשופה לנזק כספי, </w:t>
      </w:r>
      <w:r>
        <w:rPr>
          <w:rFonts w:hint="cs" w:ascii="Arial" w:hAnsi="Arial"/>
          <w:rtl/>
        </w:rPr>
        <w:t>ובפרט נוכח האמור בהחלטה מיום 27/3/18 הנוגעת ישירות לנתבעת 2:"</w:t>
      </w:r>
      <w:r w:rsidRPr="007C02BD">
        <w:rPr>
          <w:rFonts w:hint="cs" w:ascii="Arial" w:hAnsi="Arial"/>
          <w:b/>
          <w:bCs/>
          <w:rtl/>
        </w:rPr>
        <w:t>עוד מוסכם כי על בית הדין להחליט בהתאמה למה שיפסק בעניין החלטת השר , בעניין השימוע מטעם עמל</w:t>
      </w:r>
      <w:r>
        <w:rPr>
          <w:rFonts w:hint="cs" w:ascii="Arial" w:hAnsi="Arial"/>
          <w:rtl/>
        </w:rPr>
        <w:t>."</w:t>
      </w:r>
    </w:p>
    <w:p w:rsidR="0026185F" w:rsidP="0026185F" w:rsidRDefault="0026185F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lastRenderedPageBreak/>
        <w:t xml:space="preserve">משכך אין מקום מהותית למחוק את עמל מהתביעה בכלל וודאי לא בשלב זה. הבקשה נדחית. הוצאותיה </w:t>
      </w:r>
      <w:r w:rsidR="00846B70">
        <w:rPr>
          <w:rFonts w:hint="cs" w:ascii="Arial" w:hAnsi="Arial"/>
          <w:rtl/>
        </w:rPr>
        <w:t>ילקחו בחשבון ו</w:t>
      </w:r>
      <w:r>
        <w:rPr>
          <w:rFonts w:hint="cs" w:ascii="Arial" w:hAnsi="Arial"/>
          <w:rtl/>
        </w:rPr>
        <w:t>יפסקו יחדיו</w:t>
      </w:r>
      <w:r w:rsidR="00846B70">
        <w:rPr>
          <w:rFonts w:hint="cs" w:ascii="Arial" w:hAnsi="Arial"/>
          <w:rtl/>
        </w:rPr>
        <w:t xml:space="preserve"> עם ההוצאות שיפסקו בהליך העיקרי.</w:t>
      </w:r>
    </w:p>
    <w:p w:rsidR="00846B70" w:rsidP="00AE4FCB" w:rsidRDefault="00846B70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בפני </w:t>
      </w:r>
      <w:r w:rsidR="00AE4FCB">
        <w:rPr>
          <w:rFonts w:hint="cs" w:ascii="Arial" w:hAnsi="Arial"/>
          <w:rtl/>
        </w:rPr>
        <w:t>בקשת התובעת להו</w:t>
      </w:r>
      <w:r>
        <w:rPr>
          <w:rFonts w:hint="cs" w:ascii="Arial" w:hAnsi="Arial"/>
          <w:rtl/>
        </w:rPr>
        <w:t xml:space="preserve">ציא </w:t>
      </w:r>
      <w:r w:rsidR="00AE4FCB">
        <w:rPr>
          <w:rFonts w:hint="cs" w:ascii="Arial" w:hAnsi="Arial"/>
          <w:rtl/>
        </w:rPr>
        <w:t>את נספח 2 מסיכומי הנתבעת 2</w:t>
      </w:r>
      <w:r>
        <w:rPr>
          <w:rFonts w:hint="cs" w:ascii="Arial" w:hAnsi="Arial"/>
          <w:rtl/>
        </w:rPr>
        <w:t xml:space="preserve"> ולמחוק סעיפים מסיכומי הנתבעת 2 . הנתבעת 2 צירפה לסיכומיה , פרט לנ/1 ונ/2 גם התכתבות במסרון של </w:t>
      </w:r>
      <w:r w:rsidR="00AE4FCB">
        <w:rPr>
          <w:rFonts w:hint="cs" w:ascii="Arial" w:hAnsi="Arial"/>
          <w:rtl/>
        </w:rPr>
        <w:t xml:space="preserve">המנהל </w:t>
      </w:r>
      <w:r>
        <w:rPr>
          <w:rFonts w:hint="cs" w:ascii="Arial" w:hAnsi="Arial"/>
          <w:rtl/>
        </w:rPr>
        <w:t xml:space="preserve"> שלא הופיע למתן עדות.</w:t>
      </w:r>
    </w:p>
    <w:p w:rsidR="00846B70" w:rsidP="00846B70" w:rsidRDefault="00846B70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טוען ב"כ התובעת כי </w:t>
      </w:r>
      <w:r w:rsidR="00AE4FCB">
        <w:rPr>
          <w:rFonts w:hint="cs" w:ascii="Arial" w:hAnsi="Arial"/>
          <w:rtl/>
        </w:rPr>
        <w:t>יש בכך לפגוע בזכותו משהמנהל לא נחקר ולא נתנה לו הזדמנות לברר את עניין המסרון.</w:t>
      </w:r>
    </w:p>
    <w:p w:rsidR="00AE4FCB" w:rsidP="00AE4FCB" w:rsidRDefault="00AE4FCB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אין צורך בתגובת הנתבעת 2 לבקשה זו.</w:t>
      </w:r>
      <w:r w:rsidR="007C02BD">
        <w:rPr>
          <w:rFonts w:hint="cs" w:ascii="Arial" w:hAnsi="Arial"/>
          <w:rtl/>
        </w:rPr>
        <w:t xml:space="preserve">שכן </w:t>
      </w:r>
      <w:r>
        <w:rPr>
          <w:rFonts w:hint="cs" w:ascii="Arial" w:hAnsi="Arial"/>
          <w:rtl/>
        </w:rPr>
        <w:t xml:space="preserve"> צירוף ראיה בסיכומים, אינה מותרת ויש להוציא את נספח 2 לסיכומים- המסרון, ממנו. הוא לא ילקח בחשבון כלל בפסק הדין.נ/1 ו-נ/2 הוגשו כדין וייותרו בהליך.</w:t>
      </w:r>
    </w:p>
    <w:p w:rsidR="00AE4FCB" w:rsidP="00AE4FCB" w:rsidRDefault="00AE4FCB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באשר למחיקת סעיפי הסיכומים של הנתבעת 2 בדקתי ומצאתי כי </w:t>
      </w:r>
      <w:r w:rsidR="00872C75">
        <w:rPr>
          <w:rFonts w:hint="cs" w:ascii="Arial" w:hAnsi="Arial"/>
          <w:rtl/>
        </w:rPr>
        <w:t>סעיפים 42,43,44, 45 הם הרלוונטים לנספח 2, ואף שמחיקת סעיפים מסיכומים חריגה היא, בנסיבות אלה של הוספת מסמך לסיכומים יש למחוק את הסעיפים המתייחסים אליו ישירות. סעיפים אלו ימחקו.</w:t>
      </w:r>
    </w:p>
    <w:p w:rsidR="00872C75" w:rsidP="00AE4FCB" w:rsidRDefault="00872C75">
      <w:pPr>
        <w:pStyle w:val="ab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אף נוכח הוספת המסמך, היה מקום להשית הוצאות מועטות על הנתבעת 2, אף אלו ילקחו בחשבון בסופו של ההליך.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CB1707" w:rsidRDefault="009F2145">
      <w:pPr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FE6B15" w:rsidRDefault="003442B5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b6e9eeee6d644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P="00CB1707" w:rsidRDefault="003A1911">
      <w:pPr>
        <w:jc w:val="both"/>
        <w:rPr>
          <w:rFonts w:ascii="Arial" w:hAnsi="Arial"/>
          <w:rtl/>
        </w:rPr>
      </w:pPr>
    </w:p>
    <w:p w:rsidR="003A1911" w:rsidP="00CB1707" w:rsidRDefault="003A1911">
      <w:pPr>
        <w:jc w:val="both"/>
        <w:rPr>
          <w:rtl/>
        </w:rPr>
      </w:pPr>
    </w:p>
    <w:sectPr w:rsidR="003A1911" w:rsidSect="003F0CF4">
      <w:headerReference w:type="default" r:id="rId9"/>
      <w:footerReference w:type="default" r:id="rId10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3442B5">
      <w:rPr>
        <w:rtl/>
      </w:rPr>
      <w:t>2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3442B5">
      <w:rPr>
        <w:rtl/>
      </w:rPr>
      <w:t>2</w:t>
    </w:r>
    <w:r w:rsidR="00C05A6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3442B5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1"/>
      <w:gridCol w:w="1049"/>
      <w:gridCol w:w="3575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דין אזורי לעבודה בירושלים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3442B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פ"ה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47682-03-18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אטרש נ' משרד החינוך/היועצת המשפטית ואח'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showingPlcHdr/>
              <w:text w:multiLine="1"/>
            </w:sdtPr>
            <w:sdtEndPr/>
            <w:sdtContent>
              <w:r w:rsidR="00005572">
                <w:rPr>
                  <w:sz w:val="20"/>
                  <w:szCs w:val="20"/>
                  <w:highlight w:val="yellow"/>
                  <w:rtl/>
                </w:rPr>
                <w:t>מספר תיק חיצוני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E5143"/>
    <w:multiLevelType w:val="hybridMultilevel"/>
    <w:tmpl w:val="5C5E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6217E"/>
    <w:rsid w:val="00092D45"/>
    <w:rsid w:val="000E28A5"/>
    <w:rsid w:val="000E33CF"/>
    <w:rsid w:val="00102136"/>
    <w:rsid w:val="001046DE"/>
    <w:rsid w:val="00167840"/>
    <w:rsid w:val="001F639B"/>
    <w:rsid w:val="00222585"/>
    <w:rsid w:val="00244677"/>
    <w:rsid w:val="0025767C"/>
    <w:rsid w:val="0026185F"/>
    <w:rsid w:val="002B2641"/>
    <w:rsid w:val="002B2CFE"/>
    <w:rsid w:val="003442B5"/>
    <w:rsid w:val="00371133"/>
    <w:rsid w:val="00375235"/>
    <w:rsid w:val="00386811"/>
    <w:rsid w:val="00390A38"/>
    <w:rsid w:val="003A1911"/>
    <w:rsid w:val="003E3C58"/>
    <w:rsid w:val="003F0CF4"/>
    <w:rsid w:val="004238F7"/>
    <w:rsid w:val="004A3248"/>
    <w:rsid w:val="004C4C98"/>
    <w:rsid w:val="004F5549"/>
    <w:rsid w:val="004F7063"/>
    <w:rsid w:val="004F77B2"/>
    <w:rsid w:val="00511439"/>
    <w:rsid w:val="005624C8"/>
    <w:rsid w:val="005C6270"/>
    <w:rsid w:val="005F5210"/>
    <w:rsid w:val="00616468"/>
    <w:rsid w:val="00681B45"/>
    <w:rsid w:val="00696790"/>
    <w:rsid w:val="006F6E66"/>
    <w:rsid w:val="00752FC5"/>
    <w:rsid w:val="007B3911"/>
    <w:rsid w:val="007C02BD"/>
    <w:rsid w:val="007C5F81"/>
    <w:rsid w:val="008239A3"/>
    <w:rsid w:val="00846B70"/>
    <w:rsid w:val="00866C0C"/>
    <w:rsid w:val="00872C75"/>
    <w:rsid w:val="00875098"/>
    <w:rsid w:val="008B49FF"/>
    <w:rsid w:val="009051BC"/>
    <w:rsid w:val="0092072C"/>
    <w:rsid w:val="0092779C"/>
    <w:rsid w:val="00954BCB"/>
    <w:rsid w:val="00957535"/>
    <w:rsid w:val="00970F0E"/>
    <w:rsid w:val="0097214E"/>
    <w:rsid w:val="00984789"/>
    <w:rsid w:val="009E586C"/>
    <w:rsid w:val="009F2145"/>
    <w:rsid w:val="00A6245C"/>
    <w:rsid w:val="00A72B43"/>
    <w:rsid w:val="00A81306"/>
    <w:rsid w:val="00AD797D"/>
    <w:rsid w:val="00AE0AA3"/>
    <w:rsid w:val="00AE3B96"/>
    <w:rsid w:val="00AE4FCB"/>
    <w:rsid w:val="00B00415"/>
    <w:rsid w:val="00B71FCB"/>
    <w:rsid w:val="00B76678"/>
    <w:rsid w:val="00BA3040"/>
    <w:rsid w:val="00BD03E3"/>
    <w:rsid w:val="00C00BFE"/>
    <w:rsid w:val="00C05A6E"/>
    <w:rsid w:val="00C30866"/>
    <w:rsid w:val="00C77094"/>
    <w:rsid w:val="00CB1707"/>
    <w:rsid w:val="00CC0863"/>
    <w:rsid w:val="00CC3298"/>
    <w:rsid w:val="00CE45CA"/>
    <w:rsid w:val="00D34C8D"/>
    <w:rsid w:val="00D56ED0"/>
    <w:rsid w:val="00D62B66"/>
    <w:rsid w:val="00DD1940"/>
    <w:rsid w:val="00E60AEB"/>
    <w:rsid w:val="00EC73E8"/>
    <w:rsid w:val="00F1350B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1C11150C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  <w:style w:type="paragraph" w:styleId="ab">
    <w:name w:val="List Paragraph"/>
    <w:basedOn w:val="a"/>
    <w:uiPriority w:val="34"/>
    <w:qFormat/>
    <w:rsid w:val="0051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b6e9eeee6d644a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7D17E9" w:rsidP="007D17E9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7D17E9" w:rsidP="007D17E9">
          <w:pPr>
            <w:pStyle w:val="B0B6E72C50AB41EF904B48D87CB16E0C5"/>
          </w:pPr>
          <w:r>
            <w:rPr>
              <w:sz w:val="20"/>
              <w:szCs w:val="20"/>
              <w:highlight w:val="yellow"/>
              <w:rtl/>
            </w:rPr>
            <w:t>מספר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27509A"/>
    <w:rsid w:val="0035638D"/>
    <w:rsid w:val="004A3913"/>
    <w:rsid w:val="004F2E86"/>
    <w:rsid w:val="00536E09"/>
    <w:rsid w:val="00621DCD"/>
    <w:rsid w:val="0077714D"/>
    <w:rsid w:val="007D17E9"/>
    <w:rsid w:val="00942611"/>
    <w:rsid w:val="009C78EA"/>
    <w:rsid w:val="00B112AB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7E9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7D17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5">
    <w:name w:val="B0B6E72C50AB41EF904B48D87CB16E0C5"/>
    <w:rsid w:val="007D17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397</Words>
  <Characters>1989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שרה שדיאור</cp:lastModifiedBy>
  <cp:revision>46</cp:revision>
  <dcterms:created xsi:type="dcterms:W3CDTF">2012-08-06T05:07:00Z</dcterms:created>
  <dcterms:modified xsi:type="dcterms:W3CDTF">2018-04-12T12:08:00Z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