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cs"/>
          <w:b/>
          <w:bCs/>
          <w:sz w:val="28"/>
          <w:szCs w:val="28"/>
          <w:rtl/>
        </w:rPr>
        <w:alias w:val="1456"/>
        <w:tag w:val="1456"/>
        <w:id w:val="1874033803"/>
        <w:placeholder>
          <w:docPart w:val="DefaultPlaceholder_1082065158"/>
        </w:placeholder>
        <w:text w:multiLine="1"/>
      </w:sdtPr>
      <w:sdtEndPr/>
      <w:sdtContent>
        <w:p>
          <w:pPr>
            <w:spacing w:line="360" w:lineRule="auto"/>
            <w:jc w:val="right"/>
            <w:rPr>
              <w:b/>
              <w:bCs/>
              <w:sz w:val="28"/>
              <w:szCs w:val="28"/>
              <w:rtl/>
            </w:rPr>
          </w:pPr>
          <w:r>
            <w:rPr>
              <w:rFonts w:hint="eastAsia"/>
              <w:b/>
              <w:bCs/>
              <w:sz w:val="28"/>
              <w:szCs w:val="28"/>
              <w:rtl/>
            </w:rPr>
            <w:t>12 אפריל 2018</w:t>
          </w:r>
        </w:p>
      </w:sdtContent>
    </w:sdt>
    <w:p w:rsidR="002C1C43" w:rsidP="002C1C43" w:rsidRDefault="002C1C43">
      <w:pPr>
        <w:spacing w:line="360" w:lineRule="auto"/>
        <w:rPr>
          <w:b/>
          <w:bCs/>
          <w:sz w:val="28"/>
          <w:szCs w:val="28"/>
          <w:rtl/>
        </w:rPr>
      </w:pPr>
      <w:r>
        <w:rPr>
          <w:rFonts w:hint="cs"/>
          <w:b/>
          <w:bCs/>
          <w:sz w:val="28"/>
          <w:szCs w:val="28"/>
          <w:rtl/>
        </w:rPr>
        <w:t xml:space="preserve">לפני: </w:t>
      </w:r>
    </w:p>
    <w:p w:rsidR="00E8170A" w:rsidP="00E8170A" w:rsidRDefault="000F7E9E">
      <w:pPr>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נשיא</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מירון שוורץ</w:t>
          </w:r>
        </w:sdtContent>
      </w:sdt>
      <w:r w:rsidR="00E8170A">
        <w:rPr>
          <w:b/>
          <w:bCs/>
          <w:sz w:val="28"/>
          <w:szCs w:val="28"/>
          <w:rtl/>
        </w:rPr>
        <w:t xml:space="preserve"> </w:t>
      </w:r>
    </w:p>
    <w:p w:rsidRPr="001B488B" w:rsidR="002C1C43" w:rsidP="00E8704B"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C71F5D">
        <w:trPr>
          <w:trHeight w:val="661"/>
        </w:trPr>
        <w:tc>
          <w:tcPr>
            <w:tcW w:w="3396"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r w:rsidR="009E0207">
                  <w:rPr>
                    <w:rStyle w:val="ac"/>
                    <w:rFonts w:hint="cs"/>
                    <w:b/>
                    <w:bCs/>
                    <w:color w:val="auto"/>
                    <w:sz w:val="28"/>
                    <w:szCs w:val="28"/>
                    <w:u w:val="single"/>
                    <w:rtl/>
                  </w:rPr>
                  <w:t>ת</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C71F5D" w:rsidR="002C1C43" w:rsidP="005D0F78" w:rsidRDefault="00E33AF6">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אור נחום</w:t>
                </w:r>
              </w:sdtContent>
            </w:sdt>
          </w:p>
          <w:p w:rsidR="00C71F5D" w:rsidP="00C71F5D" w:rsidRDefault="00C71F5D">
            <w:pPr>
              <w:rPr>
                <w:rFonts w:ascii="David" w:hAnsi="David" w:eastAsia="David"/>
                <w:b/>
                <w:bCs/>
                <w:sz w:val="28"/>
                <w:szCs w:val="28"/>
                <w:u w:val="single"/>
              </w:rPr>
            </w:pPr>
            <w:r w:rsidRPr="00C71F5D">
              <w:rPr>
                <w:rFonts w:hint="cs" w:ascii="David" w:hAnsi="David" w:eastAsia="David"/>
                <w:b/>
                <w:bCs/>
                <w:sz w:val="28"/>
                <w:szCs w:val="28"/>
                <w:rtl/>
              </w:rPr>
              <w:t>ע"י ב"כ: עו"ד</w:t>
            </w:r>
            <w:r w:rsidR="009E0207">
              <w:rPr>
                <w:rFonts w:hint="cs" w:ascii="David" w:hAnsi="David" w:eastAsia="David"/>
                <w:b/>
                <w:bCs/>
                <w:sz w:val="28"/>
                <w:szCs w:val="28"/>
                <w:rtl/>
              </w:rPr>
              <w:t xml:space="preserve"> יריב רז ואח'</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9E0207">
              <w:rPr>
                <w:rFonts w:hint="cs"/>
                <w:b/>
                <w:bCs/>
                <w:sz w:val="28"/>
                <w:szCs w:val="28"/>
                <w:rtl/>
              </w:rPr>
              <w:t xml:space="preserve">                </w:t>
            </w:r>
            <w:r>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r w:rsidR="009E0207">
                  <w:rPr>
                    <w:rStyle w:val="ac"/>
                    <w:rFonts w:hint="cs"/>
                    <w:b/>
                    <w:bCs/>
                    <w:color w:val="auto"/>
                    <w:sz w:val="28"/>
                    <w:szCs w:val="28"/>
                    <w:u w:val="single"/>
                    <w:rtl/>
                  </w:rPr>
                  <w:t>ת</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5D0F78" w:rsidRDefault="00E33AF6">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c"/>
                    <w:b/>
                    <w:bCs/>
                    <w:color w:val="auto"/>
                    <w:sz w:val="28"/>
                    <w:szCs w:val="28"/>
                    <w:rtl/>
                  </w:rPr>
                  <w:t>נציבות שירות המדינה/הנהלת בתי משפט</w:t>
                </w:r>
              </w:sdtContent>
            </w:sdt>
            <w:r w:rsidRPr="00C71F5D" w:rsidR="00C71F5D">
              <w:rPr>
                <w:rFonts w:ascii="David" w:hAnsi="David" w:eastAsia="David"/>
                <w:b/>
                <w:bCs/>
                <w:sz w:val="28"/>
                <w:szCs w:val="28"/>
                <w:rtl/>
              </w:rPr>
              <w:t xml:space="preserve">  </w:t>
            </w:r>
          </w:p>
          <w:p w:rsidRPr="00C71F5D" w:rsidR="00C71F5D" w:rsidP="00C71F5D" w:rsidRDefault="009E0207">
            <w:pPr>
              <w:rPr>
                <w:rFonts w:ascii="David" w:hAnsi="David" w:eastAsia="David"/>
                <w:b/>
                <w:bCs/>
                <w:sz w:val="28"/>
                <w:szCs w:val="28"/>
              </w:rPr>
            </w:pPr>
            <w:r>
              <w:rPr>
                <w:rFonts w:hint="cs" w:ascii="David" w:hAnsi="David" w:eastAsia="David"/>
                <w:b/>
                <w:bCs/>
                <w:sz w:val="28"/>
                <w:szCs w:val="28"/>
                <w:rtl/>
              </w:rPr>
              <w:t>ע"י ב"כ: פרקליטות מחוז צפון</w:t>
            </w: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C1C43" w:rsidRDefault="002C1C43">
      <w:pPr>
        <w:spacing w:line="360" w:lineRule="auto"/>
        <w:rPr>
          <w:b/>
          <w:bCs/>
          <w:sz w:val="28"/>
          <w:szCs w:val="28"/>
          <w:rtl/>
        </w:rPr>
      </w:pPr>
    </w:p>
    <w:p w:rsidRPr="009E0207" w:rsidR="002C1C43" w:rsidP="004E38E0" w:rsidRDefault="009E0207">
      <w:pPr>
        <w:spacing w:line="360" w:lineRule="auto"/>
        <w:ind w:left="720" w:hanging="720"/>
        <w:jc w:val="both"/>
        <w:rPr>
          <w:rFonts w:hint="cs"/>
          <w:sz w:val="28"/>
          <w:szCs w:val="28"/>
          <w:rtl/>
        </w:rPr>
      </w:pPr>
      <w:r w:rsidRPr="009E0207">
        <w:rPr>
          <w:rFonts w:hint="cs"/>
          <w:sz w:val="28"/>
          <w:szCs w:val="28"/>
          <w:rtl/>
        </w:rPr>
        <w:t>1.</w:t>
      </w:r>
      <w:r w:rsidRPr="009E0207">
        <w:rPr>
          <w:rFonts w:hint="cs"/>
          <w:sz w:val="28"/>
          <w:szCs w:val="28"/>
          <w:rtl/>
        </w:rPr>
        <w:tab/>
        <w:t>ביום 21.3.18 הגישה התובעת את תביעתה בהליך זה.</w:t>
      </w:r>
      <w:r w:rsidR="004E38E0">
        <w:rPr>
          <w:rFonts w:hint="cs"/>
          <w:sz w:val="28"/>
          <w:szCs w:val="28"/>
          <w:rtl/>
        </w:rPr>
        <w:t xml:space="preserve"> טרם הוגש כתב הגנה וטרם התקיים דיון בהליך.</w:t>
      </w:r>
    </w:p>
    <w:p w:rsidRPr="009E0207" w:rsidR="009E0207" w:rsidP="002C1C43" w:rsidRDefault="009E0207">
      <w:pPr>
        <w:spacing w:line="360" w:lineRule="auto"/>
        <w:rPr>
          <w:sz w:val="28"/>
          <w:szCs w:val="28"/>
          <w:rtl/>
        </w:rPr>
      </w:pPr>
    </w:p>
    <w:p w:rsidR="009E0207" w:rsidP="004E38E0" w:rsidRDefault="009E0207">
      <w:pPr>
        <w:spacing w:line="360" w:lineRule="auto"/>
        <w:ind w:left="720" w:hanging="720"/>
        <w:jc w:val="both"/>
        <w:rPr>
          <w:rFonts w:hint="cs"/>
          <w:sz w:val="28"/>
          <w:szCs w:val="28"/>
          <w:rtl/>
        </w:rPr>
      </w:pPr>
      <w:r w:rsidRPr="009E0207">
        <w:rPr>
          <w:rFonts w:hint="cs"/>
          <w:sz w:val="28"/>
          <w:szCs w:val="28"/>
          <w:rtl/>
        </w:rPr>
        <w:t xml:space="preserve">2. </w:t>
      </w:r>
      <w:r w:rsidRPr="009E0207">
        <w:rPr>
          <w:rFonts w:hint="cs"/>
          <w:sz w:val="28"/>
          <w:szCs w:val="28"/>
          <w:rtl/>
        </w:rPr>
        <w:tab/>
        <w:t>בהחלטת בית הדין אשר ניתנה ב</w:t>
      </w:r>
      <w:r w:rsidR="004E38E0">
        <w:rPr>
          <w:rFonts w:hint="cs"/>
          <w:sz w:val="28"/>
          <w:szCs w:val="28"/>
          <w:rtl/>
        </w:rPr>
        <w:t>יום 1.4.18</w:t>
      </w:r>
      <w:r w:rsidRPr="009E0207">
        <w:rPr>
          <w:rFonts w:hint="cs"/>
          <w:sz w:val="28"/>
          <w:szCs w:val="28"/>
          <w:rtl/>
        </w:rPr>
        <w:t xml:space="preserve">, צויין כי התובעת הועסקה בתפקידים שונים בהיכל המשפט בנצרת, בו שוכן גם בית דין זה </w:t>
      </w:r>
      <w:r>
        <w:rPr>
          <w:rFonts w:hint="cs"/>
          <w:sz w:val="28"/>
          <w:szCs w:val="28"/>
          <w:rtl/>
        </w:rPr>
        <w:t>ו</w:t>
      </w:r>
      <w:r w:rsidR="004E38E0">
        <w:rPr>
          <w:rFonts w:hint="cs"/>
          <w:sz w:val="28"/>
          <w:szCs w:val="28"/>
          <w:rtl/>
        </w:rPr>
        <w:t>על כן</w:t>
      </w:r>
      <w:r w:rsidRPr="009E0207">
        <w:rPr>
          <w:rFonts w:hint="cs"/>
          <w:sz w:val="28"/>
          <w:szCs w:val="28"/>
          <w:rtl/>
        </w:rPr>
        <w:t>, מטבע הדברים, קיימת היכרות בין נושאי המשרה השיפוטית בהיכל לבין צוות עובדי משמר בתי המשפט והממונים עליהם.</w:t>
      </w:r>
      <w:r>
        <w:rPr>
          <w:rFonts w:hint="cs"/>
          <w:sz w:val="28"/>
          <w:szCs w:val="28"/>
          <w:rtl/>
        </w:rPr>
        <w:t xml:space="preserve"> </w:t>
      </w:r>
      <w:r w:rsidR="009279C2">
        <w:rPr>
          <w:rFonts w:hint="cs"/>
          <w:sz w:val="28"/>
          <w:szCs w:val="28"/>
          <w:rtl/>
        </w:rPr>
        <w:t xml:space="preserve">לפיכך, כמו גם מטעמי מראית פני הצדק, נקבע כי בנסיבות העניין, יתכן ויהיה מקום להורות על העברתו של ההליך, לדיון בבית דין אזורי </w:t>
      </w:r>
      <w:r w:rsidR="00B928C4">
        <w:rPr>
          <w:rFonts w:hint="cs"/>
          <w:sz w:val="28"/>
          <w:szCs w:val="28"/>
          <w:rtl/>
        </w:rPr>
        <w:t xml:space="preserve">לעבודה </w:t>
      </w:r>
      <w:r w:rsidR="009279C2">
        <w:rPr>
          <w:rFonts w:hint="cs"/>
          <w:sz w:val="28"/>
          <w:szCs w:val="28"/>
          <w:rtl/>
        </w:rPr>
        <w:t>אחר. ב"כ הצדדים התבקשו להודיע עמדתם בעניין, לרבות ביחס למקום בית הדין אליו יועבר ההליך, ככל שאכן יוחלט על העברתו.</w:t>
      </w:r>
    </w:p>
    <w:p w:rsidR="009279C2" w:rsidP="009E0207" w:rsidRDefault="009279C2">
      <w:pPr>
        <w:spacing w:line="360" w:lineRule="auto"/>
        <w:ind w:left="720" w:hanging="720"/>
        <w:jc w:val="both"/>
        <w:rPr>
          <w:sz w:val="28"/>
          <w:szCs w:val="28"/>
          <w:rtl/>
        </w:rPr>
      </w:pPr>
    </w:p>
    <w:p w:rsidR="009279C2" w:rsidP="009E0207" w:rsidRDefault="009279C2">
      <w:pPr>
        <w:spacing w:line="360" w:lineRule="auto"/>
        <w:ind w:left="720" w:hanging="720"/>
        <w:jc w:val="both"/>
        <w:rPr>
          <w:rFonts w:hint="cs"/>
          <w:sz w:val="28"/>
          <w:szCs w:val="28"/>
          <w:rtl/>
        </w:rPr>
      </w:pPr>
      <w:r>
        <w:rPr>
          <w:rFonts w:hint="cs"/>
          <w:sz w:val="28"/>
          <w:szCs w:val="28"/>
          <w:rtl/>
        </w:rPr>
        <w:t>3.</w:t>
      </w:r>
      <w:r>
        <w:rPr>
          <w:rFonts w:hint="cs"/>
          <w:sz w:val="28"/>
          <w:szCs w:val="28"/>
          <w:rtl/>
        </w:rPr>
        <w:tab/>
        <w:t>הצדדים הגישו עמדתם בעניין, ממנה עולה כי אין למי מהם התנגדות להעברת הדיון בתיק זה</w:t>
      </w:r>
      <w:r w:rsidR="00B928C4">
        <w:rPr>
          <w:rFonts w:hint="cs"/>
          <w:sz w:val="28"/>
          <w:szCs w:val="28"/>
          <w:rtl/>
        </w:rPr>
        <w:t>,</w:t>
      </w:r>
      <w:r>
        <w:rPr>
          <w:rFonts w:hint="cs"/>
          <w:sz w:val="28"/>
          <w:szCs w:val="28"/>
          <w:rtl/>
        </w:rPr>
        <w:t xml:space="preserve"> לבית דין אזורי לעבודה אחר. </w:t>
      </w:r>
      <w:r w:rsidR="004E38E0">
        <w:rPr>
          <w:rFonts w:hint="cs"/>
          <w:sz w:val="28"/>
          <w:szCs w:val="28"/>
          <w:rtl/>
        </w:rPr>
        <w:t xml:space="preserve">מבחינת מקום ההתדיינות, </w:t>
      </w:r>
      <w:r>
        <w:rPr>
          <w:rFonts w:hint="cs"/>
          <w:sz w:val="28"/>
          <w:szCs w:val="28"/>
          <w:rtl/>
        </w:rPr>
        <w:t xml:space="preserve">על פי עמדת התובעת, </w:t>
      </w:r>
      <w:r w:rsidR="004E38E0">
        <w:rPr>
          <w:rFonts w:hint="cs"/>
          <w:sz w:val="28"/>
          <w:szCs w:val="28"/>
          <w:rtl/>
        </w:rPr>
        <w:t>מבוקש, ככל הניתן, להעביר את בירור הדיון למחוז המרכז, היינו לבית הדין האזורי לעבודה בתל אביב. על פי עמדת הנתבעת, נתונה הסכמתה להעברת הדיון לכל מחוז אחר שאינו חיפה, זאת בשל טעמים דומים לטעמים שפורטו בהחלטת בית הדין.</w:t>
      </w:r>
    </w:p>
    <w:p w:rsidR="004E38E0" w:rsidP="009E0207" w:rsidRDefault="004E38E0">
      <w:pPr>
        <w:spacing w:line="360" w:lineRule="auto"/>
        <w:ind w:left="720" w:hanging="720"/>
        <w:jc w:val="both"/>
        <w:rPr>
          <w:sz w:val="28"/>
          <w:szCs w:val="28"/>
          <w:rtl/>
        </w:rPr>
      </w:pPr>
    </w:p>
    <w:p w:rsidR="004E38E0" w:rsidP="009E0207" w:rsidRDefault="004E38E0">
      <w:pPr>
        <w:spacing w:line="360" w:lineRule="auto"/>
        <w:ind w:left="720" w:hanging="720"/>
        <w:jc w:val="both"/>
        <w:rPr>
          <w:rFonts w:hint="cs"/>
          <w:sz w:val="28"/>
          <w:szCs w:val="28"/>
          <w:rtl/>
        </w:rPr>
      </w:pPr>
      <w:r>
        <w:rPr>
          <w:rFonts w:hint="cs"/>
          <w:sz w:val="28"/>
          <w:szCs w:val="28"/>
          <w:rtl/>
        </w:rPr>
        <w:lastRenderedPageBreak/>
        <w:t>4.</w:t>
      </w:r>
      <w:r>
        <w:rPr>
          <w:rFonts w:hint="cs"/>
          <w:sz w:val="28"/>
          <w:szCs w:val="28"/>
          <w:rtl/>
        </w:rPr>
        <w:tab/>
      </w:r>
      <w:r w:rsidR="00B928C4">
        <w:rPr>
          <w:rFonts w:hint="cs"/>
          <w:sz w:val="28"/>
          <w:szCs w:val="28"/>
          <w:rtl/>
        </w:rPr>
        <w:t xml:space="preserve">אשר על כן, </w:t>
      </w:r>
      <w:bookmarkStart w:name="_GoBack" w:id="0"/>
      <w:bookmarkEnd w:id="0"/>
      <w:r>
        <w:rPr>
          <w:rFonts w:hint="cs"/>
          <w:sz w:val="28"/>
          <w:szCs w:val="28"/>
          <w:rtl/>
        </w:rPr>
        <w:t xml:space="preserve">מזכירות בית הדין תפעל להעברת התיק לכב' נשיאת בית הדין </w:t>
      </w:r>
      <w:r w:rsidR="00B928C4">
        <w:rPr>
          <w:rFonts w:hint="cs"/>
          <w:sz w:val="28"/>
          <w:szCs w:val="28"/>
          <w:rtl/>
        </w:rPr>
        <w:t>הארצי לעבודה בירושלים, השופטת ורדה וירט-ליבנה, על מנת שתקבע היכן יתברר הליך זה.</w:t>
      </w:r>
    </w:p>
    <w:p w:rsidR="009E0207" w:rsidP="009E0207" w:rsidRDefault="009E0207">
      <w:pPr>
        <w:spacing w:line="360" w:lineRule="auto"/>
        <w:ind w:left="720" w:hanging="720"/>
        <w:jc w:val="both"/>
        <w:rPr>
          <w:sz w:val="28"/>
          <w:szCs w:val="28"/>
          <w:rtl/>
        </w:rPr>
      </w:pPr>
    </w:p>
    <w:p w:rsidRPr="009E0207" w:rsidR="009E0207" w:rsidP="009E0207" w:rsidRDefault="009E0207">
      <w:pPr>
        <w:spacing w:line="360" w:lineRule="auto"/>
        <w:ind w:left="720" w:hanging="720"/>
        <w:jc w:val="both"/>
        <w:rPr>
          <w:sz w:val="28"/>
          <w:szCs w:val="28"/>
          <w:rtl/>
        </w:rPr>
      </w:pPr>
      <w:r>
        <w:rPr>
          <w:sz w:val="28"/>
          <w:szCs w:val="28"/>
          <w:rtl/>
        </w:rPr>
        <w:tab/>
      </w:r>
    </w:p>
    <w:p w:rsidR="002C1C43" w:rsidP="002C1C43" w:rsidRDefault="002C1C43">
      <w:pPr>
        <w:spacing w:line="360" w:lineRule="auto"/>
        <w:rPr>
          <w:b/>
          <w:bCs/>
          <w:sz w:val="28"/>
          <w:szCs w:val="28"/>
          <w:rtl/>
        </w:rPr>
      </w:pPr>
      <w:r>
        <w:rPr>
          <w:rFonts w:hint="cs"/>
          <w:b/>
          <w:bCs/>
          <w:sz w:val="28"/>
          <w:szCs w:val="28"/>
          <w:rtl/>
        </w:rPr>
        <w:br/>
      </w:r>
    </w:p>
    <w:p w:rsidRPr="001B488B" w:rsidR="002C1C43" w:rsidP="00B928C4" w:rsidRDefault="002C1C43">
      <w:pPr>
        <w:spacing w:line="360" w:lineRule="auto"/>
        <w:jc w:val="both"/>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Pr="00592DD1">
        <w:rPr>
          <w:rFonts w:hint="cs" w:ascii="Arial" w:hAnsi="Arial"/>
          <w:b/>
          <w:bCs/>
          <w:noProof w:val="0"/>
          <w:sz w:val="28"/>
          <w:szCs w:val="28"/>
          <w:rtl/>
        </w:rPr>
        <w:t xml:space="preserve">, בהעדר הצדדים </w:t>
      </w:r>
      <w:r w:rsidRPr="001B488B">
        <w:rPr>
          <w:rFonts w:hint="cs" w:ascii="Arial" w:hAnsi="Arial"/>
          <w:b/>
          <w:bCs/>
          <w:noProof w:val="0"/>
          <w:sz w:val="28"/>
          <w:szCs w:val="28"/>
          <w:rtl/>
        </w:rPr>
        <w:t>ותישלח אליהם.</w:t>
      </w:r>
    </w:p>
    <w:p w:rsidRPr="001B488B" w:rsidR="002C1C43" w:rsidP="002C1C43" w:rsidRDefault="002C1C43">
      <w:pPr>
        <w:spacing w:line="360" w:lineRule="auto"/>
        <w:jc w:val="both"/>
        <w:rPr>
          <w:rFonts w:ascii="Arial" w:hAnsi="Arial"/>
          <w:caps/>
          <w:noProof w:val="0"/>
          <w:sz w:val="28"/>
          <w:szCs w:val="28"/>
        </w:rPr>
      </w:pPr>
    </w:p>
    <w:p w:rsidR="00B928C4" w:rsidRDefault="00B928C4">
      <w:pPr>
        <w:rPr>
          <w:rtl/>
        </w:rPr>
      </w:pPr>
    </w:p>
    <w:tbl>
      <w:tblPr>
        <w:tblStyle w:val="a9"/>
        <w:bidiVisual/>
        <w:tblW w:w="2962" w:type="dxa"/>
        <w:tblInd w:w="55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62"/>
      </w:tblGrid>
      <w:tr w:rsidR="00B928C4" w:rsidTr="00B928C4">
        <w:trPr>
          <w:trHeight w:val="1352"/>
        </w:trPr>
        <w:tc>
          <w:tcPr>
            <w:tcW w:w="2962" w:type="dxa"/>
            <w:tcBorders>
              <w:top w:val="nil"/>
              <w:left w:val="nil"/>
              <w:bottom w:val="single" w:color="auto" w:sz="4" w:space="0"/>
              <w:right w:val="nil"/>
            </w:tcBorders>
            <w:vAlign w:val="center"/>
          </w:tcPr>
          <w:p w:rsidRPr="004C7C6B" w:rsidR="00B928C4" w:rsidRDefault="00B928C4">
            <w:pPr>
              <w:jc w:val="center"/>
              <w:rPr>
                <w:rFonts w:ascii="Courier New" w:hAnsi="Courier New"/>
                <w:b/>
                <w:bCs/>
              </w:rPr>
            </w:pPr>
            <w:r>
              <w:rPr>
                <w:rFonts w:ascii="Courier New" w:hAnsi="Courier New"/>
                <w:b/>
                <w:bCs/>
              </w:rPr>
              <w:drawing>
                <wp:inline distT="0" distB="0" distL="0" distR="0">
                  <wp:extent cx="1257300" cy="1304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304925"/>
                          </a:xfrm>
                          <a:prstGeom prst="rect">
                            <a:avLst/>
                          </a:prstGeom>
                          <a:noFill/>
                          <a:ln>
                            <a:noFill/>
                          </a:ln>
                        </pic:spPr>
                      </pic:pic>
                    </a:graphicData>
                  </a:graphic>
                </wp:inline>
              </w:drawing>
            </w:r>
          </w:p>
        </w:tc>
      </w:tr>
      <w:tr w:rsidR="00B928C4" w:rsidTr="00B928C4">
        <w:tc>
          <w:tcPr>
            <w:tcW w:w="2962" w:type="dxa"/>
            <w:tcBorders>
              <w:top w:val="single" w:color="auto" w:sz="4" w:space="0"/>
              <w:left w:val="nil"/>
              <w:bottom w:val="nil"/>
              <w:right w:val="nil"/>
            </w:tcBorders>
            <w:vAlign w:val="bottom"/>
          </w:tcPr>
          <w:p w:rsidR="00B928C4" w:rsidP="003077D1" w:rsidRDefault="00B928C4">
            <w:pPr>
              <w:jc w:val="center"/>
              <w:rPr>
                <w:rFonts w:ascii="Courier New" w:hAnsi="Courier New"/>
                <w:b/>
                <w:bCs/>
              </w:rPr>
            </w:pPr>
            <w:r>
              <w:rPr>
                <w:rFonts w:hint="cs" w:ascii="Courier New" w:hAnsi="Courier New"/>
                <w:b/>
                <w:bCs/>
                <w:sz w:val="28"/>
                <w:szCs w:val="28"/>
                <w:rtl/>
              </w:rPr>
              <w:t xml:space="preserve">מירון </w:t>
            </w:r>
            <w:r w:rsidRPr="007D27C1">
              <w:rPr>
                <w:rFonts w:hint="cs" w:ascii="Courier New" w:hAnsi="Courier New"/>
                <w:b/>
                <w:bCs/>
                <w:sz w:val="28"/>
                <w:szCs w:val="28"/>
                <w:rtl/>
              </w:rPr>
              <w:t>שוורץ, נשיא</w:t>
            </w:r>
          </w:p>
        </w:tc>
      </w:tr>
    </w:tbl>
    <w:p w:rsidRPr="004302F0" w:rsidR="00B928C4" w:rsidP="00B928C4" w:rsidRDefault="00B928C4"/>
    <w:sectPr w:rsidRPr="004302F0" w:rsidR="00B928C4"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07" w:rsidRDefault="009E02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33AF6">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33AF6">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07" w:rsidRDefault="009E02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07" w:rsidRDefault="009E0207">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E0207">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E33AF6">
          <w:pPr>
            <w:jc w:val="right"/>
            <w:rPr>
              <w:sz w:val="28"/>
              <w:szCs w:val="28"/>
              <w:rtl/>
            </w:rPr>
          </w:pPr>
          <w:sdt>
            <w:sdtPr>
              <w:rPr>
                <w:sz w:val="28"/>
                <w:szCs w:val="28"/>
                <w:rtl/>
              </w:rPr>
              <w:alias w:val="1170"/>
              <w:tag w:val="1170"/>
              <w:id w:val="270825555"/>
              <w:text w:multiLine="1"/>
            </w:sdtPr>
            <w:sdtEndPr/>
            <w:sdtContent>
              <w:r w:rsidR="00E8704B">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E8704B">
                <w:rPr>
                  <w:b/>
                  <w:bCs/>
                  <w:noProof w:val="0"/>
                  <w:sz w:val="28"/>
                  <w:szCs w:val="28"/>
                  <w:rtl/>
                </w:rPr>
                <w:t>45900-03-18</w:t>
              </w:r>
            </w:sdtContent>
          </w:sdt>
          <w:r w:rsidRPr="008F32AB" w:rsidR="00913E52">
            <w:rPr>
              <w:b/>
              <w:bCs/>
              <w:noProof w:val="0"/>
              <w:sz w:val="28"/>
              <w:szCs w:val="28"/>
              <w:rtl/>
            </w:rPr>
            <w:t xml:space="preserve"> </w:t>
          </w:r>
        </w:p>
        <w:p w:rsidRPr="008F32AB" w:rsidR="008F32AB" w:rsidP="008F32AB" w:rsidRDefault="008F32AB">
          <w:pPr>
            <w:spacing w:line="360" w:lineRule="auto"/>
            <w:jc w:val="right"/>
            <w:rPr>
              <w:b/>
              <w:bCs/>
              <w:noProof w:val="0"/>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07" w:rsidRDefault="009E020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F7E9E"/>
    <w:rsid w:val="0014234E"/>
    <w:rsid w:val="00191B85"/>
    <w:rsid w:val="001B488B"/>
    <w:rsid w:val="001C4003"/>
    <w:rsid w:val="00221FF9"/>
    <w:rsid w:val="002605D5"/>
    <w:rsid w:val="002B1499"/>
    <w:rsid w:val="002B6C85"/>
    <w:rsid w:val="002C1C43"/>
    <w:rsid w:val="002D0DA3"/>
    <w:rsid w:val="00352325"/>
    <w:rsid w:val="00411E45"/>
    <w:rsid w:val="004642C0"/>
    <w:rsid w:val="004B6079"/>
    <w:rsid w:val="004E38E0"/>
    <w:rsid w:val="004E6E3C"/>
    <w:rsid w:val="00511543"/>
    <w:rsid w:val="00515C3A"/>
    <w:rsid w:val="00547DB7"/>
    <w:rsid w:val="00592DD1"/>
    <w:rsid w:val="005C0FDD"/>
    <w:rsid w:val="005D0F78"/>
    <w:rsid w:val="00604392"/>
    <w:rsid w:val="00622BAA"/>
    <w:rsid w:val="00625C89"/>
    <w:rsid w:val="00671BD5"/>
    <w:rsid w:val="006805C1"/>
    <w:rsid w:val="00694556"/>
    <w:rsid w:val="006E1A53"/>
    <w:rsid w:val="007054D3"/>
    <w:rsid w:val="007056AA"/>
    <w:rsid w:val="007A24FE"/>
    <w:rsid w:val="00820005"/>
    <w:rsid w:val="00826670"/>
    <w:rsid w:val="00846D27"/>
    <w:rsid w:val="008541AE"/>
    <w:rsid w:val="008A7F5D"/>
    <w:rsid w:val="008F2B32"/>
    <w:rsid w:val="008F32AB"/>
    <w:rsid w:val="00903896"/>
    <w:rsid w:val="00913E52"/>
    <w:rsid w:val="009279C2"/>
    <w:rsid w:val="009A7666"/>
    <w:rsid w:val="009E0207"/>
    <w:rsid w:val="009E0263"/>
    <w:rsid w:val="00A11C09"/>
    <w:rsid w:val="00A4277D"/>
    <w:rsid w:val="00A61A78"/>
    <w:rsid w:val="00A91413"/>
    <w:rsid w:val="00AE598D"/>
    <w:rsid w:val="00AF1ED6"/>
    <w:rsid w:val="00B80CBD"/>
    <w:rsid w:val="00B928C4"/>
    <w:rsid w:val="00BC3369"/>
    <w:rsid w:val="00BC7C5B"/>
    <w:rsid w:val="00BD06DF"/>
    <w:rsid w:val="00BE5A52"/>
    <w:rsid w:val="00BE6116"/>
    <w:rsid w:val="00C34AF8"/>
    <w:rsid w:val="00C43F49"/>
    <w:rsid w:val="00C51656"/>
    <w:rsid w:val="00C71F5D"/>
    <w:rsid w:val="00C91CBA"/>
    <w:rsid w:val="00D53924"/>
    <w:rsid w:val="00D901AC"/>
    <w:rsid w:val="00D96D8C"/>
    <w:rsid w:val="00DA783C"/>
    <w:rsid w:val="00DE3B9C"/>
    <w:rsid w:val="00DE7091"/>
    <w:rsid w:val="00E33AF6"/>
    <w:rsid w:val="00E54642"/>
    <w:rsid w:val="00E8170A"/>
    <w:rsid w:val="00E8704B"/>
    <w:rsid w:val="00E97908"/>
    <w:rsid w:val="00EF56D5"/>
    <w:rsid w:val="00EF62A3"/>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478AB59F"/>
  <w15:docId w15:val="{9D7A9D77-F5FD-4AC1-AEFD-42F91D39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243</Words>
  <Characters>1218</Characters>
  <Application>Microsoft Office Word</Application>
  <DocSecurity>0</DocSecurity>
  <Lines>10</Lines>
  <Paragraphs>2</Paragraphs>
  <ScaleCrop>false</ScaleCrop>
  <Company>Microsoft Corporation</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מירון שוורץ</cp:lastModifiedBy>
  <cp:revision>35</cp:revision>
  <dcterms:created xsi:type="dcterms:W3CDTF">2012-08-05T16:56:00Z</dcterms:created>
  <dcterms:modified xsi:type="dcterms:W3CDTF">2018-04-12T11:39:00Z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