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A75FC8" w:rsidTr="00A75FC8">
        <w:trPr>
          <w:jc w:val="center"/>
        </w:trPr>
        <w:tc>
          <w:tcPr>
            <w:tcW w:w="743" w:type="dxa"/>
            <w:hideMark/>
          </w:tcPr>
          <w:p w:rsidR="00A75FC8" w:rsidRDefault="00AC5E4F">
            <w:pPr>
              <w:jc w:val="both"/>
              <w:rPr>
                <w:rFonts w:ascii="Arial" w:hAnsi="Arial"/>
                <w:b/>
                <w:bCs/>
                <w:sz w:val="26"/>
                <w:szCs w:val="26"/>
              </w:rPr>
            </w:pPr>
            <w:bookmarkStart w:name="NGCSBookmark" w:id="0"/>
            <w:bookmarkEnd w:id="0"/>
            <w:r>
              <w:rPr>
                <w:rFonts w:hint="cs" w:ascii="Arial" w:hAnsi="Arial"/>
                <w:b/>
                <w:bCs/>
                <w:sz w:val="26"/>
                <w:szCs w:val="26"/>
                <w:rtl/>
              </w:rPr>
              <w:t xml:space="preserve">בפני </w:t>
            </w:r>
          </w:p>
        </w:tc>
        <w:tc>
          <w:tcPr>
            <w:tcW w:w="8077" w:type="dxa"/>
            <w:gridSpan w:val="2"/>
          </w:tcPr>
          <w:p w:rsidR="00A75FC8" w:rsidRDefault="0093788C">
            <w:pPr>
              <w:rPr>
                <w:rFonts w:ascii="Arial" w:hAnsi="Arial"/>
                <w:b/>
                <w:bCs/>
                <w:sz w:val="26"/>
                <w:szCs w:val="26"/>
              </w:rPr>
            </w:pPr>
            <w:r>
              <w:rPr>
                <w:rFonts w:hint="cs" w:ascii="Arial" w:hAnsi="Arial"/>
                <w:b/>
                <w:bCs/>
                <w:sz w:val="26"/>
                <w:szCs w:val="26"/>
                <w:rtl/>
              </w:rPr>
              <w:t>כב' השופט איל באומגרט</w:t>
            </w:r>
          </w:p>
          <w:p w:rsidR="00A75FC8" w:rsidRDefault="00AC5E4F">
            <w:pPr>
              <w:rPr>
                <w:rFonts w:ascii="Arial" w:hAnsi="Arial" w:cs="FrankRuehl"/>
                <w:sz w:val="26"/>
                <w:szCs w:val="26"/>
                <w:highlight w:val="yellow"/>
                <w:rtl/>
              </w:rPr>
            </w:pPr>
          </w:p>
        </w:tc>
      </w:tr>
      <w:tr w:rsidR="00A75FC8" w:rsidTr="00A75FC8">
        <w:trPr>
          <w:jc w:val="center"/>
        </w:trPr>
        <w:tc>
          <w:tcPr>
            <w:tcW w:w="3195" w:type="dxa"/>
            <w:gridSpan w:val="2"/>
            <w:hideMark/>
          </w:tcPr>
          <w:p w:rsidR="00A75FC8" w:rsidRDefault="00AC5E4F">
            <w:pPr>
              <w:spacing w:line="360" w:lineRule="auto"/>
              <w:rPr>
                <w:b/>
                <w:bCs/>
              </w:rPr>
            </w:pPr>
            <w:r>
              <w:rPr>
                <w:rFonts w:hint="cs"/>
                <w:b/>
                <w:bCs/>
                <w:rtl/>
              </w:rPr>
              <w:t>בעניין:</w:t>
            </w:r>
          </w:p>
        </w:tc>
        <w:tc>
          <w:tcPr>
            <w:tcW w:w="5625" w:type="dxa"/>
            <w:hideMark/>
          </w:tcPr>
          <w:p w:rsidR="00A75FC8" w:rsidRDefault="00AC5E4F">
            <w:pPr>
              <w:spacing w:line="360" w:lineRule="auto"/>
              <w:rPr>
                <w:b/>
                <w:bCs/>
              </w:rPr>
            </w:pPr>
            <w:r>
              <w:rPr>
                <w:rFonts w:hint="cs"/>
                <w:b/>
                <w:bCs/>
                <w:rtl/>
              </w:rPr>
              <w:t xml:space="preserve">פקודת פשיטת הרגל [נוסח חדש], התש"ם-1980 </w:t>
            </w:r>
          </w:p>
          <w:p w:rsidR="00A75FC8" w:rsidRDefault="00AC5E4F">
            <w:pPr>
              <w:spacing w:line="360" w:lineRule="auto"/>
              <w:jc w:val="right"/>
              <w:rPr>
                <w:b/>
                <w:bCs/>
              </w:rPr>
            </w:pPr>
            <w:r>
              <w:rPr>
                <w:rFonts w:hint="cs"/>
                <w:b/>
                <w:bCs/>
                <w:rtl/>
              </w:rPr>
              <w:t>להלן: "הפקודה"</w:t>
            </w:r>
          </w:p>
        </w:tc>
      </w:tr>
      <w:tr w:rsidR="00A75FC8" w:rsidTr="00A75FC8">
        <w:trPr>
          <w:trHeight w:val="720"/>
          <w:jc w:val="center"/>
        </w:trPr>
        <w:tc>
          <w:tcPr>
            <w:tcW w:w="3195" w:type="dxa"/>
            <w:gridSpan w:val="2"/>
            <w:hideMark/>
          </w:tcPr>
          <w:p w:rsidR="00A75FC8" w:rsidRDefault="00AC5E4F">
            <w:pPr>
              <w:spacing w:line="360" w:lineRule="auto"/>
              <w:rPr>
                <w:b/>
                <w:bCs/>
              </w:rPr>
            </w:pPr>
            <w:r>
              <w:rPr>
                <w:rFonts w:hint="cs"/>
                <w:b/>
                <w:bCs/>
                <w:rtl/>
              </w:rPr>
              <w:t xml:space="preserve">בעניין:                                                 </w:t>
            </w:r>
          </w:p>
        </w:tc>
        <w:tc>
          <w:tcPr>
            <w:tcW w:w="5625" w:type="dxa"/>
            <w:hideMark/>
          </w:tcPr>
          <w:p w:rsidR="00A75FC8" w:rsidRDefault="00AC5E4F">
            <w:pPr>
              <w:spacing w:line="360" w:lineRule="auto"/>
              <w:rPr>
                <w:b/>
                <w:bCs/>
              </w:rPr>
            </w:pPr>
            <w:r>
              <w:rPr>
                <w:rFonts w:hint="cs"/>
                <w:b/>
                <w:bCs/>
                <w:rtl/>
              </w:rPr>
              <w:t>שומרי סלמאן, ת"ז 58992595</w:t>
            </w:r>
          </w:p>
          <w:p w:rsidR="00A75FC8" w:rsidRDefault="00AC5E4F">
            <w:pPr>
              <w:spacing w:line="360" w:lineRule="auto"/>
              <w:jc w:val="right"/>
              <w:rPr>
                <w:b/>
                <w:bCs/>
                <w:rtl/>
              </w:rPr>
            </w:pPr>
            <w:r>
              <w:rPr>
                <w:rFonts w:hint="cs"/>
                <w:b/>
                <w:bCs/>
                <w:rtl/>
              </w:rPr>
              <w:t>להלן: "החייב"</w:t>
            </w:r>
          </w:p>
        </w:tc>
      </w:tr>
      <w:tr w:rsidR="00A75FC8" w:rsidTr="00A75FC8">
        <w:trPr>
          <w:jc w:val="center"/>
        </w:trPr>
        <w:tc>
          <w:tcPr>
            <w:tcW w:w="3195" w:type="dxa"/>
            <w:gridSpan w:val="2"/>
            <w:hideMark/>
          </w:tcPr>
          <w:p w:rsidR="00A75FC8" w:rsidRDefault="00AC5E4F">
            <w:pPr>
              <w:spacing w:line="360" w:lineRule="auto"/>
              <w:rPr>
                <w:b/>
                <w:bCs/>
              </w:rPr>
            </w:pPr>
            <w:r>
              <w:rPr>
                <w:rFonts w:hint="cs"/>
                <w:b/>
                <w:bCs/>
                <w:rtl/>
              </w:rPr>
              <w:t>ובעניין:</w:t>
            </w:r>
          </w:p>
        </w:tc>
        <w:tc>
          <w:tcPr>
            <w:tcW w:w="5625" w:type="dxa"/>
            <w:hideMark/>
          </w:tcPr>
          <w:p w:rsidR="00A75FC8" w:rsidRDefault="00AC5E4F">
            <w:pPr>
              <w:spacing w:line="360" w:lineRule="auto"/>
              <w:rPr>
                <w:b/>
                <w:bCs/>
              </w:rPr>
            </w:pPr>
            <w:r>
              <w:rPr>
                <w:rFonts w:hint="cs"/>
                <w:b/>
                <w:bCs/>
                <w:rtl/>
              </w:rPr>
              <w:t>הכונס הרשמי מחוז חיפה</w:t>
            </w:r>
          </w:p>
          <w:p w:rsidR="00A75FC8" w:rsidRDefault="00AC5E4F">
            <w:pPr>
              <w:spacing w:line="360" w:lineRule="auto"/>
              <w:jc w:val="right"/>
              <w:rPr>
                <w:b/>
                <w:bCs/>
                <w:rtl/>
              </w:rPr>
            </w:pPr>
            <w:r>
              <w:rPr>
                <w:rFonts w:hint="cs"/>
                <w:b/>
                <w:bCs/>
                <w:rtl/>
              </w:rPr>
              <w:t>להלן: "הכונ"ר"</w:t>
            </w:r>
          </w:p>
        </w:tc>
      </w:tr>
      <w:tr w:rsidR="00A75FC8" w:rsidTr="00A75FC8">
        <w:trPr>
          <w:jc w:val="center"/>
        </w:trPr>
        <w:tc>
          <w:tcPr>
            <w:tcW w:w="3195" w:type="dxa"/>
            <w:gridSpan w:val="2"/>
            <w:hideMark/>
          </w:tcPr>
          <w:p w:rsidR="00A75FC8" w:rsidRDefault="00AC5E4F">
            <w:pPr>
              <w:spacing w:line="360" w:lineRule="auto"/>
              <w:rPr>
                <w:b/>
                <w:bCs/>
              </w:rPr>
            </w:pPr>
            <w:r>
              <w:rPr>
                <w:rFonts w:hint="cs"/>
                <w:b/>
                <w:bCs/>
                <w:rtl/>
              </w:rPr>
              <w:t>ובעניין:</w:t>
            </w:r>
          </w:p>
        </w:tc>
        <w:tc>
          <w:tcPr>
            <w:tcW w:w="5625" w:type="dxa"/>
            <w:hideMark/>
          </w:tcPr>
          <w:p w:rsidR="00A75FC8" w:rsidRDefault="00AC5E4F">
            <w:pPr>
              <w:spacing w:line="360" w:lineRule="auto"/>
              <w:rPr>
                <w:b/>
                <w:bCs/>
              </w:rPr>
            </w:pPr>
            <w:r>
              <w:rPr>
                <w:rFonts w:hint="cs"/>
                <w:b/>
                <w:bCs/>
                <w:rtl/>
              </w:rPr>
              <w:t xml:space="preserve">עו"ד גיא הירש </w:t>
            </w:r>
          </w:p>
          <w:p w:rsidR="00A75FC8" w:rsidRDefault="00AC5E4F">
            <w:pPr>
              <w:spacing w:line="360" w:lineRule="auto"/>
              <w:jc w:val="right"/>
              <w:rPr>
                <w:b/>
                <w:bCs/>
                <w:rtl/>
              </w:rPr>
            </w:pPr>
            <w:r>
              <w:rPr>
                <w:rFonts w:hint="cs"/>
                <w:b/>
                <w:bCs/>
                <w:rtl/>
              </w:rPr>
              <w:t>להלן: "המנהל המיוחד"</w:t>
            </w:r>
          </w:p>
        </w:tc>
      </w:tr>
    </w:tbl>
    <w:p w:rsidR="00A75FC8" w:rsidP="00A75FC8" w:rsidRDefault="00AC5E4F"/>
    <w:p w:rsidR="001434F7" w:rsidRDefault="00AC5E4F"/>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Pr="00565E9F" w:rsidR="0093788C" w:rsidP="00565E9F" w:rsidRDefault="0093788C">
      <w:pPr>
        <w:spacing w:before="120" w:line="360" w:lineRule="auto"/>
        <w:jc w:val="both"/>
        <w:rPr>
          <w:rtl/>
          <w:lang w:eastAsia="he-IL"/>
        </w:rPr>
      </w:pPr>
      <w:r w:rsidRPr="00565E9F">
        <w:rPr>
          <w:rtl/>
          <w:lang w:eastAsia="he-IL"/>
        </w:rPr>
        <w:t xml:space="preserve">בפניי בקשת חייב להכריזו פושט רגל. </w:t>
      </w:r>
    </w:p>
    <w:p w:rsidRPr="00565E9F" w:rsidR="0093788C" w:rsidP="00565E9F" w:rsidRDefault="0093788C">
      <w:pPr>
        <w:spacing w:before="120" w:line="360" w:lineRule="auto"/>
        <w:jc w:val="both"/>
        <w:rPr>
          <w:rtl/>
          <w:lang w:eastAsia="he-IL"/>
        </w:rPr>
      </w:pPr>
      <w:r w:rsidRPr="00565E9F">
        <w:rPr>
          <w:rtl/>
          <w:lang w:eastAsia="he-IL"/>
        </w:rPr>
        <w:t xml:space="preserve">הכונ"ר אינו מתנגד לבקשת החייב, לאחר ששוכנע כי לא נמצא חוסר תום לב ביצירת חובותיו ובהתנהלותו בהליכי הפש"ר. </w:t>
      </w:r>
    </w:p>
    <w:p w:rsidRPr="00565E9F" w:rsidR="0093788C" w:rsidP="0093788C" w:rsidRDefault="0093788C">
      <w:pPr>
        <w:spacing w:before="120" w:line="360" w:lineRule="auto"/>
        <w:jc w:val="both"/>
        <w:rPr>
          <w:rtl/>
          <w:lang w:eastAsia="he-IL"/>
        </w:rPr>
      </w:pPr>
      <w:r w:rsidRPr="00565E9F">
        <w:rPr>
          <w:rtl/>
          <w:lang w:eastAsia="he-IL"/>
        </w:rPr>
        <w:t>ניתן צו לכינוס נכסי החייב על פי בקשתו</w:t>
      </w:r>
      <w:r>
        <w:rPr>
          <w:rFonts w:hint="cs"/>
          <w:rtl/>
          <w:lang w:eastAsia="he-IL"/>
        </w:rPr>
        <w:t>.</w:t>
      </w:r>
    </w:p>
    <w:p w:rsidRPr="00565E9F" w:rsidR="0093788C" w:rsidP="00565E9F" w:rsidRDefault="0093788C">
      <w:pPr>
        <w:spacing w:before="120" w:line="360" w:lineRule="auto"/>
        <w:jc w:val="both"/>
        <w:rPr>
          <w:rtl/>
          <w:lang w:eastAsia="he-IL"/>
        </w:rPr>
      </w:pPr>
      <w:r w:rsidRPr="00565E9F">
        <w:rPr>
          <w:rtl/>
          <w:lang w:eastAsia="he-IL"/>
        </w:rPr>
        <w:t xml:space="preserve">המבחן העיקרי להכרזתו של חייב כפושט רגל, על פי הפקודה והכללים שהתפתחו בפסיקה, הוא אם  החייב נהג בתום לב עובר להליכי פשיטת הרגל ובמהלכם.  בהעדר תום לב, אין החייב זכאי לחסות בצל המטריה של הפקודה [שלמה לוין ואשר גרוניס </w:t>
      </w:r>
      <w:r w:rsidRPr="00565E9F">
        <w:rPr>
          <w:b/>
          <w:bCs/>
          <w:rtl/>
          <w:lang w:eastAsia="he-IL"/>
        </w:rPr>
        <w:t>פשיטת רגל</w:t>
      </w:r>
      <w:r w:rsidRPr="00565E9F">
        <w:rPr>
          <w:rtl/>
          <w:lang w:eastAsia="he-IL"/>
        </w:rPr>
        <w:t xml:space="preserve"> 173 (מהדורה שלישית, 2010); כן, ראו: ע"א 5503/92 </w:t>
      </w:r>
      <w:r w:rsidRPr="00565E9F">
        <w:rPr>
          <w:b/>
          <w:bCs/>
          <w:rtl/>
          <w:lang w:eastAsia="he-IL"/>
        </w:rPr>
        <w:t>קירצמן נ' כונס הנכסים הרשמי</w:t>
      </w:r>
      <w:r w:rsidRPr="00565E9F">
        <w:rPr>
          <w:rtl/>
          <w:lang w:eastAsia="he-IL"/>
        </w:rPr>
        <w:t>, פ"ד מט(1) 749, 756 (1994); וראו, גם: ע"א 6021/06</w:t>
      </w:r>
      <w:r w:rsidRPr="00565E9F">
        <w:rPr>
          <w:b/>
          <w:bCs/>
          <w:rtl/>
          <w:lang w:eastAsia="he-IL"/>
        </w:rPr>
        <w:t xml:space="preserve"> פיגון נ' כונס הנכסים הרשמי</w:t>
      </w:r>
      <w:r w:rsidRPr="00565E9F">
        <w:rPr>
          <w:rtl/>
          <w:lang w:eastAsia="he-IL"/>
        </w:rPr>
        <w:t xml:space="preserve"> (פורסם בנבו, 9.8.2009)].</w:t>
      </w:r>
    </w:p>
    <w:p w:rsidRPr="00565E9F" w:rsidR="0093788C" w:rsidP="0093788C" w:rsidRDefault="0093788C">
      <w:pPr>
        <w:spacing w:before="120" w:line="360" w:lineRule="auto"/>
        <w:jc w:val="both"/>
        <w:rPr>
          <w:rtl/>
          <w:lang w:eastAsia="he-IL"/>
        </w:rPr>
      </w:pPr>
      <w:r w:rsidRPr="00565E9F">
        <w:rPr>
          <w:rtl/>
          <w:lang w:eastAsia="he-IL"/>
        </w:rPr>
        <w:t>מנ</w:t>
      </w:r>
      <w:r>
        <w:rPr>
          <w:rtl/>
          <w:lang w:eastAsia="he-IL"/>
        </w:rPr>
        <w:t xml:space="preserve">ימוקי הבקשה, לאור עמדת הכונ"ר, </w:t>
      </w:r>
      <w:r>
        <w:rPr>
          <w:rFonts w:hint="cs"/>
          <w:rtl/>
          <w:lang w:eastAsia="he-IL"/>
        </w:rPr>
        <w:t xml:space="preserve">ומאחר והחייב מציע לשלם 100% דיבידנד בצירוף הוצאות הליך, </w:t>
      </w:r>
      <w:r w:rsidRPr="00565E9F">
        <w:rPr>
          <w:rtl/>
          <w:lang w:eastAsia="he-IL"/>
        </w:rPr>
        <w:t xml:space="preserve"> אני מקבל את הבקשה ומכריז כי החייב פושט רגל. </w:t>
      </w:r>
    </w:p>
    <w:p w:rsidR="0093788C" w:rsidP="00565E9F" w:rsidRDefault="0093788C">
      <w:pPr>
        <w:spacing w:before="120" w:line="360" w:lineRule="auto"/>
        <w:jc w:val="both"/>
        <w:rPr>
          <w:rFonts w:hint="cs"/>
          <w:rtl/>
          <w:lang w:eastAsia="he-IL"/>
        </w:rPr>
      </w:pPr>
      <w:r w:rsidRPr="00565E9F">
        <w:rPr>
          <w:rtl/>
          <w:lang w:eastAsia="he-IL"/>
        </w:rPr>
        <w:t>כל ההגבלות שהוטלו על ה</w:t>
      </w:r>
      <w:r>
        <w:rPr>
          <w:rtl/>
          <w:lang w:eastAsia="he-IL"/>
        </w:rPr>
        <w:t xml:space="preserve">חייב יעמדו בעינן, והחייב ישלם </w:t>
      </w:r>
      <w:r>
        <w:rPr>
          <w:rFonts w:hint="cs"/>
          <w:rtl/>
          <w:lang w:eastAsia="he-IL"/>
        </w:rPr>
        <w:t>600</w:t>
      </w:r>
      <w:r>
        <w:rPr>
          <w:rtl/>
          <w:lang w:eastAsia="he-IL"/>
        </w:rPr>
        <w:t xml:space="preserve"> ₪ לקופת הפש"ר מדי חודש בחודשו</w:t>
      </w:r>
      <w:r>
        <w:rPr>
          <w:rFonts w:hint="cs"/>
          <w:rtl/>
          <w:lang w:eastAsia="he-IL"/>
        </w:rPr>
        <w:t xml:space="preserve"> החל מאפריל 2018 למשך 35 חודשים ובסופו של יום יוסיף לקופת הכינוס 20,671 ₪.</w:t>
      </w:r>
    </w:p>
    <w:p w:rsidRPr="00565E9F" w:rsidR="0093788C" w:rsidP="00565E9F" w:rsidRDefault="0093788C">
      <w:pPr>
        <w:spacing w:before="120" w:line="360" w:lineRule="auto"/>
        <w:jc w:val="both"/>
        <w:rPr>
          <w:rtl/>
          <w:lang w:eastAsia="he-IL"/>
        </w:rPr>
      </w:pPr>
    </w:p>
    <w:p w:rsidRPr="00565E9F" w:rsidR="0093788C" w:rsidP="00565E9F" w:rsidRDefault="0093788C">
      <w:pPr>
        <w:spacing w:before="120" w:line="360" w:lineRule="auto"/>
        <w:jc w:val="both"/>
        <w:rPr>
          <w:rtl/>
          <w:lang w:eastAsia="he-IL"/>
        </w:rPr>
      </w:pPr>
      <w:r>
        <w:rPr>
          <w:rtl/>
          <w:lang w:eastAsia="he-IL"/>
        </w:rPr>
        <w:t>עו"ד</w:t>
      </w:r>
      <w:r>
        <w:rPr>
          <w:rFonts w:hint="cs"/>
          <w:rtl/>
          <w:lang w:eastAsia="he-IL"/>
        </w:rPr>
        <w:t xml:space="preserve"> גיא הירש</w:t>
      </w:r>
      <w:r w:rsidRPr="00565E9F">
        <w:rPr>
          <w:rtl/>
          <w:lang w:eastAsia="he-IL"/>
        </w:rPr>
        <w:t xml:space="preserve"> ישמש כנאמן בהליך, כנגד חתימה על התחייבות עצמית על סך 50,000 ₪, להבטחת מילוי תפקידו.</w:t>
      </w:r>
    </w:p>
    <w:p w:rsidRPr="00565E9F" w:rsidR="0093788C" w:rsidP="00565E9F" w:rsidRDefault="0093788C">
      <w:pPr>
        <w:spacing w:before="120" w:line="360" w:lineRule="auto"/>
        <w:jc w:val="both"/>
        <w:rPr>
          <w:lang w:eastAsia="he-IL"/>
        </w:rPr>
      </w:pPr>
      <w:r w:rsidRPr="00565E9F">
        <w:rPr>
          <w:rtl/>
          <w:lang w:eastAsia="he-IL"/>
        </w:rPr>
        <w:lastRenderedPageBreak/>
        <w:t>לאור תוצאות ההליך ישולמו הוצאות ההליך ושכר הכונס מכספים שהצטברו בקופת הכינוס עד מועד מתן פסק דין זה. שכר טרחת בעלי התפקיד ישולמו בהתאם לתקנות. הוצאות בסך 500 ₪ ישולמו בנוסף.</w:t>
      </w:r>
    </w:p>
    <w:p w:rsidR="00694556" w:rsidRDefault="00694556">
      <w:pPr>
        <w:spacing w:line="360" w:lineRule="auto"/>
        <w:jc w:val="both"/>
        <w:rPr>
          <w:rFonts w:ascii="Arial" w:hAnsi="Arial"/>
          <w:noProof w:val="0"/>
          <w:rtl/>
        </w:rPr>
      </w:pPr>
      <w:bookmarkStart w:name="_GoBac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C5E4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22ac4b88d684221"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8C" w:rsidRDefault="0093788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5E4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5E4F">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8C" w:rsidRDefault="0093788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8C" w:rsidRDefault="0093788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788C">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C5E4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פש"ר</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56356-11-16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שומרי נ' כונס נכסים רשמי מחוז חיפה והצפון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88C" w:rsidRDefault="0093788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22E0"/>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3788C"/>
    <w:rsid w:val="00944D13"/>
    <w:rsid w:val="00957C90"/>
    <w:rsid w:val="009E0263"/>
    <w:rsid w:val="00A267CF"/>
    <w:rsid w:val="00A43458"/>
    <w:rsid w:val="00AC4E19"/>
    <w:rsid w:val="00AC5E4F"/>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4B74CEF"/>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5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22ac4b88d68422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E0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256</Words>
  <Characters>1283</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