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427FA2" w14:textId="49649D7E" w:rsidR="009A55DC" w:rsidRPr="00467D5F" w:rsidRDefault="009A55DC" w:rsidP="002A6244">
      <w:pPr>
        <w:jc w:val="both"/>
        <w:rPr>
          <w:sz w:val="22"/>
        </w:rPr>
      </w:pPr>
      <w:r w:rsidRPr="00467D5F">
        <w:rPr>
          <w:b/>
          <w:sz w:val="22"/>
        </w:rPr>
        <w:t xml:space="preserve">PUB </w:t>
      </w:r>
      <w:r w:rsidRPr="00467D5F">
        <w:rPr>
          <w:sz w:val="22"/>
        </w:rPr>
        <w:t xml:space="preserve">: aussi appelé </w:t>
      </w:r>
      <w:r w:rsidRPr="00467D5F">
        <w:rPr>
          <w:b/>
          <w:sz w:val="22"/>
        </w:rPr>
        <w:t>ex-DG</w:t>
      </w:r>
      <w:r w:rsidR="002A6244" w:rsidRPr="00467D5F">
        <w:rPr>
          <w:b/>
          <w:sz w:val="22"/>
        </w:rPr>
        <w:t xml:space="preserve"> </w:t>
      </w:r>
      <w:r w:rsidR="001F387D">
        <w:rPr>
          <w:b/>
          <w:sz w:val="22"/>
        </w:rPr>
        <w:t xml:space="preserve">ou DGF </w:t>
      </w:r>
      <w:r w:rsidR="002A6244" w:rsidRPr="00467D5F">
        <w:rPr>
          <w:sz w:val="22"/>
        </w:rPr>
        <w:t>dans les textes</w:t>
      </w:r>
      <w:r w:rsidRPr="00467D5F">
        <w:rPr>
          <w:sz w:val="22"/>
        </w:rPr>
        <w:t xml:space="preserve">, désigne les établissements publics et privés à but non-lucratifs qui fonctionnaient avant avec une </w:t>
      </w:r>
      <w:r w:rsidRPr="00467D5F">
        <w:rPr>
          <w:i/>
          <w:sz w:val="22"/>
        </w:rPr>
        <w:t>Dotation Globale</w:t>
      </w:r>
      <w:r w:rsidRPr="00467D5F">
        <w:rPr>
          <w:sz w:val="22"/>
        </w:rPr>
        <w:t>.</w:t>
      </w:r>
    </w:p>
    <w:p w14:paraId="68275153" w14:textId="77777777" w:rsidR="009A55DC" w:rsidRPr="00467D5F" w:rsidRDefault="009A55DC" w:rsidP="002A6244">
      <w:pPr>
        <w:jc w:val="both"/>
        <w:rPr>
          <w:b/>
          <w:sz w:val="22"/>
        </w:rPr>
      </w:pPr>
    </w:p>
    <w:p w14:paraId="4767D76F" w14:textId="3937342F" w:rsidR="00F13CA7" w:rsidRPr="00467D5F" w:rsidRDefault="009A55DC" w:rsidP="000943F7">
      <w:pPr>
        <w:ind w:left="709" w:hanging="709"/>
        <w:jc w:val="both"/>
        <w:rPr>
          <w:sz w:val="22"/>
        </w:rPr>
      </w:pPr>
      <w:r w:rsidRPr="00467D5F">
        <w:rPr>
          <w:b/>
          <w:sz w:val="22"/>
        </w:rPr>
        <w:t xml:space="preserve">PRI </w:t>
      </w:r>
      <w:r w:rsidRPr="00467D5F">
        <w:rPr>
          <w:sz w:val="22"/>
        </w:rPr>
        <w:t xml:space="preserve">: aussi appelés </w:t>
      </w:r>
      <w:r w:rsidRPr="00467D5F">
        <w:rPr>
          <w:b/>
          <w:sz w:val="22"/>
        </w:rPr>
        <w:t>ex-OQN</w:t>
      </w:r>
      <w:r w:rsidR="002A6244" w:rsidRPr="00467D5F">
        <w:rPr>
          <w:sz w:val="22"/>
        </w:rPr>
        <w:t>,</w:t>
      </w:r>
      <w:r w:rsidRPr="00467D5F">
        <w:rPr>
          <w:sz w:val="22"/>
        </w:rPr>
        <w:t xml:space="preserve"> désigne les établissements privés à but lucratifs qui fonctionnaient déjà avec une tarification à l’acte (</w:t>
      </w:r>
      <w:r w:rsidRPr="00467D5F">
        <w:rPr>
          <w:i/>
          <w:sz w:val="22"/>
        </w:rPr>
        <w:t>mais à base régionale</w:t>
      </w:r>
      <w:r w:rsidRPr="00467D5F">
        <w:rPr>
          <w:sz w:val="22"/>
        </w:rPr>
        <w:t xml:space="preserve">) calculée selon des </w:t>
      </w:r>
      <w:r w:rsidRPr="00467D5F">
        <w:rPr>
          <w:i/>
          <w:sz w:val="22"/>
        </w:rPr>
        <w:t>Objectifs Quantifiés Nationaux</w:t>
      </w:r>
      <w:r w:rsidRPr="00467D5F">
        <w:rPr>
          <w:sz w:val="22"/>
        </w:rPr>
        <w:t>.</w:t>
      </w:r>
    </w:p>
    <w:p w14:paraId="0B72ECA9" w14:textId="77777777" w:rsidR="009A55DC" w:rsidRPr="00467D5F" w:rsidRDefault="009A55DC" w:rsidP="000943F7">
      <w:pPr>
        <w:ind w:left="709" w:hanging="709"/>
        <w:jc w:val="both"/>
        <w:rPr>
          <w:sz w:val="22"/>
        </w:rPr>
      </w:pPr>
    </w:p>
    <w:p w14:paraId="47E2327D" w14:textId="09AA41CB" w:rsidR="00801335" w:rsidRPr="00467D5F" w:rsidRDefault="00801335" w:rsidP="00801335">
      <w:pPr>
        <w:ind w:left="709" w:hanging="709"/>
        <w:jc w:val="both"/>
        <w:rPr>
          <w:sz w:val="22"/>
        </w:rPr>
      </w:pPr>
      <w:r w:rsidRPr="00467D5F">
        <w:rPr>
          <w:b/>
          <w:sz w:val="22"/>
        </w:rPr>
        <w:t>CMD </w:t>
      </w:r>
      <w:r w:rsidRPr="00467D5F">
        <w:rPr>
          <w:sz w:val="22"/>
        </w:rPr>
        <w:t>: Catégorie Majeure de Diagnostique, de 1 à 28 dans la base.</w:t>
      </w:r>
    </w:p>
    <w:p w14:paraId="4BB7B5E2" w14:textId="77777777" w:rsidR="00801335" w:rsidRPr="00467D5F" w:rsidRDefault="00801335" w:rsidP="000943F7">
      <w:pPr>
        <w:ind w:left="709" w:hanging="709"/>
        <w:jc w:val="both"/>
        <w:rPr>
          <w:sz w:val="22"/>
        </w:rPr>
      </w:pPr>
    </w:p>
    <w:p w14:paraId="295F7F26" w14:textId="065EA3F4" w:rsidR="00083AAA" w:rsidRPr="00467D5F" w:rsidRDefault="00083AAA" w:rsidP="004A60F5">
      <w:pPr>
        <w:ind w:left="709" w:hanging="709"/>
        <w:jc w:val="both"/>
        <w:rPr>
          <w:sz w:val="22"/>
        </w:rPr>
      </w:pPr>
      <w:r w:rsidRPr="00467D5F">
        <w:rPr>
          <w:b/>
          <w:sz w:val="22"/>
        </w:rPr>
        <w:t>GHM </w:t>
      </w:r>
      <w:r w:rsidRPr="00467D5F">
        <w:rPr>
          <w:sz w:val="22"/>
        </w:rPr>
        <w:t>: Groupes Homogènes de Maladies</w:t>
      </w:r>
      <w:bookmarkStart w:id="0" w:name="_GoBack"/>
      <w:bookmarkEnd w:id="0"/>
      <w:r w:rsidRPr="00467D5F">
        <w:rPr>
          <w:sz w:val="22"/>
        </w:rPr>
        <w:t>, chacun correspondant à une classe de pathologie</w:t>
      </w:r>
      <w:r w:rsidR="004A60F5" w:rsidRPr="00467D5F">
        <w:rPr>
          <w:sz w:val="22"/>
        </w:rPr>
        <w:t>s</w:t>
      </w:r>
      <w:r w:rsidRPr="00467D5F">
        <w:rPr>
          <w:sz w:val="22"/>
        </w:rPr>
        <w:t xml:space="preserve"> donnée (</w:t>
      </w:r>
      <w:r w:rsidRPr="00467D5F">
        <w:rPr>
          <w:i/>
          <w:sz w:val="22"/>
        </w:rPr>
        <w:t>codée sur 2 chiffres</w:t>
      </w:r>
      <w:r w:rsidRPr="00467D5F">
        <w:rPr>
          <w:sz w:val="22"/>
        </w:rPr>
        <w:t>) pour un certain niveau de gravité (</w:t>
      </w:r>
      <w:r w:rsidRPr="00467D5F">
        <w:rPr>
          <w:i/>
          <w:sz w:val="22"/>
        </w:rPr>
        <w:t>1 à 4</w:t>
      </w:r>
      <w:r w:rsidRPr="00467D5F">
        <w:rPr>
          <w:sz w:val="22"/>
        </w:rPr>
        <w:t>) ou traité en ambulatoire (</w:t>
      </w:r>
      <w:r w:rsidRPr="00467D5F">
        <w:rPr>
          <w:i/>
          <w:sz w:val="22"/>
        </w:rPr>
        <w:t>j</w:t>
      </w:r>
      <w:r w:rsidRPr="00467D5F">
        <w:rPr>
          <w:sz w:val="22"/>
        </w:rPr>
        <w:t>), etc.</w:t>
      </w:r>
    </w:p>
    <w:p w14:paraId="4F9D9FF6" w14:textId="77777777" w:rsidR="00083AAA" w:rsidRPr="00467D5F" w:rsidRDefault="00083AAA" w:rsidP="000943F7">
      <w:pPr>
        <w:ind w:left="709" w:hanging="709"/>
        <w:jc w:val="both"/>
        <w:rPr>
          <w:sz w:val="22"/>
        </w:rPr>
      </w:pPr>
    </w:p>
    <w:p w14:paraId="61B8B002" w14:textId="6DDBD6F1" w:rsidR="00B93C02" w:rsidRPr="00467D5F" w:rsidRDefault="00B93C02" w:rsidP="000943F7">
      <w:pPr>
        <w:widowControl w:val="0"/>
        <w:autoSpaceDE w:val="0"/>
        <w:autoSpaceDN w:val="0"/>
        <w:adjustRightInd w:val="0"/>
        <w:ind w:left="709" w:hanging="709"/>
        <w:jc w:val="both"/>
        <w:rPr>
          <w:sz w:val="22"/>
        </w:rPr>
      </w:pPr>
      <w:r w:rsidRPr="00467D5F">
        <w:rPr>
          <w:b/>
          <w:sz w:val="22"/>
        </w:rPr>
        <w:t>GHS</w:t>
      </w:r>
      <w:r w:rsidR="00083AAA" w:rsidRPr="00467D5F">
        <w:rPr>
          <w:sz w:val="22"/>
        </w:rPr>
        <w:t xml:space="preserve"> : </w:t>
      </w:r>
      <w:r w:rsidRPr="00467D5F">
        <w:rPr>
          <w:sz w:val="22"/>
        </w:rPr>
        <w:t>Groupes Homogènes de Séjour, ce sont les tarifs</w:t>
      </w:r>
      <w:r w:rsidR="00CD4B31" w:rsidRPr="00467D5F">
        <w:rPr>
          <w:sz w:val="22"/>
        </w:rPr>
        <w:t xml:space="preserve"> de remboursement par l’assurance maladie</w:t>
      </w:r>
      <w:r w:rsidRPr="00467D5F">
        <w:rPr>
          <w:sz w:val="22"/>
        </w:rPr>
        <w:t xml:space="preserve"> correspondant aux différents GHM. Il y a un ou plusieurs GHS par GHM. C’est à l’hôpital de classer </w:t>
      </w:r>
      <w:r w:rsidR="005A2299" w:rsidRPr="00467D5F">
        <w:rPr>
          <w:sz w:val="22"/>
        </w:rPr>
        <w:t>(</w:t>
      </w:r>
      <w:r w:rsidR="005A2299" w:rsidRPr="00467D5F">
        <w:rPr>
          <w:i/>
          <w:sz w:val="22"/>
        </w:rPr>
        <w:t>indirectement</w:t>
      </w:r>
      <w:r w:rsidR="005A2299" w:rsidRPr="00467D5F">
        <w:rPr>
          <w:sz w:val="22"/>
        </w:rPr>
        <w:t xml:space="preserve">) </w:t>
      </w:r>
      <w:r w:rsidRPr="00467D5F">
        <w:rPr>
          <w:sz w:val="22"/>
        </w:rPr>
        <w:t>le séjour d’un patien</w:t>
      </w:r>
      <w:r w:rsidR="00083AAA" w:rsidRPr="00467D5F">
        <w:rPr>
          <w:sz w:val="22"/>
        </w:rPr>
        <w:t>t dans un couple GHM/GHS correspondant en fonction des actes réalisés</w:t>
      </w:r>
      <w:r w:rsidR="00467D5F" w:rsidRPr="00467D5F">
        <w:rPr>
          <w:sz w:val="22"/>
        </w:rPr>
        <w:t>.</w:t>
      </w:r>
    </w:p>
    <w:p w14:paraId="25D1DFA7" w14:textId="77777777" w:rsidR="00467D5F" w:rsidRPr="00467D5F" w:rsidRDefault="00467D5F" w:rsidP="000943F7">
      <w:pPr>
        <w:widowControl w:val="0"/>
        <w:autoSpaceDE w:val="0"/>
        <w:autoSpaceDN w:val="0"/>
        <w:adjustRightInd w:val="0"/>
        <w:ind w:left="709" w:hanging="709"/>
        <w:jc w:val="both"/>
        <w:rPr>
          <w:sz w:val="22"/>
        </w:rPr>
      </w:pPr>
    </w:p>
    <w:p w14:paraId="7F7DC622" w14:textId="207181A0" w:rsidR="00467D5F" w:rsidRDefault="00467D5F" w:rsidP="00467D5F">
      <w:pPr>
        <w:widowControl w:val="0"/>
        <w:autoSpaceDE w:val="0"/>
        <w:autoSpaceDN w:val="0"/>
        <w:adjustRightInd w:val="0"/>
        <w:ind w:left="709"/>
        <w:jc w:val="both"/>
        <w:rPr>
          <w:sz w:val="22"/>
        </w:rPr>
      </w:pPr>
      <w:r w:rsidRPr="00467D5F">
        <w:rPr>
          <w:i/>
          <w:sz w:val="22"/>
          <w:u w:val="single"/>
        </w:rPr>
        <w:t>Ex </w:t>
      </w:r>
      <w:r w:rsidRPr="00467D5F">
        <w:rPr>
          <w:sz w:val="22"/>
        </w:rPr>
        <w:t>: dans la base 2017, « 05K10J : Actes diagnostiques par voie vasculaire, en ambulatoire » est un GHM avec deux GHS (</w:t>
      </w:r>
      <w:r w:rsidRPr="00467D5F">
        <w:rPr>
          <w:i/>
          <w:sz w:val="22"/>
        </w:rPr>
        <w:t>colonne A</w:t>
      </w:r>
      <w:r w:rsidRPr="00467D5F">
        <w:rPr>
          <w:sz w:val="22"/>
        </w:rPr>
        <w:t>) : 1706 et 1863, avec des actes (</w:t>
      </w:r>
      <w:r w:rsidRPr="00467D5F">
        <w:rPr>
          <w:i/>
          <w:sz w:val="22"/>
        </w:rPr>
        <w:t>inconnus</w:t>
      </w:r>
      <w:r w:rsidRPr="00467D5F">
        <w:rPr>
          <w:sz w:val="22"/>
        </w:rPr>
        <w:t>) et tarifs différents.</w:t>
      </w:r>
    </w:p>
    <w:p w14:paraId="7AAE17BC" w14:textId="799DB15B" w:rsidR="00D41D89" w:rsidRPr="00467D5F" w:rsidRDefault="00D41D89" w:rsidP="00467D5F">
      <w:pPr>
        <w:widowControl w:val="0"/>
        <w:autoSpaceDE w:val="0"/>
        <w:autoSpaceDN w:val="0"/>
        <w:adjustRightInd w:val="0"/>
        <w:ind w:left="709"/>
        <w:jc w:val="both"/>
        <w:rPr>
          <w:sz w:val="22"/>
        </w:rPr>
      </w:pPr>
      <w:r w:rsidRPr="00D41D89">
        <w:rPr>
          <w:b/>
          <w:sz w:val="22"/>
        </w:rPr>
        <w:t>/!\</w:t>
      </w:r>
      <w:r w:rsidRPr="00D41D89">
        <w:rPr>
          <w:sz w:val="22"/>
        </w:rPr>
        <w:t xml:space="preserve"> </w:t>
      </w:r>
      <w:r>
        <w:rPr>
          <w:sz w:val="22"/>
        </w:rPr>
        <w:t>la colonne « GHS-LIB » donne en fait les libellés des GHM associés à un même code…</w:t>
      </w:r>
    </w:p>
    <w:p w14:paraId="2B570149" w14:textId="77777777" w:rsidR="00B93C02" w:rsidRPr="00467D5F" w:rsidRDefault="00B93C02" w:rsidP="000943F7">
      <w:pPr>
        <w:widowControl w:val="0"/>
        <w:autoSpaceDE w:val="0"/>
        <w:autoSpaceDN w:val="0"/>
        <w:adjustRightInd w:val="0"/>
        <w:ind w:left="709" w:hanging="709"/>
        <w:jc w:val="both"/>
        <w:rPr>
          <w:sz w:val="22"/>
        </w:rPr>
      </w:pPr>
    </w:p>
    <w:p w14:paraId="0690543B" w14:textId="63AACE81" w:rsidR="004A68A2" w:rsidRPr="00467D5F" w:rsidRDefault="00B93C02" w:rsidP="00801335">
      <w:pPr>
        <w:widowControl w:val="0"/>
        <w:autoSpaceDE w:val="0"/>
        <w:autoSpaceDN w:val="0"/>
        <w:adjustRightInd w:val="0"/>
        <w:ind w:left="709" w:hanging="709"/>
        <w:jc w:val="both"/>
        <w:rPr>
          <w:sz w:val="22"/>
        </w:rPr>
      </w:pPr>
      <w:r w:rsidRPr="00467D5F">
        <w:rPr>
          <w:b/>
          <w:sz w:val="22"/>
        </w:rPr>
        <w:t>GHT</w:t>
      </w:r>
      <w:r w:rsidRPr="00467D5F">
        <w:rPr>
          <w:sz w:val="22"/>
        </w:rPr>
        <w:t xml:space="preserve"> : Groupe Homogène de Tarifs, c’est l’équivalent des</w:t>
      </w:r>
      <w:r w:rsidR="00C10EA9" w:rsidRPr="00467D5F">
        <w:rPr>
          <w:sz w:val="22"/>
        </w:rPr>
        <w:t xml:space="preserve"> couples</w:t>
      </w:r>
      <w:r w:rsidRPr="00467D5F">
        <w:rPr>
          <w:sz w:val="22"/>
        </w:rPr>
        <w:t xml:space="preserve"> </w:t>
      </w:r>
      <w:r w:rsidR="00C10EA9" w:rsidRPr="00467D5F">
        <w:rPr>
          <w:sz w:val="22"/>
        </w:rPr>
        <w:t>GHM/</w:t>
      </w:r>
      <w:r w:rsidRPr="00467D5F">
        <w:rPr>
          <w:sz w:val="22"/>
        </w:rPr>
        <w:t>GHS pour l’H</w:t>
      </w:r>
      <w:r w:rsidR="00C10EA9" w:rsidRPr="00467D5F">
        <w:rPr>
          <w:sz w:val="22"/>
        </w:rPr>
        <w:t xml:space="preserve">ospitalisation </w:t>
      </w:r>
      <w:r w:rsidRPr="00467D5F">
        <w:rPr>
          <w:sz w:val="22"/>
        </w:rPr>
        <w:t>A</w:t>
      </w:r>
      <w:r w:rsidR="00C10EA9" w:rsidRPr="00467D5F">
        <w:rPr>
          <w:sz w:val="22"/>
        </w:rPr>
        <w:t xml:space="preserve"> </w:t>
      </w:r>
      <w:r w:rsidRPr="00467D5F">
        <w:rPr>
          <w:sz w:val="22"/>
        </w:rPr>
        <w:t>D</w:t>
      </w:r>
      <w:r w:rsidR="00C10EA9" w:rsidRPr="00467D5F">
        <w:rPr>
          <w:sz w:val="22"/>
        </w:rPr>
        <w:t>omicile (</w:t>
      </w:r>
      <w:r w:rsidR="00C10EA9" w:rsidRPr="00467D5F">
        <w:rPr>
          <w:i/>
          <w:sz w:val="22"/>
        </w:rPr>
        <w:t>HAD</w:t>
      </w:r>
      <w:r w:rsidR="00C10EA9" w:rsidRPr="00467D5F">
        <w:rPr>
          <w:sz w:val="22"/>
        </w:rPr>
        <w:t>)</w:t>
      </w:r>
      <w:r w:rsidRPr="00467D5F">
        <w:rPr>
          <w:sz w:val="22"/>
        </w:rPr>
        <w:t xml:space="preserve">. </w:t>
      </w:r>
      <w:r w:rsidRPr="00467D5F">
        <w:rPr>
          <w:b/>
          <w:sz w:val="22"/>
        </w:rPr>
        <w:t>/!\</w:t>
      </w:r>
      <w:r w:rsidRPr="00467D5F">
        <w:rPr>
          <w:sz w:val="22"/>
        </w:rPr>
        <w:t xml:space="preserve"> ne pas confondre avec les Groupement Hospitalier de Territoire (</w:t>
      </w:r>
      <w:r w:rsidRPr="00467D5F">
        <w:rPr>
          <w:i/>
          <w:sz w:val="22"/>
        </w:rPr>
        <w:t>également GHT dans certains textes</w:t>
      </w:r>
      <w:proofErr w:type="gramStart"/>
      <w:r w:rsidRPr="00467D5F">
        <w:rPr>
          <w:i/>
          <w:sz w:val="22"/>
        </w:rPr>
        <w:t>..</w:t>
      </w:r>
      <w:r w:rsidRPr="00467D5F">
        <w:rPr>
          <w:sz w:val="22"/>
        </w:rPr>
        <w:t>)</w:t>
      </w:r>
      <w:proofErr w:type="gramEnd"/>
    </w:p>
    <w:p w14:paraId="73EDEDC5" w14:textId="77777777" w:rsidR="008E791E" w:rsidRPr="00467D5F" w:rsidRDefault="008E791E" w:rsidP="00801335">
      <w:pPr>
        <w:jc w:val="both"/>
        <w:rPr>
          <w:sz w:val="22"/>
        </w:rPr>
      </w:pPr>
    </w:p>
    <w:p w14:paraId="09C794E2" w14:textId="38AB7407" w:rsidR="008E791E" w:rsidRPr="00467D5F" w:rsidRDefault="008E791E" w:rsidP="000943F7">
      <w:pPr>
        <w:ind w:left="709" w:hanging="709"/>
        <w:jc w:val="both"/>
        <w:rPr>
          <w:sz w:val="22"/>
        </w:rPr>
      </w:pPr>
      <w:r w:rsidRPr="00467D5F">
        <w:rPr>
          <w:b/>
          <w:sz w:val="22"/>
        </w:rPr>
        <w:t>MCO</w:t>
      </w:r>
      <w:r w:rsidRPr="00467D5F">
        <w:rPr>
          <w:sz w:val="22"/>
        </w:rPr>
        <w:t xml:space="preserve"> (</w:t>
      </w:r>
      <w:r w:rsidRPr="00467D5F">
        <w:rPr>
          <w:i/>
          <w:sz w:val="22"/>
        </w:rPr>
        <w:t>ou MCOD</w:t>
      </w:r>
      <w:r w:rsidRPr="00467D5F">
        <w:rPr>
          <w:sz w:val="22"/>
        </w:rPr>
        <w:t xml:space="preserve">) : quatre grandes activités de soin de la base : M médecine, C chirurgie, O </w:t>
      </w:r>
      <w:proofErr w:type="spellStart"/>
      <w:r w:rsidRPr="00467D5F">
        <w:rPr>
          <w:sz w:val="22"/>
        </w:rPr>
        <w:t>obstétrie</w:t>
      </w:r>
      <w:proofErr w:type="spellEnd"/>
      <w:r w:rsidRPr="00467D5F">
        <w:rPr>
          <w:sz w:val="22"/>
        </w:rPr>
        <w:t>, D oncologie.</w:t>
      </w:r>
    </w:p>
    <w:p w14:paraId="48A74E62" w14:textId="77777777" w:rsidR="008E791E" w:rsidRPr="00467D5F" w:rsidRDefault="008E791E" w:rsidP="002A6244">
      <w:pPr>
        <w:jc w:val="both"/>
        <w:rPr>
          <w:sz w:val="22"/>
        </w:rPr>
      </w:pPr>
    </w:p>
    <w:p w14:paraId="69FC0CE2" w14:textId="77777777" w:rsidR="004A68A2" w:rsidRPr="00467D5F" w:rsidRDefault="004A68A2" w:rsidP="002A6244">
      <w:pPr>
        <w:ind w:left="708" w:hanging="708"/>
        <w:jc w:val="both"/>
        <w:rPr>
          <w:sz w:val="22"/>
        </w:rPr>
      </w:pPr>
      <w:r w:rsidRPr="00467D5F">
        <w:rPr>
          <w:b/>
          <w:sz w:val="22"/>
        </w:rPr>
        <w:t>SEU-BAS et SEU-HAU</w:t>
      </w:r>
      <w:r w:rsidRPr="00467D5F">
        <w:rPr>
          <w:sz w:val="22"/>
        </w:rPr>
        <w:t xml:space="preserve"> : Seuil </w:t>
      </w:r>
      <w:proofErr w:type="spellStart"/>
      <w:r w:rsidRPr="00467D5F">
        <w:rPr>
          <w:sz w:val="22"/>
        </w:rPr>
        <w:t>EXtrême</w:t>
      </w:r>
      <w:proofErr w:type="spellEnd"/>
      <w:r w:rsidRPr="00467D5F">
        <w:rPr>
          <w:sz w:val="22"/>
        </w:rPr>
        <w:t xml:space="preserve"> Bas (</w:t>
      </w:r>
      <w:r w:rsidRPr="00467D5F">
        <w:rPr>
          <w:i/>
          <w:sz w:val="22"/>
        </w:rPr>
        <w:t xml:space="preserve">aussi appelé </w:t>
      </w:r>
      <w:r w:rsidRPr="00467D5F">
        <w:rPr>
          <w:b/>
          <w:i/>
          <w:sz w:val="22"/>
        </w:rPr>
        <w:t>EXB</w:t>
      </w:r>
      <w:r w:rsidRPr="00467D5F">
        <w:rPr>
          <w:i/>
          <w:sz w:val="22"/>
        </w:rPr>
        <w:t xml:space="preserve"> ou « borne basse »</w:t>
      </w:r>
      <w:r w:rsidRPr="00467D5F">
        <w:rPr>
          <w:sz w:val="22"/>
        </w:rPr>
        <w:t xml:space="preserve">) et Seuil </w:t>
      </w:r>
      <w:proofErr w:type="spellStart"/>
      <w:r w:rsidRPr="00467D5F">
        <w:rPr>
          <w:sz w:val="22"/>
        </w:rPr>
        <w:t>EXtrême</w:t>
      </w:r>
      <w:proofErr w:type="spellEnd"/>
      <w:r w:rsidRPr="00467D5F">
        <w:rPr>
          <w:sz w:val="22"/>
        </w:rPr>
        <w:t xml:space="preserve"> Haut (</w:t>
      </w:r>
      <w:r w:rsidRPr="00467D5F">
        <w:rPr>
          <w:i/>
          <w:sz w:val="22"/>
        </w:rPr>
        <w:t xml:space="preserve">aussi appelé </w:t>
      </w:r>
      <w:r w:rsidRPr="00467D5F">
        <w:rPr>
          <w:b/>
          <w:i/>
          <w:sz w:val="22"/>
        </w:rPr>
        <w:t>EXH</w:t>
      </w:r>
      <w:r w:rsidRPr="00467D5F">
        <w:rPr>
          <w:i/>
          <w:sz w:val="22"/>
        </w:rPr>
        <w:t xml:space="preserve"> ou « borne haute »</w:t>
      </w:r>
      <w:r w:rsidRPr="00467D5F">
        <w:rPr>
          <w:sz w:val="22"/>
        </w:rPr>
        <w:t>) exprimés en nombre jours.</w:t>
      </w:r>
    </w:p>
    <w:p w14:paraId="058735D0" w14:textId="77777777" w:rsidR="004A68A2" w:rsidRPr="00467D5F" w:rsidRDefault="004A68A2" w:rsidP="002A6244">
      <w:pPr>
        <w:widowControl w:val="0"/>
        <w:autoSpaceDE w:val="0"/>
        <w:autoSpaceDN w:val="0"/>
        <w:adjustRightInd w:val="0"/>
        <w:ind w:left="708"/>
        <w:jc w:val="both"/>
        <w:rPr>
          <w:sz w:val="22"/>
        </w:rPr>
      </w:pPr>
      <w:r w:rsidRPr="00467D5F">
        <w:rPr>
          <w:sz w:val="22"/>
        </w:rPr>
        <w:t>Il s’agit de deux seuils complémentaires qui servent comme mécanisme d’incitations à bien catégoriser le séjour pour un hôpital.</w:t>
      </w:r>
    </w:p>
    <w:p w14:paraId="2F281BC5" w14:textId="77777777" w:rsidR="004A68A2" w:rsidRPr="00467D5F" w:rsidRDefault="004A68A2" w:rsidP="002A6244">
      <w:pPr>
        <w:pStyle w:val="Paragraphedeliste"/>
        <w:widowControl w:val="0"/>
        <w:numPr>
          <w:ilvl w:val="0"/>
          <w:numId w:val="1"/>
        </w:numPr>
        <w:autoSpaceDE w:val="0"/>
        <w:autoSpaceDN w:val="0"/>
        <w:adjustRightInd w:val="0"/>
        <w:ind w:left="1428"/>
        <w:jc w:val="both"/>
        <w:rPr>
          <w:sz w:val="22"/>
        </w:rPr>
      </w:pPr>
      <w:r w:rsidRPr="00467D5F">
        <w:rPr>
          <w:sz w:val="22"/>
        </w:rPr>
        <w:t>Quand un séjour dans un GHS donné n’atteint pas un nombre de jours minimal fixé, appelé EXB, l’établissement est pénalisé et voit le tarif de ce GHS (</w:t>
      </w:r>
      <w:proofErr w:type="spellStart"/>
      <w:r w:rsidRPr="00467D5F">
        <w:rPr>
          <w:i/>
          <w:sz w:val="22"/>
        </w:rPr>
        <w:t>ie</w:t>
      </w:r>
      <w:proofErr w:type="spellEnd"/>
      <w:r w:rsidRPr="00467D5F">
        <w:rPr>
          <w:i/>
          <w:sz w:val="22"/>
        </w:rPr>
        <w:t xml:space="preserve"> le remboursement</w:t>
      </w:r>
      <w:r w:rsidRPr="00467D5F">
        <w:rPr>
          <w:sz w:val="22"/>
        </w:rPr>
        <w:t>) divisé par 2 environ.</w:t>
      </w:r>
    </w:p>
    <w:p w14:paraId="30BE18AD" w14:textId="77777777" w:rsidR="004A68A2" w:rsidRPr="00467D5F" w:rsidRDefault="004A68A2" w:rsidP="002A6244">
      <w:pPr>
        <w:pStyle w:val="Paragraphedeliste"/>
        <w:widowControl w:val="0"/>
        <w:numPr>
          <w:ilvl w:val="0"/>
          <w:numId w:val="1"/>
        </w:numPr>
        <w:autoSpaceDE w:val="0"/>
        <w:autoSpaceDN w:val="0"/>
        <w:adjustRightInd w:val="0"/>
        <w:ind w:left="1428"/>
        <w:jc w:val="both"/>
        <w:rPr>
          <w:sz w:val="22"/>
        </w:rPr>
      </w:pPr>
      <w:r w:rsidRPr="00467D5F">
        <w:rPr>
          <w:sz w:val="22"/>
        </w:rPr>
        <w:t>Cette même logique s’applique aux séjours qui cette fois dépasse un nombre de jours maximal fixé, appelé EXH. Dans ce cas, chaque jour d’hospitalisation du patient au-delà du nombre de jours maximal fixé pour ce GHS sera payé via un montant fixe par jour supplémentaire. Et évidemment ce montant est largement inférieur au tarif du GHS ramené au nombre de jours du GHS.</w:t>
      </w:r>
    </w:p>
    <w:p w14:paraId="12BE1FEC" w14:textId="77777777" w:rsidR="00746748" w:rsidRPr="00467D5F" w:rsidRDefault="00746748" w:rsidP="002A6244">
      <w:pPr>
        <w:widowControl w:val="0"/>
        <w:autoSpaceDE w:val="0"/>
        <w:autoSpaceDN w:val="0"/>
        <w:adjustRightInd w:val="0"/>
        <w:jc w:val="both"/>
        <w:rPr>
          <w:sz w:val="22"/>
        </w:rPr>
      </w:pPr>
    </w:p>
    <w:p w14:paraId="006F298C" w14:textId="203441BA" w:rsidR="00746748" w:rsidRPr="00467D5F" w:rsidRDefault="002A6244" w:rsidP="000943F7">
      <w:pPr>
        <w:widowControl w:val="0"/>
        <w:autoSpaceDE w:val="0"/>
        <w:autoSpaceDN w:val="0"/>
        <w:adjustRightInd w:val="0"/>
        <w:ind w:left="709" w:hanging="709"/>
        <w:jc w:val="both"/>
        <w:rPr>
          <w:sz w:val="22"/>
        </w:rPr>
      </w:pPr>
      <w:r w:rsidRPr="00467D5F">
        <w:rPr>
          <w:b/>
          <w:sz w:val="22"/>
        </w:rPr>
        <w:t>GHS-PRI</w:t>
      </w:r>
      <w:r w:rsidRPr="00467D5F">
        <w:rPr>
          <w:sz w:val="22"/>
        </w:rPr>
        <w:t> : le tarif de remboursement par l’assurance maladie pour l’ensemble du séjour (</w:t>
      </w:r>
      <w:r w:rsidRPr="00467D5F">
        <w:rPr>
          <w:i/>
          <w:sz w:val="22"/>
        </w:rPr>
        <w:t>qu’il soit de 1, 3 ou 10 jours</w:t>
      </w:r>
      <w:r w:rsidRPr="00467D5F">
        <w:rPr>
          <w:sz w:val="22"/>
        </w:rPr>
        <w:t>) sous réserve d’être entre les seuils bas et haut.</w:t>
      </w:r>
    </w:p>
    <w:p w14:paraId="0FCA40E8" w14:textId="77777777" w:rsidR="002A6244" w:rsidRPr="00467D5F" w:rsidRDefault="002A6244" w:rsidP="000943F7">
      <w:pPr>
        <w:widowControl w:val="0"/>
        <w:autoSpaceDE w:val="0"/>
        <w:autoSpaceDN w:val="0"/>
        <w:adjustRightInd w:val="0"/>
        <w:ind w:left="709" w:hanging="709"/>
        <w:jc w:val="both"/>
        <w:rPr>
          <w:sz w:val="22"/>
        </w:rPr>
      </w:pPr>
    </w:p>
    <w:p w14:paraId="5D28D0EE" w14:textId="5EE34701" w:rsidR="002A6244" w:rsidRPr="00467D5F" w:rsidRDefault="002A6244" w:rsidP="000943F7">
      <w:pPr>
        <w:widowControl w:val="0"/>
        <w:autoSpaceDE w:val="0"/>
        <w:autoSpaceDN w:val="0"/>
        <w:adjustRightInd w:val="0"/>
        <w:ind w:left="709" w:hanging="709"/>
        <w:jc w:val="both"/>
        <w:rPr>
          <w:sz w:val="22"/>
        </w:rPr>
      </w:pPr>
      <w:r w:rsidRPr="00467D5F">
        <w:rPr>
          <w:b/>
          <w:sz w:val="22"/>
        </w:rPr>
        <w:t>EXB-FORFAIT</w:t>
      </w:r>
      <w:r w:rsidRPr="00467D5F">
        <w:rPr>
          <w:sz w:val="22"/>
        </w:rPr>
        <w:t xml:space="preserve"> et </w:t>
      </w:r>
      <w:r w:rsidRPr="00467D5F">
        <w:rPr>
          <w:b/>
          <w:sz w:val="22"/>
        </w:rPr>
        <w:t>EXB-JOURNALIER </w:t>
      </w:r>
      <w:r w:rsidRPr="00467D5F">
        <w:rPr>
          <w:sz w:val="22"/>
        </w:rPr>
        <w:t>: si la durée d’hospitalisation est inférieure au seuil bas correspondant au GHS déclaré par l’hôpital, ce dernier ne touche pas le tarif GHS-PRI. A la place, il reçoit soit un remboursement forfaitaire pour l’ensemble du séjour, soit un remboursement par jour d’hospitalisation.</w:t>
      </w:r>
    </w:p>
    <w:p w14:paraId="5027D099" w14:textId="77777777" w:rsidR="002A6244" w:rsidRPr="00467D5F" w:rsidRDefault="002A6244" w:rsidP="000943F7">
      <w:pPr>
        <w:widowControl w:val="0"/>
        <w:autoSpaceDE w:val="0"/>
        <w:autoSpaceDN w:val="0"/>
        <w:adjustRightInd w:val="0"/>
        <w:ind w:left="709" w:hanging="709"/>
        <w:jc w:val="both"/>
        <w:rPr>
          <w:sz w:val="22"/>
        </w:rPr>
      </w:pPr>
    </w:p>
    <w:p w14:paraId="227A5241" w14:textId="1312B534" w:rsidR="002A6244" w:rsidRPr="00467D5F" w:rsidRDefault="002A6244" w:rsidP="000943F7">
      <w:pPr>
        <w:widowControl w:val="0"/>
        <w:autoSpaceDE w:val="0"/>
        <w:autoSpaceDN w:val="0"/>
        <w:adjustRightInd w:val="0"/>
        <w:ind w:left="709" w:hanging="709"/>
        <w:jc w:val="both"/>
        <w:rPr>
          <w:sz w:val="22"/>
        </w:rPr>
      </w:pPr>
      <w:r w:rsidRPr="00467D5F">
        <w:rPr>
          <w:b/>
          <w:sz w:val="22"/>
        </w:rPr>
        <w:t>EXH-PRI </w:t>
      </w:r>
      <w:r w:rsidRPr="00467D5F">
        <w:rPr>
          <w:sz w:val="22"/>
        </w:rPr>
        <w:t xml:space="preserve">: si la durée d’hospitalisation dépasse le seuil haut, l’hôpital touche le remboursement prévu GHS-PRI plus </w:t>
      </w:r>
      <w:r w:rsidR="000943F7" w:rsidRPr="00467D5F">
        <w:rPr>
          <w:sz w:val="22"/>
        </w:rPr>
        <w:t xml:space="preserve">un montant </w:t>
      </w:r>
      <w:r w:rsidRPr="00467D5F">
        <w:rPr>
          <w:sz w:val="22"/>
        </w:rPr>
        <w:t>EXH-FORFAIT par jour en plus.</w:t>
      </w:r>
    </w:p>
    <w:p w14:paraId="4399803A" w14:textId="77777777" w:rsidR="00746748" w:rsidRDefault="00746748" w:rsidP="002A6244">
      <w:pPr>
        <w:widowControl w:val="0"/>
        <w:autoSpaceDE w:val="0"/>
        <w:autoSpaceDN w:val="0"/>
        <w:adjustRightInd w:val="0"/>
        <w:jc w:val="both"/>
        <w:rPr>
          <w:sz w:val="22"/>
        </w:rPr>
      </w:pPr>
    </w:p>
    <w:p w14:paraId="3D86ADD1" w14:textId="77777777" w:rsidR="00467D5F" w:rsidRPr="00467D5F" w:rsidRDefault="00467D5F" w:rsidP="002A6244">
      <w:pPr>
        <w:widowControl w:val="0"/>
        <w:autoSpaceDE w:val="0"/>
        <w:autoSpaceDN w:val="0"/>
        <w:adjustRightInd w:val="0"/>
        <w:jc w:val="both"/>
        <w:rPr>
          <w:sz w:val="22"/>
        </w:rPr>
      </w:pPr>
    </w:p>
    <w:p w14:paraId="56578E78" w14:textId="767FBA4C" w:rsidR="005C41A8" w:rsidRDefault="005C41A8" w:rsidP="002A6244">
      <w:pPr>
        <w:widowControl w:val="0"/>
        <w:autoSpaceDE w:val="0"/>
        <w:autoSpaceDN w:val="0"/>
        <w:adjustRightInd w:val="0"/>
        <w:jc w:val="both"/>
        <w:rPr>
          <w:sz w:val="22"/>
        </w:rPr>
      </w:pPr>
      <w:r>
        <w:rPr>
          <w:sz w:val="22"/>
        </w:rPr>
        <w:t>Lien de la base :</w:t>
      </w:r>
    </w:p>
    <w:p w14:paraId="38CDAF46" w14:textId="2526DF8B" w:rsidR="005C41A8" w:rsidRDefault="005C41A8" w:rsidP="002A6244">
      <w:pPr>
        <w:widowControl w:val="0"/>
        <w:autoSpaceDE w:val="0"/>
        <w:autoSpaceDN w:val="0"/>
        <w:adjustRightInd w:val="0"/>
        <w:jc w:val="both"/>
        <w:rPr>
          <w:sz w:val="22"/>
        </w:rPr>
      </w:pPr>
      <w:hyperlink r:id="rId6" w:history="1">
        <w:r w:rsidRPr="00F74221">
          <w:rPr>
            <w:rStyle w:val="Lienhypertexte"/>
            <w:sz w:val="22"/>
          </w:rPr>
          <w:t>https://www.atih.sante.fr/tarifs-mco-et-had</w:t>
        </w:r>
      </w:hyperlink>
    </w:p>
    <w:p w14:paraId="601A15DD" w14:textId="77777777" w:rsidR="005C41A8" w:rsidRDefault="005C41A8" w:rsidP="002A6244">
      <w:pPr>
        <w:widowControl w:val="0"/>
        <w:autoSpaceDE w:val="0"/>
        <w:autoSpaceDN w:val="0"/>
        <w:adjustRightInd w:val="0"/>
        <w:jc w:val="both"/>
        <w:rPr>
          <w:sz w:val="22"/>
        </w:rPr>
      </w:pPr>
    </w:p>
    <w:p w14:paraId="2CE50EDD" w14:textId="478F50C3" w:rsidR="005C41A8" w:rsidRDefault="005C41A8" w:rsidP="002A6244">
      <w:pPr>
        <w:widowControl w:val="0"/>
        <w:autoSpaceDE w:val="0"/>
        <w:autoSpaceDN w:val="0"/>
        <w:adjustRightInd w:val="0"/>
        <w:jc w:val="both"/>
        <w:rPr>
          <w:sz w:val="22"/>
        </w:rPr>
      </w:pPr>
      <w:r>
        <w:rPr>
          <w:sz w:val="22"/>
        </w:rPr>
        <w:t>Notice sur la tarification à l’acte :</w:t>
      </w:r>
    </w:p>
    <w:p w14:paraId="3D53A30A" w14:textId="4AE98BDA" w:rsidR="005C41A8" w:rsidRDefault="00A46003" w:rsidP="002A6244">
      <w:pPr>
        <w:widowControl w:val="0"/>
        <w:autoSpaceDE w:val="0"/>
        <w:autoSpaceDN w:val="0"/>
        <w:adjustRightInd w:val="0"/>
        <w:jc w:val="both"/>
        <w:rPr>
          <w:sz w:val="22"/>
        </w:rPr>
      </w:pPr>
      <w:hyperlink r:id="rId7" w:history="1">
        <w:r w:rsidRPr="00F74221">
          <w:rPr>
            <w:rStyle w:val="Lienhypertexte"/>
            <w:sz w:val="22"/>
          </w:rPr>
          <w:t>https://solidarites-sante.gouv.fr/professionnels/gerer-un-etablissement-de-sante-medico-social/financement/financement-des-etablissements-de-sante-10795/article/financement-des-etablissements-de-sante</w:t>
        </w:r>
      </w:hyperlink>
    </w:p>
    <w:p w14:paraId="7801880D" w14:textId="77777777" w:rsidR="005C41A8" w:rsidRDefault="005C41A8" w:rsidP="002A6244">
      <w:pPr>
        <w:widowControl w:val="0"/>
        <w:autoSpaceDE w:val="0"/>
        <w:autoSpaceDN w:val="0"/>
        <w:adjustRightInd w:val="0"/>
        <w:jc w:val="both"/>
        <w:rPr>
          <w:sz w:val="22"/>
        </w:rPr>
      </w:pPr>
    </w:p>
    <w:p w14:paraId="72D91CE4" w14:textId="6AD62C7D" w:rsidR="00746748" w:rsidRPr="00467D5F" w:rsidRDefault="000943F7" w:rsidP="002A6244">
      <w:pPr>
        <w:widowControl w:val="0"/>
        <w:autoSpaceDE w:val="0"/>
        <w:autoSpaceDN w:val="0"/>
        <w:adjustRightInd w:val="0"/>
        <w:jc w:val="both"/>
        <w:rPr>
          <w:sz w:val="22"/>
        </w:rPr>
      </w:pPr>
      <w:r w:rsidRPr="00467D5F">
        <w:rPr>
          <w:sz w:val="22"/>
        </w:rPr>
        <w:t>Plus de définitions :</w:t>
      </w:r>
    </w:p>
    <w:p w14:paraId="7E363764" w14:textId="4FBE40DD" w:rsidR="00746748" w:rsidRPr="00467D5F" w:rsidRDefault="004737A3" w:rsidP="002A6244">
      <w:pPr>
        <w:widowControl w:val="0"/>
        <w:autoSpaceDE w:val="0"/>
        <w:autoSpaceDN w:val="0"/>
        <w:adjustRightInd w:val="0"/>
        <w:jc w:val="both"/>
        <w:rPr>
          <w:sz w:val="22"/>
        </w:rPr>
      </w:pPr>
      <w:hyperlink r:id="rId8" w:history="1">
        <w:r w:rsidR="00746748" w:rsidRPr="00467D5F">
          <w:rPr>
            <w:rStyle w:val="Lienhypertexte"/>
            <w:sz w:val="22"/>
          </w:rPr>
          <w:t>https://www.lespmsi.com/abreviations-pmsi-pilotage-facturation-t2a/</w:t>
        </w:r>
      </w:hyperlink>
    </w:p>
    <w:p w14:paraId="3EB3AEDF" w14:textId="77777777" w:rsidR="006D4076" w:rsidRPr="00467D5F" w:rsidRDefault="006D4076" w:rsidP="002A6244">
      <w:pPr>
        <w:widowControl w:val="0"/>
        <w:autoSpaceDE w:val="0"/>
        <w:autoSpaceDN w:val="0"/>
        <w:adjustRightInd w:val="0"/>
        <w:jc w:val="both"/>
        <w:rPr>
          <w:sz w:val="22"/>
        </w:rPr>
      </w:pPr>
    </w:p>
    <w:p w14:paraId="0E486905" w14:textId="78D16F75" w:rsidR="006D4076" w:rsidRPr="00467D5F" w:rsidRDefault="006D4076" w:rsidP="002A6244">
      <w:pPr>
        <w:widowControl w:val="0"/>
        <w:autoSpaceDE w:val="0"/>
        <w:autoSpaceDN w:val="0"/>
        <w:adjustRightInd w:val="0"/>
        <w:jc w:val="both"/>
        <w:rPr>
          <w:sz w:val="22"/>
        </w:rPr>
      </w:pPr>
      <w:r w:rsidRPr="00467D5F">
        <w:rPr>
          <w:sz w:val="22"/>
        </w:rPr>
        <w:t>Comment sont définis les GHS pour un GHM donné :</w:t>
      </w:r>
    </w:p>
    <w:p w14:paraId="15ADCEAC" w14:textId="162BC73C" w:rsidR="006D4076" w:rsidRPr="00467D5F" w:rsidRDefault="004737A3" w:rsidP="002A6244">
      <w:pPr>
        <w:widowControl w:val="0"/>
        <w:autoSpaceDE w:val="0"/>
        <w:autoSpaceDN w:val="0"/>
        <w:adjustRightInd w:val="0"/>
        <w:jc w:val="both"/>
        <w:rPr>
          <w:sz w:val="22"/>
        </w:rPr>
      </w:pPr>
      <w:hyperlink r:id="rId9" w:history="1">
        <w:r w:rsidR="006D4076" w:rsidRPr="00467D5F">
          <w:rPr>
            <w:rStyle w:val="Lienhypertexte"/>
            <w:sz w:val="22"/>
          </w:rPr>
          <w:t>https://www.lespmsi.com/la-repartition-par-ghs-des-ghm-multi-ghs-en-2017-chiffres-base-nationale-mco/</w:t>
        </w:r>
      </w:hyperlink>
    </w:p>
    <w:p w14:paraId="58CED4BE" w14:textId="77777777" w:rsidR="006D4076" w:rsidRPr="00467D5F" w:rsidRDefault="006D4076" w:rsidP="002A6244">
      <w:pPr>
        <w:widowControl w:val="0"/>
        <w:autoSpaceDE w:val="0"/>
        <w:autoSpaceDN w:val="0"/>
        <w:adjustRightInd w:val="0"/>
        <w:jc w:val="both"/>
        <w:rPr>
          <w:sz w:val="22"/>
        </w:rPr>
      </w:pPr>
    </w:p>
    <w:p w14:paraId="28870797" w14:textId="34191D61" w:rsidR="006D4076" w:rsidRPr="00467D5F" w:rsidRDefault="006D4076" w:rsidP="002A6244">
      <w:pPr>
        <w:widowControl w:val="0"/>
        <w:autoSpaceDE w:val="0"/>
        <w:autoSpaceDN w:val="0"/>
        <w:adjustRightInd w:val="0"/>
        <w:jc w:val="both"/>
        <w:rPr>
          <w:sz w:val="22"/>
        </w:rPr>
      </w:pPr>
      <w:r w:rsidRPr="00467D5F">
        <w:rPr>
          <w:sz w:val="22"/>
        </w:rPr>
        <w:t>Si on a besoin de se pencher sur le calcul des EXB – EXH :</w:t>
      </w:r>
    </w:p>
    <w:p w14:paraId="638FBF28" w14:textId="44184B8F" w:rsidR="006D4076" w:rsidRPr="00467D5F" w:rsidRDefault="004737A3" w:rsidP="002A6244">
      <w:pPr>
        <w:widowControl w:val="0"/>
        <w:autoSpaceDE w:val="0"/>
        <w:autoSpaceDN w:val="0"/>
        <w:adjustRightInd w:val="0"/>
        <w:jc w:val="both"/>
        <w:rPr>
          <w:sz w:val="22"/>
        </w:rPr>
      </w:pPr>
      <w:hyperlink r:id="rId10" w:history="1">
        <w:r w:rsidR="006D4076" w:rsidRPr="00467D5F">
          <w:rPr>
            <w:rStyle w:val="Lienhypertexte"/>
            <w:sz w:val="22"/>
          </w:rPr>
          <w:t>https://www.atih.sante.fr/sites/default/files/public/content/2138/fiche_borne_basse.pdf</w:t>
        </w:r>
      </w:hyperlink>
    </w:p>
    <w:p w14:paraId="54FF56AB" w14:textId="77777777" w:rsidR="006D4076" w:rsidRDefault="006D4076" w:rsidP="002A6244">
      <w:pPr>
        <w:widowControl w:val="0"/>
        <w:autoSpaceDE w:val="0"/>
        <w:autoSpaceDN w:val="0"/>
        <w:adjustRightInd w:val="0"/>
        <w:jc w:val="both"/>
        <w:rPr>
          <w:sz w:val="22"/>
        </w:rPr>
      </w:pPr>
    </w:p>
    <w:p w14:paraId="33FACA15" w14:textId="1DD79979" w:rsidR="001F387D" w:rsidRDefault="001F387D" w:rsidP="002A6244">
      <w:pPr>
        <w:widowControl w:val="0"/>
        <w:autoSpaceDE w:val="0"/>
        <w:autoSpaceDN w:val="0"/>
        <w:adjustRightInd w:val="0"/>
        <w:jc w:val="both"/>
        <w:rPr>
          <w:sz w:val="22"/>
        </w:rPr>
      </w:pPr>
      <w:r>
        <w:rPr>
          <w:sz w:val="22"/>
        </w:rPr>
        <w:t>Sur les tarifs sup :</w:t>
      </w:r>
    </w:p>
    <w:p w14:paraId="732767E2" w14:textId="04F16544" w:rsidR="001F387D" w:rsidRDefault="004737A3" w:rsidP="002A6244">
      <w:pPr>
        <w:widowControl w:val="0"/>
        <w:autoSpaceDE w:val="0"/>
        <w:autoSpaceDN w:val="0"/>
        <w:adjustRightInd w:val="0"/>
        <w:jc w:val="both"/>
        <w:rPr>
          <w:sz w:val="22"/>
        </w:rPr>
      </w:pPr>
      <w:hyperlink r:id="rId11" w:history="1">
        <w:r w:rsidR="001F387D" w:rsidRPr="00F74221">
          <w:rPr>
            <w:rStyle w:val="Lienhypertexte"/>
            <w:sz w:val="22"/>
          </w:rPr>
          <w:t>http://www.lespmsi.com/tarifs-des-supplements-mco-2018-oqn-et-dgf/</w:t>
        </w:r>
      </w:hyperlink>
    </w:p>
    <w:p w14:paraId="5E7360DF" w14:textId="77777777" w:rsidR="001F387D" w:rsidRPr="00467D5F" w:rsidRDefault="001F387D" w:rsidP="002A6244">
      <w:pPr>
        <w:widowControl w:val="0"/>
        <w:autoSpaceDE w:val="0"/>
        <w:autoSpaceDN w:val="0"/>
        <w:adjustRightInd w:val="0"/>
        <w:jc w:val="both"/>
        <w:rPr>
          <w:sz w:val="22"/>
        </w:rPr>
      </w:pPr>
    </w:p>
    <w:sectPr w:rsidR="001F387D" w:rsidRPr="00467D5F" w:rsidSect="00D1206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727BC4"/>
    <w:multiLevelType w:val="hybridMultilevel"/>
    <w:tmpl w:val="61FEE79A"/>
    <w:lvl w:ilvl="0" w:tplc="142644CA">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68A2"/>
    <w:rsid w:val="00083AAA"/>
    <w:rsid w:val="000943F7"/>
    <w:rsid w:val="001D5094"/>
    <w:rsid w:val="001F387D"/>
    <w:rsid w:val="002A6244"/>
    <w:rsid w:val="00467D5F"/>
    <w:rsid w:val="004737A3"/>
    <w:rsid w:val="004A60F5"/>
    <w:rsid w:val="004A68A2"/>
    <w:rsid w:val="005A2299"/>
    <w:rsid w:val="005C41A8"/>
    <w:rsid w:val="006D4076"/>
    <w:rsid w:val="00746748"/>
    <w:rsid w:val="00801335"/>
    <w:rsid w:val="008E791E"/>
    <w:rsid w:val="009A55DC"/>
    <w:rsid w:val="00A46003"/>
    <w:rsid w:val="00B93C02"/>
    <w:rsid w:val="00C10EA9"/>
    <w:rsid w:val="00C12041"/>
    <w:rsid w:val="00CD4B31"/>
    <w:rsid w:val="00D12060"/>
    <w:rsid w:val="00D41D89"/>
    <w:rsid w:val="00F13CA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F3DD03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A68A2"/>
    <w:pPr>
      <w:ind w:left="720"/>
      <w:contextualSpacing/>
    </w:pPr>
  </w:style>
  <w:style w:type="character" w:styleId="Lienhypertexte">
    <w:name w:val="Hyperlink"/>
    <w:basedOn w:val="Policepardfaut"/>
    <w:uiPriority w:val="99"/>
    <w:unhideWhenUsed/>
    <w:rsid w:val="0074674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A68A2"/>
    <w:pPr>
      <w:ind w:left="720"/>
      <w:contextualSpacing/>
    </w:pPr>
  </w:style>
  <w:style w:type="character" w:styleId="Lienhypertexte">
    <w:name w:val="Hyperlink"/>
    <w:basedOn w:val="Policepardfaut"/>
    <w:uiPriority w:val="99"/>
    <w:unhideWhenUsed/>
    <w:rsid w:val="0074674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lespmsi.com/tarifs-des-supplements-mco-2018-oqn-et-dgf/"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atih.sante.fr/tarifs-mco-et-had" TargetMode="External"/><Relationship Id="rId7" Type="http://schemas.openxmlformats.org/officeDocument/2006/relationships/hyperlink" Target="https://solidarites-sante.gouv.fr/professionnels/gerer-un-etablissement-de-sante-medico-social/financement/financement-des-etablissements-de-sante-10795/article/financement-des-etablissements-de-sante" TargetMode="External"/><Relationship Id="rId8" Type="http://schemas.openxmlformats.org/officeDocument/2006/relationships/hyperlink" Target="https://www.lespmsi.com/abreviations-pmsi-pilotage-facturation-t2a/" TargetMode="External"/><Relationship Id="rId9" Type="http://schemas.openxmlformats.org/officeDocument/2006/relationships/hyperlink" Target="https://www.lespmsi.com/la-repartition-par-ghs-des-ghm-multi-ghs-en-2017-chiffres-base-nationale-mco/" TargetMode="External"/><Relationship Id="rId10" Type="http://schemas.openxmlformats.org/officeDocument/2006/relationships/hyperlink" Target="https://www.atih.sante.fr/sites/default/files/public/content/2138/fiche_borne_basse.pdf"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692</Words>
  <Characters>3808</Characters>
  <Application>Microsoft Macintosh Word</Application>
  <DocSecurity>0</DocSecurity>
  <Lines>31</Lines>
  <Paragraphs>8</Paragraphs>
  <ScaleCrop>false</ScaleCrop>
  <Company/>
  <LinksUpToDate>false</LinksUpToDate>
  <CharactersWithSpaces>4492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Clément Bourdier</dc:creator>
  <cp:keywords/>
  <dc:description/>
  <cp:lastModifiedBy>Clément Bourdier</cp:lastModifiedBy>
  <cp:revision>23</cp:revision>
  <dcterms:created xsi:type="dcterms:W3CDTF">2018-11-07T09:49:00Z</dcterms:created>
  <dcterms:modified xsi:type="dcterms:W3CDTF">2018-11-07T11:54:00Z</dcterms:modified>
</cp:coreProperties>
</file>