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4F8937B8" w14:textId="6CA81449" w:rsidR="00021CBC"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331510" w:history="1">
            <w:r w:rsidR="00021CBC" w:rsidRPr="00F37F16">
              <w:rPr>
                <w:rStyle w:val="Hyperlink"/>
                <w:rFonts w:eastAsia="Times New Roman"/>
                <w:noProof/>
              </w:rPr>
              <w:t>Einleitung (1-2p)</w:t>
            </w:r>
            <w:r w:rsidR="00021CBC">
              <w:rPr>
                <w:noProof/>
                <w:webHidden/>
              </w:rPr>
              <w:tab/>
            </w:r>
            <w:r w:rsidR="00021CBC">
              <w:rPr>
                <w:noProof/>
                <w:webHidden/>
              </w:rPr>
              <w:fldChar w:fldCharType="begin"/>
            </w:r>
            <w:r w:rsidR="00021CBC">
              <w:rPr>
                <w:noProof/>
                <w:webHidden/>
              </w:rPr>
              <w:instrText xml:space="preserve"> PAGEREF _Toc129331510 \h </w:instrText>
            </w:r>
            <w:r w:rsidR="00021CBC">
              <w:rPr>
                <w:noProof/>
                <w:webHidden/>
              </w:rPr>
            </w:r>
            <w:r w:rsidR="00021CBC">
              <w:rPr>
                <w:noProof/>
                <w:webHidden/>
              </w:rPr>
              <w:fldChar w:fldCharType="separate"/>
            </w:r>
            <w:r w:rsidR="00021CBC">
              <w:rPr>
                <w:noProof/>
                <w:webHidden/>
              </w:rPr>
              <w:t>1</w:t>
            </w:r>
            <w:r w:rsidR="00021CBC">
              <w:rPr>
                <w:noProof/>
                <w:webHidden/>
              </w:rPr>
              <w:fldChar w:fldCharType="end"/>
            </w:r>
          </w:hyperlink>
        </w:p>
        <w:p w14:paraId="5E2B649C" w14:textId="0BD7AF28" w:rsidR="00021CBC" w:rsidRDefault="00021CBC">
          <w:pPr>
            <w:pStyle w:val="TOC3"/>
            <w:tabs>
              <w:tab w:val="right" w:leader="dot" w:pos="9062"/>
            </w:tabs>
            <w:rPr>
              <w:rFonts w:eastAsiaTheme="minorEastAsia"/>
              <w:noProof/>
              <w:lang w:val="en-US"/>
            </w:rPr>
          </w:pPr>
          <w:hyperlink w:anchor="_Toc129331511" w:history="1">
            <w:r w:rsidRPr="00F37F16">
              <w:rPr>
                <w:rStyle w:val="Hyperlink"/>
                <w:rFonts w:eastAsia="Times New Roman"/>
                <w:noProof/>
              </w:rPr>
              <w:t>Aufmacher</w:t>
            </w:r>
            <w:r>
              <w:rPr>
                <w:noProof/>
                <w:webHidden/>
              </w:rPr>
              <w:tab/>
            </w:r>
            <w:r>
              <w:rPr>
                <w:noProof/>
                <w:webHidden/>
              </w:rPr>
              <w:fldChar w:fldCharType="begin"/>
            </w:r>
            <w:r>
              <w:rPr>
                <w:noProof/>
                <w:webHidden/>
              </w:rPr>
              <w:instrText xml:space="preserve"> PAGEREF _Toc129331511 \h </w:instrText>
            </w:r>
            <w:r>
              <w:rPr>
                <w:noProof/>
                <w:webHidden/>
              </w:rPr>
            </w:r>
            <w:r>
              <w:rPr>
                <w:noProof/>
                <w:webHidden/>
              </w:rPr>
              <w:fldChar w:fldCharType="separate"/>
            </w:r>
            <w:r>
              <w:rPr>
                <w:noProof/>
                <w:webHidden/>
              </w:rPr>
              <w:t>1</w:t>
            </w:r>
            <w:r>
              <w:rPr>
                <w:noProof/>
                <w:webHidden/>
              </w:rPr>
              <w:fldChar w:fldCharType="end"/>
            </w:r>
          </w:hyperlink>
        </w:p>
        <w:p w14:paraId="41BF9B8C" w14:textId="76288958" w:rsidR="00021CBC" w:rsidRDefault="00021CBC">
          <w:pPr>
            <w:pStyle w:val="TOC3"/>
            <w:tabs>
              <w:tab w:val="right" w:leader="dot" w:pos="9062"/>
            </w:tabs>
            <w:rPr>
              <w:rFonts w:eastAsiaTheme="minorEastAsia"/>
              <w:noProof/>
              <w:lang w:val="en-US"/>
            </w:rPr>
          </w:pPr>
          <w:hyperlink w:anchor="_Toc129331512" w:history="1">
            <w:r w:rsidRPr="00F37F16">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_Toc129331512 \h </w:instrText>
            </w:r>
            <w:r>
              <w:rPr>
                <w:noProof/>
                <w:webHidden/>
              </w:rPr>
            </w:r>
            <w:r>
              <w:rPr>
                <w:noProof/>
                <w:webHidden/>
              </w:rPr>
              <w:fldChar w:fldCharType="separate"/>
            </w:r>
            <w:r>
              <w:rPr>
                <w:noProof/>
                <w:webHidden/>
              </w:rPr>
              <w:t>1</w:t>
            </w:r>
            <w:r>
              <w:rPr>
                <w:noProof/>
                <w:webHidden/>
              </w:rPr>
              <w:fldChar w:fldCharType="end"/>
            </w:r>
          </w:hyperlink>
        </w:p>
        <w:p w14:paraId="6EBF32C2" w14:textId="2C5BF587" w:rsidR="00021CBC" w:rsidRDefault="00021CBC">
          <w:pPr>
            <w:pStyle w:val="TOC3"/>
            <w:tabs>
              <w:tab w:val="right" w:leader="dot" w:pos="9062"/>
            </w:tabs>
            <w:rPr>
              <w:rFonts w:eastAsiaTheme="minorEastAsia"/>
              <w:noProof/>
              <w:lang w:val="en-US"/>
            </w:rPr>
          </w:pPr>
          <w:hyperlink w:anchor="_Toc129331513" w:history="1">
            <w:r w:rsidRPr="00F37F16">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_Toc129331513 \h </w:instrText>
            </w:r>
            <w:r>
              <w:rPr>
                <w:noProof/>
                <w:webHidden/>
              </w:rPr>
            </w:r>
            <w:r>
              <w:rPr>
                <w:noProof/>
                <w:webHidden/>
              </w:rPr>
              <w:fldChar w:fldCharType="separate"/>
            </w:r>
            <w:r>
              <w:rPr>
                <w:noProof/>
                <w:webHidden/>
              </w:rPr>
              <w:t>1</w:t>
            </w:r>
            <w:r>
              <w:rPr>
                <w:noProof/>
                <w:webHidden/>
              </w:rPr>
              <w:fldChar w:fldCharType="end"/>
            </w:r>
          </w:hyperlink>
        </w:p>
        <w:p w14:paraId="380B21B5" w14:textId="24F89316" w:rsidR="00021CBC" w:rsidRDefault="00021CBC">
          <w:pPr>
            <w:pStyle w:val="TOC3"/>
            <w:tabs>
              <w:tab w:val="right" w:leader="dot" w:pos="9062"/>
            </w:tabs>
            <w:rPr>
              <w:rFonts w:eastAsiaTheme="minorEastAsia"/>
              <w:noProof/>
              <w:lang w:val="en-US"/>
            </w:rPr>
          </w:pPr>
          <w:hyperlink w:anchor="_Toc129331514" w:history="1">
            <w:r w:rsidRPr="00F37F16">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_Toc129331514 \h </w:instrText>
            </w:r>
            <w:r>
              <w:rPr>
                <w:noProof/>
                <w:webHidden/>
              </w:rPr>
            </w:r>
            <w:r>
              <w:rPr>
                <w:noProof/>
                <w:webHidden/>
              </w:rPr>
              <w:fldChar w:fldCharType="separate"/>
            </w:r>
            <w:r>
              <w:rPr>
                <w:noProof/>
                <w:webHidden/>
              </w:rPr>
              <w:t>1</w:t>
            </w:r>
            <w:r>
              <w:rPr>
                <w:noProof/>
                <w:webHidden/>
              </w:rPr>
              <w:fldChar w:fldCharType="end"/>
            </w:r>
          </w:hyperlink>
        </w:p>
        <w:p w14:paraId="1E18DF84" w14:textId="2661590C" w:rsidR="00021CBC" w:rsidRDefault="00021CBC">
          <w:pPr>
            <w:pStyle w:val="TOC3"/>
            <w:tabs>
              <w:tab w:val="right" w:leader="dot" w:pos="9062"/>
            </w:tabs>
            <w:rPr>
              <w:rFonts w:eastAsiaTheme="minorEastAsia"/>
              <w:noProof/>
              <w:lang w:val="en-US"/>
            </w:rPr>
          </w:pPr>
          <w:hyperlink w:anchor="_Toc129331515" w:history="1">
            <w:r w:rsidRPr="00F37F16">
              <w:rPr>
                <w:rStyle w:val="Hyperlink"/>
                <w:rFonts w:eastAsia="Times New Roman"/>
                <w:noProof/>
              </w:rPr>
              <w:t>Struktur</w:t>
            </w:r>
            <w:r>
              <w:rPr>
                <w:noProof/>
                <w:webHidden/>
              </w:rPr>
              <w:tab/>
            </w:r>
            <w:r>
              <w:rPr>
                <w:noProof/>
                <w:webHidden/>
              </w:rPr>
              <w:fldChar w:fldCharType="begin"/>
            </w:r>
            <w:r>
              <w:rPr>
                <w:noProof/>
                <w:webHidden/>
              </w:rPr>
              <w:instrText xml:space="preserve"> PAGEREF _Toc129331515 \h </w:instrText>
            </w:r>
            <w:r>
              <w:rPr>
                <w:noProof/>
                <w:webHidden/>
              </w:rPr>
            </w:r>
            <w:r>
              <w:rPr>
                <w:noProof/>
                <w:webHidden/>
              </w:rPr>
              <w:fldChar w:fldCharType="separate"/>
            </w:r>
            <w:r>
              <w:rPr>
                <w:noProof/>
                <w:webHidden/>
              </w:rPr>
              <w:t>1</w:t>
            </w:r>
            <w:r>
              <w:rPr>
                <w:noProof/>
                <w:webHidden/>
              </w:rPr>
              <w:fldChar w:fldCharType="end"/>
            </w:r>
          </w:hyperlink>
        </w:p>
        <w:p w14:paraId="3B439EB9" w14:textId="3A15A111" w:rsidR="00021CBC" w:rsidRDefault="00021CBC">
          <w:pPr>
            <w:pStyle w:val="TOC3"/>
            <w:tabs>
              <w:tab w:val="right" w:leader="dot" w:pos="9062"/>
            </w:tabs>
            <w:rPr>
              <w:rFonts w:eastAsiaTheme="minorEastAsia"/>
              <w:noProof/>
              <w:lang w:val="en-US"/>
            </w:rPr>
          </w:pPr>
          <w:hyperlink w:anchor="_Toc129331516" w:history="1">
            <w:r w:rsidRPr="00F37F16">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_Toc129331516 \h </w:instrText>
            </w:r>
            <w:r>
              <w:rPr>
                <w:noProof/>
                <w:webHidden/>
              </w:rPr>
            </w:r>
            <w:r>
              <w:rPr>
                <w:noProof/>
                <w:webHidden/>
              </w:rPr>
              <w:fldChar w:fldCharType="separate"/>
            </w:r>
            <w:r>
              <w:rPr>
                <w:noProof/>
                <w:webHidden/>
              </w:rPr>
              <w:t>1</w:t>
            </w:r>
            <w:r>
              <w:rPr>
                <w:noProof/>
                <w:webHidden/>
              </w:rPr>
              <w:fldChar w:fldCharType="end"/>
            </w:r>
          </w:hyperlink>
        </w:p>
        <w:p w14:paraId="2C2CFBE5" w14:textId="1E7B547A" w:rsidR="00021CBC" w:rsidRDefault="00021CBC">
          <w:pPr>
            <w:pStyle w:val="TOC1"/>
            <w:tabs>
              <w:tab w:val="right" w:leader="dot" w:pos="9062"/>
            </w:tabs>
            <w:rPr>
              <w:rFonts w:eastAsiaTheme="minorEastAsia"/>
              <w:noProof/>
              <w:lang w:val="en-US"/>
            </w:rPr>
          </w:pPr>
          <w:hyperlink w:anchor="_Toc129331517" w:history="1">
            <w:r w:rsidRPr="00F37F16">
              <w:rPr>
                <w:rStyle w:val="Hyperlink"/>
                <w:rFonts w:eastAsia="Times New Roman"/>
                <w:noProof/>
              </w:rPr>
              <w:t>Hauptteil</w:t>
            </w:r>
            <w:r>
              <w:rPr>
                <w:noProof/>
                <w:webHidden/>
              </w:rPr>
              <w:tab/>
            </w:r>
            <w:r>
              <w:rPr>
                <w:noProof/>
                <w:webHidden/>
              </w:rPr>
              <w:fldChar w:fldCharType="begin"/>
            </w:r>
            <w:r>
              <w:rPr>
                <w:noProof/>
                <w:webHidden/>
              </w:rPr>
              <w:instrText xml:space="preserve"> PAGEREF _Toc129331517 \h </w:instrText>
            </w:r>
            <w:r>
              <w:rPr>
                <w:noProof/>
                <w:webHidden/>
              </w:rPr>
            </w:r>
            <w:r>
              <w:rPr>
                <w:noProof/>
                <w:webHidden/>
              </w:rPr>
              <w:fldChar w:fldCharType="separate"/>
            </w:r>
            <w:r>
              <w:rPr>
                <w:noProof/>
                <w:webHidden/>
              </w:rPr>
              <w:t>2</w:t>
            </w:r>
            <w:r>
              <w:rPr>
                <w:noProof/>
                <w:webHidden/>
              </w:rPr>
              <w:fldChar w:fldCharType="end"/>
            </w:r>
          </w:hyperlink>
        </w:p>
        <w:p w14:paraId="54C84E1E" w14:textId="5136D9BA" w:rsidR="00021CBC" w:rsidRDefault="00021CBC">
          <w:pPr>
            <w:pStyle w:val="TOC2"/>
            <w:tabs>
              <w:tab w:val="right" w:leader="dot" w:pos="9062"/>
            </w:tabs>
            <w:rPr>
              <w:rFonts w:eastAsiaTheme="minorEastAsia"/>
              <w:noProof/>
              <w:lang w:val="en-US"/>
            </w:rPr>
          </w:pPr>
          <w:hyperlink w:anchor="_Toc129331518" w:history="1">
            <w:r w:rsidRPr="00F37F16">
              <w:rPr>
                <w:rStyle w:val="Hyperlink"/>
                <w:rFonts w:eastAsia="Times New Roman"/>
                <w:noProof/>
              </w:rPr>
              <w:t>Theorie</w:t>
            </w:r>
            <w:r>
              <w:rPr>
                <w:noProof/>
                <w:webHidden/>
              </w:rPr>
              <w:tab/>
            </w:r>
            <w:r>
              <w:rPr>
                <w:noProof/>
                <w:webHidden/>
              </w:rPr>
              <w:fldChar w:fldCharType="begin"/>
            </w:r>
            <w:r>
              <w:rPr>
                <w:noProof/>
                <w:webHidden/>
              </w:rPr>
              <w:instrText xml:space="preserve"> PAGEREF _Toc129331518 \h </w:instrText>
            </w:r>
            <w:r>
              <w:rPr>
                <w:noProof/>
                <w:webHidden/>
              </w:rPr>
            </w:r>
            <w:r>
              <w:rPr>
                <w:noProof/>
                <w:webHidden/>
              </w:rPr>
              <w:fldChar w:fldCharType="separate"/>
            </w:r>
            <w:r>
              <w:rPr>
                <w:noProof/>
                <w:webHidden/>
              </w:rPr>
              <w:t>2</w:t>
            </w:r>
            <w:r>
              <w:rPr>
                <w:noProof/>
                <w:webHidden/>
              </w:rPr>
              <w:fldChar w:fldCharType="end"/>
            </w:r>
          </w:hyperlink>
        </w:p>
        <w:p w14:paraId="2369AB25" w14:textId="2B05C528" w:rsidR="00021CBC" w:rsidRDefault="00021CBC">
          <w:pPr>
            <w:pStyle w:val="TOC3"/>
            <w:tabs>
              <w:tab w:val="right" w:leader="dot" w:pos="9062"/>
            </w:tabs>
            <w:rPr>
              <w:rFonts w:eastAsiaTheme="minorEastAsia"/>
              <w:noProof/>
              <w:lang w:val="en-US"/>
            </w:rPr>
          </w:pPr>
          <w:hyperlink w:anchor="_Toc129331519" w:history="1">
            <w:r w:rsidRPr="00F37F16">
              <w:rPr>
                <w:rStyle w:val="Hyperlink"/>
                <w:rFonts w:eastAsia="Times New Roman"/>
                <w:noProof/>
              </w:rPr>
              <w:t>Forschungsstand</w:t>
            </w:r>
            <w:r>
              <w:rPr>
                <w:noProof/>
                <w:webHidden/>
              </w:rPr>
              <w:tab/>
            </w:r>
            <w:r>
              <w:rPr>
                <w:noProof/>
                <w:webHidden/>
              </w:rPr>
              <w:fldChar w:fldCharType="begin"/>
            </w:r>
            <w:r>
              <w:rPr>
                <w:noProof/>
                <w:webHidden/>
              </w:rPr>
              <w:instrText xml:space="preserve"> PAGEREF _Toc129331519 \h </w:instrText>
            </w:r>
            <w:r>
              <w:rPr>
                <w:noProof/>
                <w:webHidden/>
              </w:rPr>
            </w:r>
            <w:r>
              <w:rPr>
                <w:noProof/>
                <w:webHidden/>
              </w:rPr>
              <w:fldChar w:fldCharType="separate"/>
            </w:r>
            <w:r>
              <w:rPr>
                <w:noProof/>
                <w:webHidden/>
              </w:rPr>
              <w:t>2</w:t>
            </w:r>
            <w:r>
              <w:rPr>
                <w:noProof/>
                <w:webHidden/>
              </w:rPr>
              <w:fldChar w:fldCharType="end"/>
            </w:r>
          </w:hyperlink>
        </w:p>
        <w:p w14:paraId="27D7608B" w14:textId="6E1A648B" w:rsidR="00021CBC" w:rsidRDefault="00021CBC">
          <w:pPr>
            <w:pStyle w:val="TOC3"/>
            <w:tabs>
              <w:tab w:val="right" w:leader="dot" w:pos="9062"/>
            </w:tabs>
            <w:rPr>
              <w:rFonts w:eastAsiaTheme="minorEastAsia"/>
              <w:noProof/>
              <w:lang w:val="en-US"/>
            </w:rPr>
          </w:pPr>
          <w:hyperlink w:anchor="_Toc129331520" w:history="1">
            <w:r w:rsidRPr="00F37F16">
              <w:rPr>
                <w:rStyle w:val="Hyperlink"/>
                <w:rFonts w:eastAsia="Times New Roman"/>
                <w:noProof/>
              </w:rPr>
              <w:t>Forschungslücke</w:t>
            </w:r>
            <w:r>
              <w:rPr>
                <w:noProof/>
                <w:webHidden/>
              </w:rPr>
              <w:tab/>
            </w:r>
            <w:r>
              <w:rPr>
                <w:noProof/>
                <w:webHidden/>
              </w:rPr>
              <w:fldChar w:fldCharType="begin"/>
            </w:r>
            <w:r>
              <w:rPr>
                <w:noProof/>
                <w:webHidden/>
              </w:rPr>
              <w:instrText xml:space="preserve"> PAGEREF _Toc129331520 \h </w:instrText>
            </w:r>
            <w:r>
              <w:rPr>
                <w:noProof/>
                <w:webHidden/>
              </w:rPr>
            </w:r>
            <w:r>
              <w:rPr>
                <w:noProof/>
                <w:webHidden/>
              </w:rPr>
              <w:fldChar w:fldCharType="separate"/>
            </w:r>
            <w:r>
              <w:rPr>
                <w:noProof/>
                <w:webHidden/>
              </w:rPr>
              <w:t>2</w:t>
            </w:r>
            <w:r>
              <w:rPr>
                <w:noProof/>
                <w:webHidden/>
              </w:rPr>
              <w:fldChar w:fldCharType="end"/>
            </w:r>
          </w:hyperlink>
        </w:p>
        <w:p w14:paraId="0C9F6D85" w14:textId="76AA8094" w:rsidR="00021CBC" w:rsidRDefault="00021CBC">
          <w:pPr>
            <w:pStyle w:val="TOC3"/>
            <w:tabs>
              <w:tab w:val="right" w:leader="dot" w:pos="9062"/>
            </w:tabs>
            <w:rPr>
              <w:rFonts w:eastAsiaTheme="minorEastAsia"/>
              <w:noProof/>
              <w:lang w:val="en-US"/>
            </w:rPr>
          </w:pPr>
          <w:hyperlink w:anchor="_Toc129331521" w:history="1">
            <w:r w:rsidRPr="00F37F16">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_Toc129331521 \h </w:instrText>
            </w:r>
            <w:r>
              <w:rPr>
                <w:noProof/>
                <w:webHidden/>
              </w:rPr>
            </w:r>
            <w:r>
              <w:rPr>
                <w:noProof/>
                <w:webHidden/>
              </w:rPr>
              <w:fldChar w:fldCharType="separate"/>
            </w:r>
            <w:r>
              <w:rPr>
                <w:noProof/>
                <w:webHidden/>
              </w:rPr>
              <w:t>2</w:t>
            </w:r>
            <w:r>
              <w:rPr>
                <w:noProof/>
                <w:webHidden/>
              </w:rPr>
              <w:fldChar w:fldCharType="end"/>
            </w:r>
          </w:hyperlink>
        </w:p>
        <w:p w14:paraId="5B39438F" w14:textId="7802F98E" w:rsidR="00021CBC" w:rsidRDefault="00021CBC">
          <w:pPr>
            <w:pStyle w:val="TOC3"/>
            <w:tabs>
              <w:tab w:val="right" w:leader="dot" w:pos="9062"/>
            </w:tabs>
            <w:rPr>
              <w:rFonts w:eastAsiaTheme="minorEastAsia"/>
              <w:noProof/>
              <w:lang w:val="en-US"/>
            </w:rPr>
          </w:pPr>
          <w:hyperlink w:anchor="_Toc129331522" w:history="1">
            <w:r w:rsidRPr="00F37F16">
              <w:rPr>
                <w:rStyle w:val="Hyperlink"/>
                <w:rFonts w:eastAsia="Times New Roman"/>
                <w:noProof/>
              </w:rPr>
              <w:t>Hypothesen</w:t>
            </w:r>
            <w:r>
              <w:rPr>
                <w:noProof/>
                <w:webHidden/>
              </w:rPr>
              <w:tab/>
            </w:r>
            <w:r>
              <w:rPr>
                <w:noProof/>
                <w:webHidden/>
              </w:rPr>
              <w:fldChar w:fldCharType="begin"/>
            </w:r>
            <w:r>
              <w:rPr>
                <w:noProof/>
                <w:webHidden/>
              </w:rPr>
              <w:instrText xml:space="preserve"> PAGEREF _Toc129331522 \h </w:instrText>
            </w:r>
            <w:r>
              <w:rPr>
                <w:noProof/>
                <w:webHidden/>
              </w:rPr>
            </w:r>
            <w:r>
              <w:rPr>
                <w:noProof/>
                <w:webHidden/>
              </w:rPr>
              <w:fldChar w:fldCharType="separate"/>
            </w:r>
            <w:r>
              <w:rPr>
                <w:noProof/>
                <w:webHidden/>
              </w:rPr>
              <w:t>2</w:t>
            </w:r>
            <w:r>
              <w:rPr>
                <w:noProof/>
                <w:webHidden/>
              </w:rPr>
              <w:fldChar w:fldCharType="end"/>
            </w:r>
          </w:hyperlink>
        </w:p>
        <w:p w14:paraId="3EE1A04A" w14:textId="5A8B3DC6" w:rsidR="00021CBC" w:rsidRDefault="00021CBC">
          <w:pPr>
            <w:pStyle w:val="TOC2"/>
            <w:tabs>
              <w:tab w:val="right" w:leader="dot" w:pos="9062"/>
            </w:tabs>
            <w:rPr>
              <w:rFonts w:eastAsiaTheme="minorEastAsia"/>
              <w:noProof/>
              <w:lang w:val="en-US"/>
            </w:rPr>
          </w:pPr>
          <w:hyperlink w:anchor="_Toc129331523" w:history="1">
            <w:r w:rsidRPr="00F37F16">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_Toc129331523 \h </w:instrText>
            </w:r>
            <w:r>
              <w:rPr>
                <w:noProof/>
                <w:webHidden/>
              </w:rPr>
            </w:r>
            <w:r>
              <w:rPr>
                <w:noProof/>
                <w:webHidden/>
              </w:rPr>
              <w:fldChar w:fldCharType="separate"/>
            </w:r>
            <w:r>
              <w:rPr>
                <w:noProof/>
                <w:webHidden/>
              </w:rPr>
              <w:t>3</w:t>
            </w:r>
            <w:r>
              <w:rPr>
                <w:noProof/>
                <w:webHidden/>
              </w:rPr>
              <w:fldChar w:fldCharType="end"/>
            </w:r>
          </w:hyperlink>
        </w:p>
        <w:p w14:paraId="70CEFA77" w14:textId="3C7BF7B5" w:rsidR="00021CBC" w:rsidRDefault="00021CBC">
          <w:pPr>
            <w:pStyle w:val="TOC3"/>
            <w:tabs>
              <w:tab w:val="right" w:leader="dot" w:pos="9062"/>
            </w:tabs>
            <w:rPr>
              <w:rFonts w:eastAsiaTheme="minorEastAsia"/>
              <w:noProof/>
              <w:lang w:val="en-US"/>
            </w:rPr>
          </w:pPr>
          <w:hyperlink w:anchor="_Toc129331524" w:history="1">
            <w:r w:rsidRPr="00F37F16">
              <w:rPr>
                <w:rStyle w:val="Hyperlink"/>
                <w:rFonts w:eastAsia="Times New Roman"/>
                <w:noProof/>
              </w:rPr>
              <w:t>Fallauswahl</w:t>
            </w:r>
            <w:r>
              <w:rPr>
                <w:noProof/>
                <w:webHidden/>
              </w:rPr>
              <w:tab/>
            </w:r>
            <w:r>
              <w:rPr>
                <w:noProof/>
                <w:webHidden/>
              </w:rPr>
              <w:fldChar w:fldCharType="begin"/>
            </w:r>
            <w:r>
              <w:rPr>
                <w:noProof/>
                <w:webHidden/>
              </w:rPr>
              <w:instrText xml:space="preserve"> PAGEREF _Toc129331524 \h </w:instrText>
            </w:r>
            <w:r>
              <w:rPr>
                <w:noProof/>
                <w:webHidden/>
              </w:rPr>
            </w:r>
            <w:r>
              <w:rPr>
                <w:noProof/>
                <w:webHidden/>
              </w:rPr>
              <w:fldChar w:fldCharType="separate"/>
            </w:r>
            <w:r>
              <w:rPr>
                <w:noProof/>
                <w:webHidden/>
              </w:rPr>
              <w:t>3</w:t>
            </w:r>
            <w:r>
              <w:rPr>
                <w:noProof/>
                <w:webHidden/>
              </w:rPr>
              <w:fldChar w:fldCharType="end"/>
            </w:r>
          </w:hyperlink>
        </w:p>
        <w:p w14:paraId="4F6BA14A" w14:textId="33683907" w:rsidR="00021CBC" w:rsidRDefault="00021CBC">
          <w:pPr>
            <w:pStyle w:val="TOC3"/>
            <w:tabs>
              <w:tab w:val="right" w:leader="dot" w:pos="9062"/>
            </w:tabs>
            <w:rPr>
              <w:rFonts w:eastAsiaTheme="minorEastAsia"/>
              <w:noProof/>
              <w:lang w:val="en-US"/>
            </w:rPr>
          </w:pPr>
          <w:hyperlink w:anchor="_Toc129331525" w:history="1">
            <w:r w:rsidRPr="00F37F16">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_Toc129331525 \h </w:instrText>
            </w:r>
            <w:r>
              <w:rPr>
                <w:noProof/>
                <w:webHidden/>
              </w:rPr>
            </w:r>
            <w:r>
              <w:rPr>
                <w:noProof/>
                <w:webHidden/>
              </w:rPr>
              <w:fldChar w:fldCharType="separate"/>
            </w:r>
            <w:r>
              <w:rPr>
                <w:noProof/>
                <w:webHidden/>
              </w:rPr>
              <w:t>4</w:t>
            </w:r>
            <w:r>
              <w:rPr>
                <w:noProof/>
                <w:webHidden/>
              </w:rPr>
              <w:fldChar w:fldCharType="end"/>
            </w:r>
          </w:hyperlink>
        </w:p>
        <w:p w14:paraId="6F1769AC" w14:textId="7F148D43" w:rsidR="00021CBC" w:rsidRDefault="00021CBC">
          <w:pPr>
            <w:pStyle w:val="TOC3"/>
            <w:tabs>
              <w:tab w:val="right" w:leader="dot" w:pos="9062"/>
            </w:tabs>
            <w:rPr>
              <w:rFonts w:eastAsiaTheme="minorEastAsia"/>
              <w:noProof/>
              <w:lang w:val="en-US"/>
            </w:rPr>
          </w:pPr>
          <w:hyperlink w:anchor="_Toc129331526" w:history="1">
            <w:r w:rsidRPr="00F37F16">
              <w:rPr>
                <w:rStyle w:val="Hyperlink"/>
                <w:rFonts w:eastAsia="Times New Roman"/>
                <w:noProof/>
              </w:rPr>
              <w:t>Methoden</w:t>
            </w:r>
            <w:r>
              <w:rPr>
                <w:noProof/>
                <w:webHidden/>
              </w:rPr>
              <w:tab/>
            </w:r>
            <w:r>
              <w:rPr>
                <w:noProof/>
                <w:webHidden/>
              </w:rPr>
              <w:fldChar w:fldCharType="begin"/>
            </w:r>
            <w:r>
              <w:rPr>
                <w:noProof/>
                <w:webHidden/>
              </w:rPr>
              <w:instrText xml:space="preserve"> PAGEREF _Toc129331526 \h </w:instrText>
            </w:r>
            <w:r>
              <w:rPr>
                <w:noProof/>
                <w:webHidden/>
              </w:rPr>
            </w:r>
            <w:r>
              <w:rPr>
                <w:noProof/>
                <w:webHidden/>
              </w:rPr>
              <w:fldChar w:fldCharType="separate"/>
            </w:r>
            <w:r>
              <w:rPr>
                <w:noProof/>
                <w:webHidden/>
              </w:rPr>
              <w:t>5</w:t>
            </w:r>
            <w:r>
              <w:rPr>
                <w:noProof/>
                <w:webHidden/>
              </w:rPr>
              <w:fldChar w:fldCharType="end"/>
            </w:r>
          </w:hyperlink>
        </w:p>
        <w:p w14:paraId="703DEADC" w14:textId="04D3C71A" w:rsidR="00021CBC" w:rsidRDefault="00021CBC">
          <w:pPr>
            <w:pStyle w:val="TOC2"/>
            <w:tabs>
              <w:tab w:val="right" w:leader="dot" w:pos="9062"/>
            </w:tabs>
            <w:rPr>
              <w:rFonts w:eastAsiaTheme="minorEastAsia"/>
              <w:noProof/>
              <w:lang w:val="en-US"/>
            </w:rPr>
          </w:pPr>
          <w:hyperlink w:anchor="_Toc129331527" w:history="1">
            <w:r w:rsidRPr="00F37F16">
              <w:rPr>
                <w:rStyle w:val="Hyperlink"/>
                <w:rFonts w:eastAsia="Times New Roman"/>
                <w:noProof/>
              </w:rPr>
              <w:t>Analyse</w:t>
            </w:r>
            <w:r>
              <w:rPr>
                <w:noProof/>
                <w:webHidden/>
              </w:rPr>
              <w:tab/>
            </w:r>
            <w:r>
              <w:rPr>
                <w:noProof/>
                <w:webHidden/>
              </w:rPr>
              <w:fldChar w:fldCharType="begin"/>
            </w:r>
            <w:r>
              <w:rPr>
                <w:noProof/>
                <w:webHidden/>
              </w:rPr>
              <w:instrText xml:space="preserve"> PAGEREF _Toc129331527 \h </w:instrText>
            </w:r>
            <w:r>
              <w:rPr>
                <w:noProof/>
                <w:webHidden/>
              </w:rPr>
            </w:r>
            <w:r>
              <w:rPr>
                <w:noProof/>
                <w:webHidden/>
              </w:rPr>
              <w:fldChar w:fldCharType="separate"/>
            </w:r>
            <w:r>
              <w:rPr>
                <w:noProof/>
                <w:webHidden/>
              </w:rPr>
              <w:t>6</w:t>
            </w:r>
            <w:r>
              <w:rPr>
                <w:noProof/>
                <w:webHidden/>
              </w:rPr>
              <w:fldChar w:fldCharType="end"/>
            </w:r>
          </w:hyperlink>
        </w:p>
        <w:p w14:paraId="1267F209" w14:textId="0BBE283C" w:rsidR="00021CBC" w:rsidRDefault="00021CBC">
          <w:pPr>
            <w:pStyle w:val="TOC3"/>
            <w:tabs>
              <w:tab w:val="right" w:leader="dot" w:pos="9062"/>
            </w:tabs>
            <w:rPr>
              <w:rFonts w:eastAsiaTheme="minorEastAsia"/>
              <w:noProof/>
              <w:lang w:val="en-US"/>
            </w:rPr>
          </w:pPr>
          <w:hyperlink w:anchor="_Toc129331528" w:history="1">
            <w:r w:rsidRPr="00F37F16">
              <w:rPr>
                <w:rStyle w:val="Hyperlink"/>
                <w:rFonts w:eastAsia="Times New Roman"/>
                <w:noProof/>
              </w:rPr>
              <w:t>Deskriptive Analyse</w:t>
            </w:r>
            <w:r>
              <w:rPr>
                <w:noProof/>
                <w:webHidden/>
              </w:rPr>
              <w:tab/>
            </w:r>
            <w:r>
              <w:rPr>
                <w:noProof/>
                <w:webHidden/>
              </w:rPr>
              <w:fldChar w:fldCharType="begin"/>
            </w:r>
            <w:r>
              <w:rPr>
                <w:noProof/>
                <w:webHidden/>
              </w:rPr>
              <w:instrText xml:space="preserve"> PAGEREF _Toc129331528 \h </w:instrText>
            </w:r>
            <w:r>
              <w:rPr>
                <w:noProof/>
                <w:webHidden/>
              </w:rPr>
            </w:r>
            <w:r>
              <w:rPr>
                <w:noProof/>
                <w:webHidden/>
              </w:rPr>
              <w:fldChar w:fldCharType="separate"/>
            </w:r>
            <w:r>
              <w:rPr>
                <w:noProof/>
                <w:webHidden/>
              </w:rPr>
              <w:t>6</w:t>
            </w:r>
            <w:r>
              <w:rPr>
                <w:noProof/>
                <w:webHidden/>
              </w:rPr>
              <w:fldChar w:fldCharType="end"/>
            </w:r>
          </w:hyperlink>
        </w:p>
        <w:p w14:paraId="38BCFD57" w14:textId="7A9DF51B" w:rsidR="00021CBC" w:rsidRDefault="00021CBC">
          <w:pPr>
            <w:pStyle w:val="TOC3"/>
            <w:tabs>
              <w:tab w:val="right" w:leader="dot" w:pos="9062"/>
            </w:tabs>
            <w:rPr>
              <w:rFonts w:eastAsiaTheme="minorEastAsia"/>
              <w:noProof/>
              <w:lang w:val="en-US"/>
            </w:rPr>
          </w:pPr>
          <w:hyperlink w:anchor="_Toc129331529" w:history="1">
            <w:r w:rsidRPr="00F37F16">
              <w:rPr>
                <w:rStyle w:val="Hyperlink"/>
                <w:rFonts w:eastAsia="Times New Roman"/>
                <w:noProof/>
              </w:rPr>
              <w:t>Multivariate Analyse</w:t>
            </w:r>
            <w:r>
              <w:rPr>
                <w:noProof/>
                <w:webHidden/>
              </w:rPr>
              <w:tab/>
            </w:r>
            <w:r>
              <w:rPr>
                <w:noProof/>
                <w:webHidden/>
              </w:rPr>
              <w:fldChar w:fldCharType="begin"/>
            </w:r>
            <w:r>
              <w:rPr>
                <w:noProof/>
                <w:webHidden/>
              </w:rPr>
              <w:instrText xml:space="preserve"> PAGEREF _Toc129331529 \h </w:instrText>
            </w:r>
            <w:r>
              <w:rPr>
                <w:noProof/>
                <w:webHidden/>
              </w:rPr>
            </w:r>
            <w:r>
              <w:rPr>
                <w:noProof/>
                <w:webHidden/>
              </w:rPr>
              <w:fldChar w:fldCharType="separate"/>
            </w:r>
            <w:r>
              <w:rPr>
                <w:noProof/>
                <w:webHidden/>
              </w:rPr>
              <w:t>7</w:t>
            </w:r>
            <w:r>
              <w:rPr>
                <w:noProof/>
                <w:webHidden/>
              </w:rPr>
              <w:fldChar w:fldCharType="end"/>
            </w:r>
          </w:hyperlink>
        </w:p>
        <w:p w14:paraId="454FC3AE" w14:textId="6EF7F960" w:rsidR="00021CBC" w:rsidRDefault="00021CBC">
          <w:pPr>
            <w:pStyle w:val="TOC4"/>
            <w:tabs>
              <w:tab w:val="right" w:leader="dot" w:pos="9062"/>
            </w:tabs>
            <w:rPr>
              <w:rFonts w:eastAsiaTheme="minorEastAsia"/>
              <w:noProof/>
              <w:lang w:val="en-US"/>
            </w:rPr>
          </w:pPr>
          <w:hyperlink w:anchor="_Toc129331530" w:history="1">
            <w:r w:rsidRPr="00F37F16">
              <w:rPr>
                <w:rStyle w:val="Hyperlink"/>
                <w:noProof/>
              </w:rPr>
              <w:t>Komplette Wahlprogramme</w:t>
            </w:r>
            <w:r>
              <w:rPr>
                <w:noProof/>
                <w:webHidden/>
              </w:rPr>
              <w:tab/>
            </w:r>
            <w:r>
              <w:rPr>
                <w:noProof/>
                <w:webHidden/>
              </w:rPr>
              <w:fldChar w:fldCharType="begin"/>
            </w:r>
            <w:r>
              <w:rPr>
                <w:noProof/>
                <w:webHidden/>
              </w:rPr>
              <w:instrText xml:space="preserve"> PAGEREF _Toc129331530 \h </w:instrText>
            </w:r>
            <w:r>
              <w:rPr>
                <w:noProof/>
                <w:webHidden/>
              </w:rPr>
            </w:r>
            <w:r>
              <w:rPr>
                <w:noProof/>
                <w:webHidden/>
              </w:rPr>
              <w:fldChar w:fldCharType="separate"/>
            </w:r>
            <w:r>
              <w:rPr>
                <w:noProof/>
                <w:webHidden/>
              </w:rPr>
              <w:t>7</w:t>
            </w:r>
            <w:r>
              <w:rPr>
                <w:noProof/>
                <w:webHidden/>
              </w:rPr>
              <w:fldChar w:fldCharType="end"/>
            </w:r>
          </w:hyperlink>
        </w:p>
        <w:p w14:paraId="2012B238" w14:textId="68945AD0" w:rsidR="00021CBC" w:rsidRDefault="00021CBC">
          <w:pPr>
            <w:pStyle w:val="TOC4"/>
            <w:tabs>
              <w:tab w:val="right" w:leader="dot" w:pos="9062"/>
            </w:tabs>
            <w:rPr>
              <w:rFonts w:eastAsiaTheme="minorEastAsia"/>
              <w:noProof/>
              <w:lang w:val="en-US"/>
            </w:rPr>
          </w:pPr>
          <w:hyperlink w:anchor="_Toc129331531" w:history="1">
            <w:r w:rsidRPr="00F37F16">
              <w:rPr>
                <w:rStyle w:val="Hyperlink"/>
                <w:noProof/>
              </w:rPr>
              <w:t>Reduzierte Wahlprogramme</w:t>
            </w:r>
            <w:r>
              <w:rPr>
                <w:noProof/>
                <w:webHidden/>
              </w:rPr>
              <w:tab/>
            </w:r>
            <w:r>
              <w:rPr>
                <w:noProof/>
                <w:webHidden/>
              </w:rPr>
              <w:fldChar w:fldCharType="begin"/>
            </w:r>
            <w:r>
              <w:rPr>
                <w:noProof/>
                <w:webHidden/>
              </w:rPr>
              <w:instrText xml:space="preserve"> PAGEREF _Toc129331531 \h </w:instrText>
            </w:r>
            <w:r>
              <w:rPr>
                <w:noProof/>
                <w:webHidden/>
              </w:rPr>
            </w:r>
            <w:r>
              <w:rPr>
                <w:noProof/>
                <w:webHidden/>
              </w:rPr>
              <w:fldChar w:fldCharType="separate"/>
            </w:r>
            <w:r>
              <w:rPr>
                <w:noProof/>
                <w:webHidden/>
              </w:rPr>
              <w:t>9</w:t>
            </w:r>
            <w:r>
              <w:rPr>
                <w:noProof/>
                <w:webHidden/>
              </w:rPr>
              <w:fldChar w:fldCharType="end"/>
            </w:r>
          </w:hyperlink>
        </w:p>
        <w:p w14:paraId="084BD72E" w14:textId="0BAA7264" w:rsidR="00021CBC" w:rsidRDefault="00021CBC">
          <w:pPr>
            <w:pStyle w:val="TOC4"/>
            <w:tabs>
              <w:tab w:val="right" w:leader="dot" w:pos="9062"/>
            </w:tabs>
            <w:rPr>
              <w:rFonts w:eastAsiaTheme="minorEastAsia"/>
              <w:noProof/>
              <w:lang w:val="en-US"/>
            </w:rPr>
          </w:pPr>
          <w:hyperlink w:anchor="_Toc129331532" w:history="1">
            <w:r w:rsidRPr="00F37F16">
              <w:rPr>
                <w:rStyle w:val="Hyperlink"/>
                <w:noProof/>
              </w:rPr>
              <w:t>Unterschiede durch Reduktion der Wahlprogramme</w:t>
            </w:r>
            <w:r>
              <w:rPr>
                <w:noProof/>
                <w:webHidden/>
              </w:rPr>
              <w:tab/>
            </w:r>
            <w:r>
              <w:rPr>
                <w:noProof/>
                <w:webHidden/>
              </w:rPr>
              <w:fldChar w:fldCharType="begin"/>
            </w:r>
            <w:r>
              <w:rPr>
                <w:noProof/>
                <w:webHidden/>
              </w:rPr>
              <w:instrText xml:space="preserve"> PAGEREF _Toc129331532 \h </w:instrText>
            </w:r>
            <w:r>
              <w:rPr>
                <w:noProof/>
                <w:webHidden/>
              </w:rPr>
            </w:r>
            <w:r>
              <w:rPr>
                <w:noProof/>
                <w:webHidden/>
              </w:rPr>
              <w:fldChar w:fldCharType="separate"/>
            </w:r>
            <w:r>
              <w:rPr>
                <w:noProof/>
                <w:webHidden/>
              </w:rPr>
              <w:t>10</w:t>
            </w:r>
            <w:r>
              <w:rPr>
                <w:noProof/>
                <w:webHidden/>
              </w:rPr>
              <w:fldChar w:fldCharType="end"/>
            </w:r>
          </w:hyperlink>
        </w:p>
        <w:p w14:paraId="608AA21A" w14:textId="30A2EDB4" w:rsidR="00021CBC" w:rsidRDefault="00021CBC">
          <w:pPr>
            <w:pStyle w:val="TOC1"/>
            <w:tabs>
              <w:tab w:val="right" w:leader="dot" w:pos="9062"/>
            </w:tabs>
            <w:rPr>
              <w:rFonts w:eastAsiaTheme="minorEastAsia"/>
              <w:noProof/>
              <w:lang w:val="en-US"/>
            </w:rPr>
          </w:pPr>
          <w:hyperlink w:anchor="_Toc129331533" w:history="1">
            <w:r w:rsidRPr="00F37F16">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_Toc129331533 \h </w:instrText>
            </w:r>
            <w:r>
              <w:rPr>
                <w:noProof/>
                <w:webHidden/>
              </w:rPr>
            </w:r>
            <w:r>
              <w:rPr>
                <w:noProof/>
                <w:webHidden/>
              </w:rPr>
              <w:fldChar w:fldCharType="separate"/>
            </w:r>
            <w:r>
              <w:rPr>
                <w:noProof/>
                <w:webHidden/>
              </w:rPr>
              <w:t>11</w:t>
            </w:r>
            <w:r>
              <w:rPr>
                <w:noProof/>
                <w:webHidden/>
              </w:rPr>
              <w:fldChar w:fldCharType="end"/>
            </w:r>
          </w:hyperlink>
        </w:p>
        <w:p w14:paraId="4179A799" w14:textId="780E118A" w:rsidR="00021CBC" w:rsidRDefault="00021CBC">
          <w:pPr>
            <w:pStyle w:val="TOC1"/>
            <w:tabs>
              <w:tab w:val="right" w:leader="dot" w:pos="9062"/>
            </w:tabs>
            <w:rPr>
              <w:rFonts w:eastAsiaTheme="minorEastAsia"/>
              <w:noProof/>
              <w:lang w:val="en-US"/>
            </w:rPr>
          </w:pPr>
          <w:hyperlink w:anchor="_Toc129331534" w:history="1">
            <w:r w:rsidRPr="00F37F16">
              <w:rPr>
                <w:rStyle w:val="Hyperlink"/>
                <w:noProof/>
              </w:rPr>
              <w:t>Literatur</w:t>
            </w:r>
            <w:r>
              <w:rPr>
                <w:noProof/>
                <w:webHidden/>
              </w:rPr>
              <w:tab/>
            </w:r>
            <w:r>
              <w:rPr>
                <w:noProof/>
                <w:webHidden/>
              </w:rPr>
              <w:fldChar w:fldCharType="begin"/>
            </w:r>
            <w:r>
              <w:rPr>
                <w:noProof/>
                <w:webHidden/>
              </w:rPr>
              <w:instrText xml:space="preserve"> PAGEREF _Toc129331534 \h </w:instrText>
            </w:r>
            <w:r>
              <w:rPr>
                <w:noProof/>
                <w:webHidden/>
              </w:rPr>
            </w:r>
            <w:r>
              <w:rPr>
                <w:noProof/>
                <w:webHidden/>
              </w:rPr>
              <w:fldChar w:fldCharType="separate"/>
            </w:r>
            <w:r>
              <w:rPr>
                <w:noProof/>
                <w:webHidden/>
              </w:rPr>
              <w:t>12</w:t>
            </w:r>
            <w:r>
              <w:rPr>
                <w:noProof/>
                <w:webHidden/>
              </w:rPr>
              <w:fldChar w:fldCharType="end"/>
            </w:r>
          </w:hyperlink>
        </w:p>
        <w:p w14:paraId="731F5E7D" w14:textId="41584CCE" w:rsidR="00021CBC" w:rsidRDefault="00021CBC">
          <w:pPr>
            <w:pStyle w:val="TOC2"/>
            <w:tabs>
              <w:tab w:val="right" w:leader="dot" w:pos="9062"/>
            </w:tabs>
            <w:rPr>
              <w:rFonts w:eastAsiaTheme="minorEastAsia"/>
              <w:noProof/>
              <w:lang w:val="en-US"/>
            </w:rPr>
          </w:pPr>
          <w:hyperlink w:anchor="_Toc129331535" w:history="1">
            <w:r w:rsidRPr="00F37F16">
              <w:rPr>
                <w:rStyle w:val="Hyperlink"/>
                <w:noProof/>
              </w:rPr>
              <w:t>Nicht-akademische Literatur</w:t>
            </w:r>
            <w:r>
              <w:rPr>
                <w:noProof/>
                <w:webHidden/>
              </w:rPr>
              <w:tab/>
            </w:r>
            <w:r>
              <w:rPr>
                <w:noProof/>
                <w:webHidden/>
              </w:rPr>
              <w:fldChar w:fldCharType="begin"/>
            </w:r>
            <w:r>
              <w:rPr>
                <w:noProof/>
                <w:webHidden/>
              </w:rPr>
              <w:instrText xml:space="preserve"> PAGEREF _Toc129331535 \h </w:instrText>
            </w:r>
            <w:r>
              <w:rPr>
                <w:noProof/>
                <w:webHidden/>
              </w:rPr>
            </w:r>
            <w:r>
              <w:rPr>
                <w:noProof/>
                <w:webHidden/>
              </w:rPr>
              <w:fldChar w:fldCharType="separate"/>
            </w:r>
            <w:r>
              <w:rPr>
                <w:noProof/>
                <w:webHidden/>
              </w:rPr>
              <w:t>12</w:t>
            </w:r>
            <w:r>
              <w:rPr>
                <w:noProof/>
                <w:webHidden/>
              </w:rPr>
              <w:fldChar w:fldCharType="end"/>
            </w:r>
          </w:hyperlink>
        </w:p>
        <w:p w14:paraId="647D1762" w14:textId="1578CD4F" w:rsidR="00CF68EA" w:rsidRDefault="00ED66C9" w:rsidP="008D36AA">
          <w:r>
            <w:fldChar w:fldCharType="end"/>
          </w:r>
        </w:p>
      </w:sdtContent>
    </w:sdt>
    <w:p w14:paraId="1D9885D0" w14:textId="150AE712" w:rsidR="00CF68EA" w:rsidRPr="00673254" w:rsidRDefault="00CF68EA" w:rsidP="00673254">
      <w:pPr>
        <w:sectPr w:rsidR="00CF68EA" w:rsidRPr="00673254"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9331510"/>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9331511"/>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57D7BC0F"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4E9324A3" w14:textId="5FF86ADB" w:rsidR="00CF68EA" w:rsidRDefault="00CF68EA" w:rsidP="008D36AA">
      <w:pPr>
        <w:pStyle w:val="Heading3"/>
        <w:rPr>
          <w:rFonts w:eastAsia="Times New Roman"/>
        </w:rPr>
      </w:pPr>
      <w:bookmarkStart w:id="2" w:name="_Toc129331512"/>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 xml:space="preserve">Wissenschaft sollte möglichst unabhängig und nicht bereits in ihrer Entstehung durch politische Ideologien beeinflusst werden. </w:t>
      </w:r>
      <w:r w:rsidRPr="0004636B">
        <w:rPr>
          <w:highlight w:val="red"/>
        </w:rPr>
        <w:t>[MEHR]</w:t>
      </w:r>
    </w:p>
    <w:p w14:paraId="50F8C4DB" w14:textId="5DBC896B"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r w:rsidR="00041B9F">
        <w:t xml:space="preserve"> </w:t>
      </w:r>
      <w:r w:rsidR="00041B9F" w:rsidRPr="0004636B">
        <w:rPr>
          <w:highlight w:val="red"/>
        </w:rPr>
        <w:t>[citation]</w:t>
      </w:r>
    </w:p>
    <w:p w14:paraId="7DF14FBC" w14:textId="0395A672" w:rsidR="00CF68EA" w:rsidRDefault="00CF68EA" w:rsidP="008D36AA">
      <w:pPr>
        <w:pStyle w:val="Heading3"/>
        <w:rPr>
          <w:rFonts w:eastAsia="Times New Roman"/>
        </w:rPr>
      </w:pPr>
      <w:bookmarkStart w:id="3" w:name="_Toc129331513"/>
      <w:r w:rsidRPr="00CF68EA">
        <w:rPr>
          <w:rFonts w:eastAsia="Times New Roman"/>
        </w:rPr>
        <w:t>forschungslücke und forschungsfrage</w:t>
      </w:r>
      <w:bookmarkEnd w:id="3"/>
    </w:p>
    <w:p w14:paraId="30C41CC8" w14:textId="56E1C8DA" w:rsidR="0033749D" w:rsidRDefault="0033749D" w:rsidP="0033749D">
      <w:r>
        <w:t>[Nur umfragen und statisiken, fokus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9331514"/>
      <w:r w:rsidRPr="00CF68EA">
        <w:rPr>
          <w:rFonts w:eastAsia="Times New Roman"/>
        </w:rPr>
        <w:t>Erläuterung der theorie, fälle, methoden</w:t>
      </w:r>
      <w:bookmarkEnd w:id="4"/>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9331515"/>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9331516"/>
      <w:r w:rsidRPr="00CF68EA">
        <w:rPr>
          <w:rFonts w:eastAsia="Times New Roman"/>
        </w:rPr>
        <w:t>zusammenfassung der ergebnisse</w:t>
      </w:r>
      <w:bookmarkEnd w:id="6"/>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9331517"/>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9331518"/>
      <w:r w:rsidRPr="00CF68EA">
        <w:rPr>
          <w:rFonts w:eastAsia="Times New Roman"/>
        </w:rPr>
        <w:t>Theorie</w:t>
      </w:r>
      <w:bookmarkEnd w:id="8"/>
      <w:r w:rsidRPr="00CF68EA">
        <w:rPr>
          <w:rFonts w:eastAsia="Times New Roman"/>
        </w:rPr>
        <w:t xml:space="preserve"> </w:t>
      </w:r>
    </w:p>
    <w:p w14:paraId="0575E798" w14:textId="43E79C61" w:rsidR="00C94C84" w:rsidRDefault="00CF68EA" w:rsidP="008D36AA">
      <w:pPr>
        <w:pStyle w:val="Heading3"/>
        <w:rPr>
          <w:rFonts w:eastAsia="Times New Roman"/>
        </w:rPr>
      </w:pPr>
      <w:bookmarkStart w:id="9" w:name="_Toc129331519"/>
      <w:r w:rsidRPr="00CF68EA">
        <w:rPr>
          <w:rFonts w:eastAsia="Times New Roman"/>
        </w:rPr>
        <w:t>Forschungsstand</w:t>
      </w:r>
      <w:bookmarkEnd w:id="9"/>
    </w:p>
    <w:p w14:paraId="4B10526C" w14:textId="1ADC08FD" w:rsidR="00AC1AB0" w:rsidRPr="00AC1AB0" w:rsidRDefault="00C97DF0" w:rsidP="00AC1AB0">
      <w:r>
        <w:t>Politische Jugendorganisationen sind deutlich weniger erforscht als Parteien. Zudem fokussiert sich die bisherige Forschung vor allem damit wie diese Organisationen den Parteien Nutzen. Besonders, da p</w:t>
      </w:r>
      <w:r w:rsidR="003E53C8">
        <w:t xml:space="preserve">olitische </w:t>
      </w:r>
      <w:r w:rsidR="00AC1AB0">
        <w:t>Parteien</w:t>
      </w:r>
      <w:r>
        <w:t xml:space="preserve"> seit einiger Zeit</w:t>
      </w:r>
      <w:r w:rsidR="00AC1AB0">
        <w:t xml:space="preserve"> Mitglieder </w:t>
      </w:r>
      <w:r>
        <w:t xml:space="preserve">verlieren </w:t>
      </w:r>
      <w:r w:rsidR="005423DF">
        <w:t xml:space="preserve">und nutzen </w:t>
      </w:r>
      <w:r>
        <w:t xml:space="preserve">sie </w:t>
      </w:r>
      <w:r w:rsidR="005423DF">
        <w:t xml:space="preserve">deren Jugendorganisationen, um zu rekrutieren </w:t>
      </w:r>
      <w:r w:rsidR="005423DF">
        <w:t>(</w:t>
      </w:r>
      <w:r w:rsidR="005423DF" w:rsidRPr="00585E66">
        <w:t>Hooghe</w:t>
      </w:r>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Rainsford 2017</w:t>
      </w:r>
      <w:r w:rsidR="005423DF">
        <w:t xml:space="preserve">; </w:t>
      </w:r>
      <w:r w:rsidR="005423DF" w:rsidRPr="00AC1AB0">
        <w:t>Bolin</w:t>
      </w:r>
      <w:r w:rsidR="005423DF">
        <w:t xml:space="preserve"> et al. </w:t>
      </w:r>
      <w:r w:rsidR="005423DF" w:rsidRPr="00AC1AB0">
        <w:t>2022</w:t>
      </w:r>
      <w:r w:rsidR="005423DF">
        <w:t>)</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r w:rsidR="00924540" w:rsidRPr="00924540">
        <w:rPr>
          <w:highlight w:val="red"/>
        </w:rPr>
        <w:t>[MEHR]</w:t>
      </w:r>
    </w:p>
    <w:p w14:paraId="754FAD34" w14:textId="1E7D7420" w:rsidR="00C94C84" w:rsidRDefault="00D61F48" w:rsidP="00C94C84">
      <w:r>
        <w:t>Mitgliedschaft bei Jugendorganisationen von politischen Parteien basiert auf Überzeugung</w:t>
      </w:r>
      <w:r w:rsidR="00021CBC">
        <w:t xml:space="preserve">. </w:t>
      </w:r>
      <w:r>
        <w:t>Basierend auf einer Analyse von Mitgliedern britischer Jugendorganisationen findet Rainsford (2017) heraus, dass d</w:t>
      </w:r>
      <w:r w:rsidR="00021CBC">
        <w:t xml:space="preserve">eren Gründe für den Beitritt </w:t>
      </w:r>
      <w:r>
        <w:t>nicht nur egoistisch, also auf eine Parteikarriere abzielend, sondern</w:t>
      </w:r>
      <w:r w:rsidR="002744E5">
        <w:t xml:space="preserve"> oft</w:t>
      </w:r>
      <w:r>
        <w:t xml:space="preserve"> policy-basiert sind.  Interessanterweise </w:t>
      </w:r>
      <w:r w:rsidR="00BC5DC3">
        <w:t>scheinen d</w:t>
      </w:r>
      <w:r>
        <w:t>iese politisch motivierten Personen</w:t>
      </w:r>
      <w:r w:rsidR="00BC5DC3">
        <w:t xml:space="preserve"> nicht das Gefühl zu haben, tatsächliche politische Veränderungen verursachen zu können, sondern sehen es eher als wichtig, ihre Positionen zu vertreten und zu verteidigen (Rainsford 2017, S. 800).</w:t>
      </w:r>
    </w:p>
    <w:p w14:paraId="4E9055C9" w14:textId="0C1B4406" w:rsidR="00A8234C" w:rsidRDefault="00AC1AB0" w:rsidP="00C94C84">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„Mutterpartei“ zu unterstützen. Diese Mitglieder haben das Ziel innerhalb der Partei Karriere zu machen und politische Positionen einzunehmen (</w:t>
      </w:r>
      <w:r w:rsidR="002744E5" w:rsidRPr="00AC1AB0">
        <w:t>Bolin</w:t>
      </w:r>
      <w:r w:rsidR="002744E5">
        <w:t xml:space="preserve"> et al. </w:t>
      </w:r>
      <w:r w:rsidR="002744E5" w:rsidRPr="00AC1AB0">
        <w:t>2022</w:t>
      </w:r>
      <w:r w:rsidR="003E53C8">
        <w:t>, S. 10-11</w:t>
      </w:r>
      <w:r w:rsidR="002744E5">
        <w:t>).</w:t>
      </w:r>
    </w:p>
    <w:p w14:paraId="0D0D5500" w14:textId="04B79C96" w:rsidR="00664FCC" w:rsidRDefault="00664FCC" w:rsidP="00C94C84">
      <w:r w:rsidRPr="002B1F87">
        <w:rPr>
          <w:highlight w:val="red"/>
        </w:rPr>
        <w:t>[positionen von studis]</w:t>
      </w:r>
    </w:p>
    <w:p w14:paraId="502A1951" w14:textId="1C2648DF" w:rsidR="00CA2CC4" w:rsidRPr="00C94C84" w:rsidRDefault="00CA2CC4" w:rsidP="00C94C84">
      <w:r w:rsidRPr="00924540">
        <w:rPr>
          <w:highlight w:val="red"/>
        </w:rPr>
        <w:t>[not radical]</w:t>
      </w:r>
      <w:r>
        <w:t xml:space="preserve"> (</w:t>
      </w:r>
      <w:r w:rsidRPr="00CA2CC4">
        <w:t>Bennie &amp; Russell</w:t>
      </w:r>
      <w:r>
        <w:t xml:space="preserve"> </w:t>
      </w:r>
      <w:r w:rsidRPr="00CA2CC4">
        <w:t>2012</w:t>
      </w:r>
      <w:r w:rsidR="00B52B5D">
        <w:t>, S. 28</w:t>
      </w:r>
      <w:r>
        <w:t>)</w:t>
      </w:r>
    </w:p>
    <w:p w14:paraId="70FD3B25" w14:textId="1237D73D" w:rsidR="00CF68EA" w:rsidRDefault="00CF68EA" w:rsidP="008D36AA">
      <w:pPr>
        <w:pStyle w:val="Heading3"/>
        <w:rPr>
          <w:rFonts w:eastAsia="Times New Roman"/>
        </w:rPr>
      </w:pPr>
      <w:bookmarkStart w:id="10" w:name="_Toc129331520"/>
      <w:r w:rsidRPr="00CF68EA">
        <w:rPr>
          <w:rFonts w:eastAsia="Times New Roman"/>
        </w:rPr>
        <w:t>Forschungslücke</w:t>
      </w:r>
      <w:bookmarkEnd w:id="10"/>
    </w:p>
    <w:p w14:paraId="03490320" w14:textId="5348A6F0" w:rsidR="00A8234C" w:rsidRPr="00A8234C" w:rsidRDefault="00A8234C" w:rsidP="00A8234C">
      <w:r>
        <w:t xml:space="preserve">Es gibt bisher keine Forschung zur politischen Positionierung von Hochschulgruppen. </w:t>
      </w:r>
    </w:p>
    <w:p w14:paraId="3DD2ECDB" w14:textId="0C431E07" w:rsidR="00CF68EA" w:rsidRDefault="00CF68EA" w:rsidP="008D36AA">
      <w:pPr>
        <w:pStyle w:val="Heading3"/>
        <w:rPr>
          <w:rFonts w:eastAsia="Times New Roman"/>
        </w:rPr>
      </w:pPr>
      <w:bookmarkStart w:id="11" w:name="_Toc129331521"/>
      <w:r w:rsidRPr="00CF68EA">
        <w:rPr>
          <w:rFonts w:eastAsia="Times New Roman"/>
        </w:rPr>
        <w:t>Theoretisches Argument</w:t>
      </w:r>
      <w:bookmarkEnd w:id="11"/>
    </w:p>
    <w:p w14:paraId="05E3B382" w14:textId="6A08DAC2" w:rsidR="00CF6B49" w:rsidRDefault="00CF6B49" w:rsidP="00CF6B49">
      <w:r>
        <w:t>[downs?]</w:t>
      </w:r>
    </w:p>
    <w:p w14:paraId="70BD3F95" w14:textId="28FDC041" w:rsidR="000475F1" w:rsidRPr="00CF6B49" w:rsidRDefault="000475F1" w:rsidP="00CF6B49">
      <w:r>
        <w:t>[valenz / salienz?]</w:t>
      </w:r>
    </w:p>
    <w:p w14:paraId="5FD5757C" w14:textId="4C4021FE" w:rsidR="00CF68EA" w:rsidRDefault="00CF68EA" w:rsidP="008D36AA">
      <w:pPr>
        <w:pStyle w:val="Heading3"/>
        <w:rPr>
          <w:rFonts w:eastAsia="Times New Roman"/>
        </w:rPr>
      </w:pPr>
      <w:bookmarkStart w:id="12" w:name="_Toc129331522"/>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r w:rsidR="00C94C84">
        <w:t>medien</w:t>
      </w:r>
      <w:r w:rsidR="00FB30A2">
        <w:t>]</w:t>
      </w:r>
    </w:p>
    <w:p w14:paraId="50FFF846" w14:textId="57B3400F" w:rsidR="00FB30A2" w:rsidRDefault="00FB30A2" w:rsidP="008D36AA">
      <w:r>
        <w:t>[umfragen]</w:t>
      </w:r>
    </w:p>
    <w:p w14:paraId="12AD63A2" w14:textId="7DD03A39" w:rsidR="00FB30A2" w:rsidRPr="008D36AA" w:rsidRDefault="00FB30A2" w:rsidP="008D36AA">
      <w:r>
        <w:lastRenderedPageBreak/>
        <w:t>[</w:t>
      </w:r>
      <w:r w:rsidR="00C94C84">
        <w:t>paper</w:t>
      </w:r>
      <w:r>
        <w:t>]</w:t>
      </w:r>
      <w:r w:rsidR="00C041E1">
        <w:t xml:space="preserve"> (Honeycutt 2022)</w:t>
      </w:r>
    </w:p>
    <w:p w14:paraId="5CE0F6F7" w14:textId="2EDD608A" w:rsidR="008D36AA" w:rsidRDefault="008D36AA" w:rsidP="008D36AA">
      <w:pPr>
        <w:ind w:firstLine="720"/>
      </w:pPr>
      <w:r>
        <w:t xml:space="preserve">H1: </w:t>
      </w:r>
      <w:r w:rsidR="0069447D">
        <w:t>Hochschulgruppen</w:t>
      </w:r>
      <w:r w:rsidRPr="008D36AA">
        <w:t xml:space="preserve"> sind im Schnitt dem linken politischen Spektrum zuzuordnen</w:t>
      </w:r>
      <w:r>
        <w:t>.</w:t>
      </w:r>
    </w:p>
    <w:p w14:paraId="0D5CA80E" w14:textId="77777777" w:rsidR="00C94C84" w:rsidRDefault="00C94C84" w:rsidP="008D36AA">
      <w:pPr>
        <w:ind w:firstLine="720"/>
      </w:pPr>
    </w:p>
    <w:p w14:paraId="08EF8AD4" w14:textId="77777777" w:rsidR="00A25D82" w:rsidRDefault="000F0E36" w:rsidP="00A25D82">
      <w:pPr>
        <w:keepNext/>
      </w:pPr>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13"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13"/>
      <w:r w:rsidR="005C606D">
        <w:t xml:space="preserve"> – Wahlverhalten bei der Bundestagswahl 2021 nach Alter (Stimmenanteile der Parteien)</w:t>
      </w:r>
      <w:r w:rsidR="00C625A9">
        <w:t>.</w:t>
      </w:r>
    </w:p>
    <w:p w14:paraId="3C99D03A" w14:textId="45790AE1" w:rsidR="000F0E36" w:rsidRDefault="000F0E36" w:rsidP="000F0E36">
      <w:r>
        <w:t xml:space="preserve">Alternativ besteht die Möglichkeit, dass die politische Landschaft an Universitäten sich nicht </w:t>
      </w:r>
      <w:r w:rsidRPr="00853F25">
        <w:rPr>
          <w:highlight w:val="red"/>
        </w:rPr>
        <w:t>[</w:t>
      </w:r>
      <w:commentRangeStart w:id="14"/>
      <w:r w:rsidRPr="00853F25">
        <w:t>merklich</w:t>
      </w:r>
      <w:commentRangeEnd w:id="14"/>
      <w:r w:rsidRPr="00853F25">
        <w:rPr>
          <w:rStyle w:val="CommentReference"/>
        </w:rPr>
        <w:commentReference w:id="14"/>
      </w:r>
      <w:r w:rsidRPr="00853F25">
        <w:rPr>
          <w:highlight w:val="red"/>
        </w:rPr>
        <w:t>]</w:t>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44787865" w:rsidR="0060250D" w:rsidRPr="008D36AA" w:rsidRDefault="0060250D" w:rsidP="00B64405">
      <w:r>
        <w:lastRenderedPageBreak/>
        <w:tab/>
        <w:t xml:space="preserve">H3: </w:t>
      </w:r>
      <w:r w:rsidR="0069447D">
        <w:t>Hochschulgruppen</w:t>
      </w:r>
      <w:r w:rsidRPr="0060250D">
        <w:t xml:space="preserve"> sind nicht sinnvoll mit Bundestagsparteien zu vergleichen.</w:t>
      </w:r>
    </w:p>
    <w:p w14:paraId="5B3CD6B6" w14:textId="77777777" w:rsidR="00CF68EA" w:rsidRPr="00CF68EA" w:rsidRDefault="00CF68EA" w:rsidP="008D36AA">
      <w:pPr>
        <w:pStyle w:val="Heading2"/>
        <w:rPr>
          <w:rFonts w:eastAsia="Times New Roman"/>
        </w:rPr>
      </w:pPr>
      <w:bookmarkStart w:id="15" w:name="_Toc129331523"/>
      <w:r w:rsidRPr="00CF68EA">
        <w:rPr>
          <w:rFonts w:eastAsia="Times New Roman"/>
        </w:rPr>
        <w:t>Daten und Operationalisierung</w:t>
      </w:r>
      <w:bookmarkEnd w:id="15"/>
      <w:r w:rsidRPr="00CF68EA">
        <w:rPr>
          <w:rFonts w:eastAsia="Times New Roman"/>
        </w:rPr>
        <w:t xml:space="preserve"> </w:t>
      </w:r>
    </w:p>
    <w:p w14:paraId="4805EC58" w14:textId="319AA5EF" w:rsidR="00CF68EA" w:rsidRDefault="00CF68EA" w:rsidP="008D36AA">
      <w:pPr>
        <w:pStyle w:val="Heading3"/>
        <w:rPr>
          <w:rFonts w:eastAsia="Times New Roman"/>
        </w:rPr>
      </w:pPr>
      <w:bookmarkStart w:id="16" w:name="_Toc129331524"/>
      <w:r w:rsidRPr="00CF68EA">
        <w:rPr>
          <w:rFonts w:eastAsia="Times New Roman"/>
        </w:rPr>
        <w:t>Fallauswahl</w:t>
      </w:r>
      <w:bookmarkEnd w:id="16"/>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Studiwerk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lastRenderedPageBreak/>
        <w:t xml:space="preserve">Für die textbasierte Analyse von Parteipositionen ist es zwingend notwendig, dass Parteiprogramme oder andere schriftliche Darstellungen der gewünschten policies zur Verfügung stehen. Die Alternative Linke Liste / Basisgruppenbündnis Göttingen </w:t>
      </w:r>
      <w:r w:rsidR="00FB30A2">
        <w:t>hat kein auffindbares Wahlprogramm und antwortete nicht auf Rückfragen. Daher wird diese Partei in aus der Analyse ausgeschlossen.</w:t>
      </w:r>
    </w:p>
    <w:p w14:paraId="10CAAA25" w14:textId="605C8B91" w:rsidR="00010B25" w:rsidRPr="00D8580D" w:rsidRDefault="00FB30A2" w:rsidP="00D8580D">
      <w:r>
        <w:t xml:space="preserve">Die </w:t>
      </w:r>
      <w:r w:rsidR="004438FC">
        <w:t xml:space="preserve">Hochschulgruppe </w:t>
      </w:r>
      <w:r>
        <w:t>Schwarz-Rot-Kollabs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7" w:name="_Toc129331525"/>
      <w:r w:rsidRPr="00CF68EA">
        <w:rPr>
          <w:rFonts w:eastAsia="Times New Roman"/>
        </w:rPr>
        <w:t>Operationalisierung</w:t>
      </w:r>
      <w:bookmarkEnd w:id="17"/>
    </w:p>
    <w:p w14:paraId="6F6C9735" w14:textId="6275A814" w:rsidR="00F46CDF" w:rsidRDefault="00F46CDF" w:rsidP="00C574DE">
      <w:r>
        <w:t>Die</w:t>
      </w:r>
      <w:r w:rsidR="00AB4206">
        <w:t xml:space="preserve"> politische</w:t>
      </w:r>
      <w:r>
        <w:t xml:space="preserve"> Verortung der Parteien basiert zunächst auf dem </w:t>
      </w:r>
      <w:r w:rsidRPr="00F46CDF">
        <w:t>Manifesto Research on Political Representation</w:t>
      </w:r>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1B2821D8"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AB6E890" w14:textId="1AC39A8E" w:rsidR="00166604" w:rsidRPr="003405B5" w:rsidRDefault="00166604" w:rsidP="00C574DE">
      <w:pPr>
        <w:rPr>
          <w:rFonts w:ascii="Source Serif Pro" w:hAnsi="Source Serif Pro"/>
          <w:color w:val="FFFFFF"/>
          <w:sz w:val="26"/>
          <w:szCs w:val="26"/>
        </w:rPr>
      </w:pPr>
      <w:r>
        <w:t>Die Ergebnisse der Hochschulwahlen der Universität Göttingen wurden im Göttingen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Anzahl Sitze im AstA</w:t>
            </w:r>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lastRenderedPageBreak/>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18" w:name="_Ref129250446"/>
      <w:r>
        <w:t xml:space="preserve">Tabelle </w:t>
      </w:r>
      <w:r>
        <w:fldChar w:fldCharType="begin"/>
      </w:r>
      <w:r>
        <w:instrText xml:space="preserve"> SEQ Tabelle \* ARABIC </w:instrText>
      </w:r>
      <w:r>
        <w:fldChar w:fldCharType="separate"/>
      </w:r>
      <w:r>
        <w:rPr>
          <w:noProof/>
        </w:rPr>
        <w:t>1</w:t>
      </w:r>
      <w:r>
        <w:fldChar w:fldCharType="end"/>
      </w:r>
      <w:bookmarkEnd w:id="18"/>
      <w:r w:rsidR="00402104">
        <w:t xml:space="preserve"> – Ergebnisse der Hochschulwahlen der Universität Göttingen 2023 (Sitze und Prozentsätze)</w:t>
      </w:r>
      <w:r w:rsidR="00FF37A8">
        <w:t>.</w:t>
      </w:r>
    </w:p>
    <w:p w14:paraId="4EE81E3E" w14:textId="4C05033B" w:rsidR="00CF68EA" w:rsidRDefault="00CF68EA" w:rsidP="008D36AA">
      <w:pPr>
        <w:pStyle w:val="Heading3"/>
        <w:rPr>
          <w:rFonts w:eastAsia="Times New Roman"/>
        </w:rPr>
      </w:pPr>
      <w:bookmarkStart w:id="19" w:name="_Toc129331526"/>
      <w:r w:rsidRPr="00CF68EA">
        <w:rPr>
          <w:rFonts w:eastAsia="Times New Roman"/>
        </w:rPr>
        <w:t>Methoden</w:t>
      </w:r>
      <w:bookmarkEnd w:id="19"/>
    </w:p>
    <w:p w14:paraId="4B2B4E2D" w14:textId="6AA19359" w:rsidR="00B761FB" w:rsidRDefault="00B761FB" w:rsidP="00B761FB">
      <w:r>
        <w:t xml:space="preserve">Um die Texte für die Analyse vorzubereiten werden im Rahmen des pre-processing einige data-cleaning Methoden angewandt. Sogenannte „stopwords“, also Worte, welche keinen inhaltlichen Werte haben, werden entfernt. Zudem werden Worte mit weniger als drei Zeichen entfernt und alle Worte werden klein geschrieben und lemmatisiert. </w:t>
      </w:r>
      <w:r w:rsidRPr="00853F25">
        <w:rPr>
          <w:highlight w:val="red"/>
        </w:rPr>
        <w:t>[ERKLÄREN?]</w:t>
      </w:r>
    </w:p>
    <w:p w14:paraId="7759CD71" w14:textId="4C8AEAD3" w:rsidR="00B761FB" w:rsidRPr="00B761FB" w:rsidRDefault="00B761FB" w:rsidP="00B761FB">
      <w:r>
        <w:t>Nach dem pre-processing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Wordscores-Algorithmus errechneten, Werte der Hochschulgruppen erweitert.</w:t>
      </w:r>
      <w:r w:rsidR="006D7543">
        <w:t xml:space="preserve"> </w:t>
      </w:r>
      <w:r w:rsidR="006D7543" w:rsidRPr="000E0B2A">
        <w:rPr>
          <w:highlight w:val="red"/>
        </w:rPr>
        <w:t>[</w:t>
      </w:r>
      <w:r w:rsidR="000E0B2A">
        <w:rPr>
          <w:highlight w:val="red"/>
        </w:rPr>
        <w:t xml:space="preserve">übergang </w:t>
      </w:r>
      <w:r w:rsidR="00865593" w:rsidRPr="000E0B2A">
        <w:rPr>
          <w:highlight w:val="red"/>
        </w:rPr>
        <w:t>WEIRD</w:t>
      </w:r>
      <w:r w:rsidR="006D7543" w:rsidRPr="000E0B2A">
        <w:rPr>
          <w:highlight w:val="red"/>
        </w:rPr>
        <w:t>]</w:t>
      </w:r>
    </w:p>
    <w:p w14:paraId="7106F3E8" w14:textId="62A6CE10" w:rsidR="00F80E5A" w:rsidRPr="00AE6324" w:rsidRDefault="001124A3" w:rsidP="00AE6324">
      <w:r>
        <w:t xml:space="preserve">Für die Analyse wird die </w:t>
      </w:r>
      <w:r w:rsidR="00F80E5A">
        <w:t>„</w:t>
      </w:r>
      <w:r>
        <w:t>Wordscores</w:t>
      </w:r>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r w:rsidR="000D47A7" w:rsidRPr="000D47A7">
        <w:t>Marzagao</w:t>
      </w:r>
      <w:r w:rsidR="000D47A7">
        <w:t xml:space="preserve"> (2014). Allerdings wurden einige Anpassungen vorgenommen, um die Funktionalität mit neueren Versionen der Programmiersprache zu ermöglichen. </w:t>
      </w:r>
    </w:p>
    <w:p w14:paraId="1CEBEF38" w14:textId="23E732C6"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5DD71BF" w14:textId="6B09DDCF" w:rsidR="00C574DE" w:rsidRDefault="006C1C9A" w:rsidP="00C574DE">
      <w:r>
        <w:t>Die Wordscores-Methode,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r w:rsidR="00140452" w:rsidRPr="00140452">
        <w:t>Bruinsma &amp; Gemenis 2019</w:t>
      </w:r>
      <w:r w:rsidR="00F47A68">
        <w:t>;</w:t>
      </w:r>
      <w:r w:rsidR="00140452">
        <w:t xml:space="preserve"> </w:t>
      </w:r>
      <w:r w:rsidR="00140452" w:rsidRPr="00140452">
        <w:t>Koljonen</w:t>
      </w:r>
      <w:r w:rsidR="00140452">
        <w:t xml:space="preserve"> et al. 2022).</w:t>
      </w:r>
    </w:p>
    <w:p w14:paraId="24518D0D" w14:textId="1641F684" w:rsidR="006C1C9A" w:rsidRDefault="006C1C9A" w:rsidP="00C574DE">
      <w:r>
        <w:lastRenderedPageBreak/>
        <w:t>Eine alternative Analysemethode ist das „Wordfish“-Verfahren, bei dem eine latente Dimension in dem Text erfasst werden kann. Für die politische Positionierung von Parteiprogrammen auf einer vorher bestimmten Links-Rechs-Skala liefert dieses Verfahren allerdings relativ unzuverlässige Ergebnisse, weshalb es für diese Arbeit nicht gewählt wurde</w:t>
      </w:r>
      <w:r w:rsidR="00140452">
        <w:t xml:space="preserve"> (</w:t>
      </w:r>
      <w:r w:rsidR="00140452" w:rsidRPr="00140452">
        <w:t>Koljonen</w:t>
      </w:r>
      <w:r w:rsidR="00140452">
        <w:t xml:space="preserve"> et al. 2022).</w:t>
      </w:r>
    </w:p>
    <w:p w14:paraId="39DD2051" w14:textId="7D99570D" w:rsidR="00CF68EA" w:rsidRDefault="00CF68EA" w:rsidP="008D36AA">
      <w:pPr>
        <w:pStyle w:val="Heading2"/>
        <w:rPr>
          <w:rFonts w:eastAsia="Times New Roman"/>
        </w:rPr>
      </w:pPr>
      <w:bookmarkStart w:id="20" w:name="_Toc129331527"/>
      <w:r w:rsidRPr="00CF68EA">
        <w:rPr>
          <w:rFonts w:eastAsia="Times New Roman"/>
        </w:rPr>
        <w:t>Analyse</w:t>
      </w:r>
      <w:bookmarkEnd w:id="20"/>
      <w:r w:rsidRPr="00CF68EA">
        <w:rPr>
          <w:rFonts w:eastAsia="Times New Roman"/>
        </w:rPr>
        <w:t xml:space="preserve"> </w:t>
      </w:r>
    </w:p>
    <w:p w14:paraId="1ACC6C92" w14:textId="55ABD240" w:rsidR="00A71D1D" w:rsidRDefault="00A71D1D" w:rsidP="001124A3">
      <w:r>
        <w:t>Die Wordscores-Analyse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t xml:space="preserve">Als </w:t>
      </w:r>
      <w:r w:rsidR="00CB7A0E">
        <w:t>r</w:t>
      </w:r>
      <w:r>
        <w:t>elevante Themenfelder für die Analyse wurde die „Domain 5: Welfare and Quality of Life“</w:t>
      </w:r>
      <w:r w:rsidR="0023792B">
        <w:t xml:space="preserve"> mit den Subdimensionen „</w:t>
      </w:r>
      <w:r w:rsidR="0023792B" w:rsidRPr="0023792B">
        <w:t>Environmental Protection"</w:t>
      </w:r>
      <w:r w:rsidR="0023792B">
        <w:t xml:space="preserve"> (per501), „Culture: Positive“ (per502), „Equality: Positive“ (per503), „Welfare State Expansion“ (per504), „Welfare State Limitation“ (per505), „Education Expansion“ (per506) und „Education Limitation“ (per507) gewählt. </w:t>
      </w:r>
      <w:r w:rsidR="0023792B" w:rsidRPr="000E0B2A">
        <w:rPr>
          <w:highlight w:val="red"/>
        </w:rPr>
        <w:t>[warum? Lol shit]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3EAD204E" w:rsidR="00CF68EA" w:rsidRDefault="00CF68EA" w:rsidP="008D36AA">
      <w:pPr>
        <w:pStyle w:val="Heading3"/>
        <w:rPr>
          <w:rFonts w:eastAsia="Times New Roman"/>
        </w:rPr>
      </w:pPr>
      <w:bookmarkStart w:id="21" w:name="_Toc129331528"/>
      <w:r w:rsidRPr="00CF68EA">
        <w:rPr>
          <w:rFonts w:eastAsia="Times New Roman"/>
        </w:rPr>
        <w:t>Deskriptiv</w:t>
      </w:r>
      <w:r w:rsidR="00256F47">
        <w:rPr>
          <w:rFonts w:eastAsia="Times New Roman"/>
        </w:rPr>
        <w:t>e Analyse</w:t>
      </w:r>
      <w:bookmarkEnd w:id="21"/>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6B626F5B" w:rsidR="00AB5105" w:rsidRDefault="00F22ADB" w:rsidP="00F22ADB">
      <w:r>
        <w:t xml:space="preserve">Die Wahlprogramme unterscheiden sich in </w:t>
      </w:r>
      <w:r w:rsidR="00C0082A">
        <w:t>stark darin, wie groß die Anteile sind, welche für Hochschulgruppen relevante Themen ansprechen</w:t>
      </w:r>
      <w:r w:rsidR="00AA5065">
        <w:t xml:space="preserve"> (Siehe </w:t>
      </w:r>
      <w:r w:rsidR="009267AF">
        <w:fldChar w:fldCharType="begin"/>
      </w:r>
      <w:r w:rsidR="009267AF">
        <w:instrText xml:space="preserve"> REF _Ref129250412 \h </w:instrText>
      </w:r>
      <w:r w:rsidR="009267AF">
        <w:fldChar w:fldCharType="separate"/>
      </w:r>
      <w:r w:rsidR="009267AF">
        <w:t xml:space="preserve">Tabelle </w:t>
      </w:r>
      <w:r w:rsidR="009267AF">
        <w:rPr>
          <w:noProof/>
        </w:rPr>
        <w:t>2</w:t>
      </w:r>
      <w:r w:rsidR="009267AF">
        <w:fldChar w:fldCharType="end"/>
      </w:r>
      <w:r w:rsidR="00AA5065">
        <w:t>)</w:t>
      </w:r>
      <w:r w:rsidR="00C0082A">
        <w:t>.</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lastRenderedPageBreak/>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22"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22"/>
      <w:r w:rsidR="00FF37A8">
        <w:t xml:space="preserve"> – Anteile der Wahlergebnisse die relevante Themenfelder betreffen in Prozent.</w:t>
      </w:r>
    </w:p>
    <w:p w14:paraId="4760915D" w14:textId="2E0282E9" w:rsidR="00AB5105" w:rsidRPr="00F22ADB" w:rsidRDefault="00AB5105" w:rsidP="00F22ADB">
      <w:r>
        <w:t xml:space="preserve">Die Aufteilung von Themenschwerpunkten ist für die Analyse relevant. </w:t>
      </w:r>
      <w:r w:rsidRPr="000E0B2A">
        <w:rPr>
          <w:color w:val="000000" w:themeColor="text1"/>
          <w:highlight w:val="red"/>
        </w:rPr>
        <w:t>[MEHR lol</w:t>
      </w:r>
      <w:r w:rsidR="004931F0" w:rsidRPr="000E0B2A">
        <w:rPr>
          <w:color w:val="000000" w:themeColor="text1"/>
          <w:highlight w:val="red"/>
        </w:rPr>
        <w:t>, salizen/valenztheorie?</w:t>
      </w:r>
      <w:r w:rsidRPr="000E0B2A">
        <w:rPr>
          <w:color w:val="000000" w:themeColor="text1"/>
          <w:highlight w:val="red"/>
        </w:rPr>
        <w:t>]</w:t>
      </w:r>
    </w:p>
    <w:p w14:paraId="38028ADC" w14:textId="49D2CD3E" w:rsidR="00CF68EA" w:rsidRDefault="00CF68EA" w:rsidP="008D36AA">
      <w:pPr>
        <w:pStyle w:val="Heading3"/>
        <w:rPr>
          <w:rFonts w:eastAsia="Times New Roman"/>
        </w:rPr>
      </w:pPr>
      <w:bookmarkStart w:id="23" w:name="_Toc129331529"/>
      <w:r w:rsidRPr="00CF68EA">
        <w:rPr>
          <w:rFonts w:eastAsia="Times New Roman"/>
        </w:rPr>
        <w:t>Multivariat</w:t>
      </w:r>
      <w:r w:rsidR="00256F47">
        <w:rPr>
          <w:rFonts w:eastAsia="Times New Roman"/>
        </w:rPr>
        <w:t>e Analyse</w:t>
      </w:r>
      <w:bookmarkEnd w:id="23"/>
    </w:p>
    <w:p w14:paraId="37189C64" w14:textId="6FB5E1FB" w:rsidR="008A2E05" w:rsidRPr="008A2E05" w:rsidRDefault="008A2E05" w:rsidP="008A2E05">
      <w:pPr>
        <w:pStyle w:val="Heading4"/>
      </w:pPr>
      <w:bookmarkStart w:id="24" w:name="_Toc129331530"/>
      <w:r>
        <w:t>Komplette Wahlprogramme</w:t>
      </w:r>
      <w:bookmarkEnd w:id="24"/>
    </w:p>
    <w:p w14:paraId="3D3DC818" w14:textId="537042C1" w:rsidR="00AA497E" w:rsidRDefault="00AA497E" w:rsidP="00F165C2">
      <w:r>
        <w:t xml:space="preserve">Für die multivariate Analyse werden </w:t>
      </w:r>
      <w:r w:rsidR="00060E7A">
        <w:t xml:space="preserve">zunächst die kompletten Wahlprogramme mit dem Wordscores-Algorithmus analysiert. </w:t>
      </w:r>
    </w:p>
    <w:p w14:paraId="1546B012" w14:textId="77777777" w:rsidR="00256F47" w:rsidRDefault="00256F47" w:rsidP="00853F25">
      <w:pPr>
        <w:keepNext/>
        <w:jc w:val="center"/>
      </w:pPr>
      <w:r>
        <w:rPr>
          <w:noProof/>
        </w:rPr>
        <w:drawing>
          <wp:inline distT="0" distB="0" distL="0" distR="0" wp14:anchorId="6B850328" wp14:editId="63AA65DF">
            <wp:extent cx="4686300" cy="4211337"/>
            <wp:effectExtent l="133350" t="114300" r="133350" b="17018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90233"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25"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25"/>
      <w:r w:rsidR="00A35916">
        <w:t xml:space="preserve"> – Normalisierte Wordscores Werte (komplette Parteiprogramme).</w:t>
      </w:r>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Wordscores-Algorithmus, angewendet auf die kompletten Wahlprogramme der Hochschulgruppen, als Heatmap dar. Höhere Werte auf der Achse werden mit helleren Farben repräsentiert. Für die Rechts-Links Dimensionen ergibt sich somit, dass hellere Werte eine Position weiter rechts auf der Achse beschreiben.</w:t>
      </w:r>
    </w:p>
    <w:p w14:paraId="3E419F55" w14:textId="5F989DFE" w:rsidR="00572A45" w:rsidRDefault="00572A45" w:rsidP="00853F25">
      <w:r>
        <w:lastRenderedPageBreak/>
        <w:t xml:space="preserve">Es wird deutlich, dass die Rechts-Links Dimensionen des MARPOR Projektes sich stark von denen der Franzmann &amp; Kaiser Werte unterscheiden. Besonders die Hochschulgruppen GDF und GHG, welche bei den Wahlen die größten Stimmenanteile erhielten, werden von den Franzmann &amp; Kaiser Werten deutlich weiter links positioniert. Die LHG wird durch die Franzmann &amp; Kaiser Werte hingegen als deutlich weniger weit rechts eingeschätzt. </w:t>
      </w:r>
    </w:p>
    <w:p w14:paraId="7CF200F9" w14:textId="44468BDF" w:rsidR="004D6760" w:rsidRDefault="004D6760" w:rsidP="00853F25">
      <w:r>
        <w:t xml:space="preserve">Auf den anderen Dimensionen sind die meisten Hochschulgruppen mittig bis links einzuordnen. Nur der RCDS sticht beim Thema „Welfare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26"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26"/>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28D33631" w14:textId="453337FC" w:rsidR="008A2E05" w:rsidRDefault="008A2E05" w:rsidP="008A2E05">
      <w:r w:rsidRPr="008A2E05">
        <w:rPr>
          <w:highlight w:val="red"/>
        </w:rPr>
        <w:t>[bedeutung für hypothesen?]</w:t>
      </w:r>
    </w:p>
    <w:p w14:paraId="58F7A26D" w14:textId="3ADA731D" w:rsidR="00B71452" w:rsidRDefault="00BF6537" w:rsidP="008A2E05">
      <w:r>
        <w:lastRenderedPageBreak/>
        <w:t>Obwohl die meisten Hochschulgruppen de</w:t>
      </w:r>
      <w:r w:rsidR="00247D7E">
        <w:t>r</w:t>
      </w:r>
      <w:r>
        <w:t xml:space="preserve"> linken</w:t>
      </w:r>
      <w:r w:rsidR="00247D7E">
        <w:t xml:space="preserve"> Hälfte des</w:t>
      </w:r>
      <w:r>
        <w:t xml:space="preserve"> Spektrum</w:t>
      </w:r>
      <w:r w:rsidR="00247D7E">
        <w:t xml:space="preserve">s </w:t>
      </w:r>
      <w:r>
        <w:t>zugeordnet werden, sind</w:t>
      </w:r>
      <w:r w:rsidR="00247D7E">
        <w:t xml:space="preserve"> –</w:t>
      </w:r>
      <w:r w:rsidR="00247D7E">
        <w:t xml:space="preserve"> besonders nach den MARPOR Ergebnissen – auch zentrale Positionen stark vertreten. Dies unterstützt zunächst H2, da ein diverses politisches Spektrum erkannt wird.</w:t>
      </w:r>
    </w:p>
    <w:p w14:paraId="697EF6E6" w14:textId="5E773087" w:rsidR="00247D7E" w:rsidRDefault="00247D7E" w:rsidP="008A2E05">
      <w:r>
        <w:t xml:space="preserve">Wenn aber die Gewichtung nach den Wahlergebnissen mit einbezogen wird, ist deutlich zu sehen, dass durchschnittliche Studierende relativ linke politische Meinungen vertreten. Besonders die Linksverschiebung der Referenzpositionen der Grünen und der FDP bei den Franzmann &amp; Kaiser Werten scheint einen großen Einfluss auf die gesamte hochschulpolitische Landschaft zu haben. Dies </w:t>
      </w:r>
      <w:r w:rsidR="008E6474">
        <w:t xml:space="preserve">passt zu den Wahlergebnissen der Bundestagswahl 2021 (Siehe </w:t>
      </w:r>
      <w:r w:rsidR="008E6474">
        <w:fldChar w:fldCharType="begin"/>
      </w:r>
      <w:r w:rsidR="008E6474">
        <w:instrText xml:space="preserve"> REF _Ref129339493 \h </w:instrText>
      </w:r>
      <w:r w:rsidR="008E6474">
        <w:fldChar w:fldCharType="separate"/>
      </w:r>
      <w:r w:rsidR="008E6474">
        <w:t xml:space="preserve">Abbildung </w:t>
      </w:r>
      <w:r w:rsidR="008E6474">
        <w:rPr>
          <w:noProof/>
        </w:rPr>
        <w:t>1</w:t>
      </w:r>
      <w:r w:rsidR="008E6474">
        <w:fldChar w:fldCharType="end"/>
      </w:r>
      <w:r w:rsidR="008E6474">
        <w:t xml:space="preserve">), bei </w:t>
      </w:r>
      <w:r w:rsidR="00437D10">
        <w:t>denen diese</w:t>
      </w:r>
      <w:r w:rsidR="00466ABF">
        <w:t xml:space="preserve"> beiden</w:t>
      </w:r>
      <w:r w:rsidR="008E6474">
        <w:t xml:space="preserve"> Parteien beinahe die Hälfte aller Stimmen der relevanten Altersgruppen auf sich vereinen.</w:t>
      </w:r>
      <w:r>
        <w:t xml:space="preserve"> </w:t>
      </w:r>
    </w:p>
    <w:p w14:paraId="12453439" w14:textId="35BE0FA2" w:rsidR="003E01BB" w:rsidRDefault="003E01BB" w:rsidP="003E01BB">
      <w:pPr>
        <w:pStyle w:val="Heading4"/>
      </w:pPr>
      <w:bookmarkStart w:id="27" w:name="_Toc129331531"/>
      <w:r>
        <w:t>Reduzierte Wahlprogramme</w:t>
      </w:r>
      <w:bookmarkEnd w:id="27"/>
    </w:p>
    <w:p w14:paraId="59478C03" w14:textId="77777777" w:rsidR="008A2E05" w:rsidRDefault="008A2E05" w:rsidP="004703A1"/>
    <w:p w14:paraId="65B40000" w14:textId="77777777" w:rsidR="008A2E05" w:rsidRPr="004703A1" w:rsidRDefault="008A2E05" w:rsidP="004703A1"/>
    <w:p w14:paraId="730C3D82" w14:textId="77777777" w:rsidR="00572A45" w:rsidRDefault="00572A45" w:rsidP="00572A45">
      <w:pPr>
        <w:keepNext/>
        <w:jc w:val="center"/>
      </w:pPr>
      <w:r>
        <w:rPr>
          <w:noProof/>
        </w:rPr>
        <w:drawing>
          <wp:inline distT="0" distB="0" distL="0" distR="0" wp14:anchorId="62DCBF9F" wp14:editId="03496819">
            <wp:extent cx="4776728" cy="4292600"/>
            <wp:effectExtent l="114300" t="114300" r="119380" b="1460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777985" cy="4293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6F23415D"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w:t>
      </w:r>
      <w:r w:rsidR="00AC6EF3">
        <w:t>– Normalisierte Wordscores Werte (</w:t>
      </w:r>
      <w:r w:rsidR="00AC6EF3">
        <w:t>reduzierte</w:t>
      </w:r>
      <w:r w:rsidR="00AC6EF3">
        <w:t xml:space="preserve"> Parteiprogramme).</w:t>
      </w:r>
      <w:r w:rsidR="004831F6">
        <w:tab/>
      </w:r>
    </w:p>
    <w:p w14:paraId="543A81D5" w14:textId="77777777" w:rsidR="00010E5A" w:rsidRDefault="004831F6" w:rsidP="00010E5A">
      <w:pPr>
        <w:keepNext/>
      </w:pPr>
      <w:r>
        <w:rPr>
          <w:noProof/>
        </w:rPr>
        <w:lastRenderedPageBreak/>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2A30997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w:t>
      </w:r>
      <w:r w:rsidR="007D5C32">
        <w:t>Rechts-Links Dimensionen MARPOR-Projekt vs. Franzmann &amp; Kaiser Werten (komplette Wahlprogramme).</w:t>
      </w:r>
    </w:p>
    <w:p w14:paraId="3A97EDD5" w14:textId="4A944721" w:rsidR="00514753" w:rsidRDefault="00514753" w:rsidP="00F165C2">
      <w:r>
        <w:t>[reduzierte Themen]</w:t>
      </w:r>
    </w:p>
    <w:p w14:paraId="76156445" w14:textId="77777777" w:rsidR="00615E2C" w:rsidRDefault="00514753" w:rsidP="00615E2C">
      <w:r>
        <w:t>[graph 2]</w:t>
      </w:r>
    </w:p>
    <w:p w14:paraId="11CB83AA" w14:textId="664D00EC" w:rsidR="00034EC0" w:rsidRDefault="00034EC0" w:rsidP="00615E2C">
      <w:pPr>
        <w:pStyle w:val="Heading4"/>
      </w:pPr>
      <w:bookmarkStart w:id="28" w:name="_Toc129331532"/>
      <w:r>
        <w:t>Unterschiede durch Reduktion der Wahlprogramme</w:t>
      </w:r>
      <w:bookmarkEnd w:id="28"/>
    </w:p>
    <w:p w14:paraId="332949A2" w14:textId="77777777" w:rsidR="00615E2C" w:rsidRPr="00615E2C" w:rsidRDefault="00615E2C" w:rsidP="00615E2C"/>
    <w:p w14:paraId="5E3F2421" w14:textId="77777777" w:rsidR="00A25D82" w:rsidRDefault="00A25D82" w:rsidP="00A25D82">
      <w:pPr>
        <w:keepNext/>
      </w:pPr>
      <w:r>
        <w:rPr>
          <w:noProof/>
        </w:rPr>
        <w:lastRenderedPageBreak/>
        <w:drawing>
          <wp:inline distT="0" distB="0" distL="0" distR="0" wp14:anchorId="6293E726" wp14:editId="73CCBB63">
            <wp:extent cx="5384771" cy="4799999"/>
            <wp:effectExtent l="133350" t="114300" r="14033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384771"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3DCD7569" w:rsidR="00514753" w:rsidRDefault="00A25D82" w:rsidP="00A25D82">
      <w:pPr>
        <w:pStyle w:val="Caption"/>
      </w:pPr>
      <w:r>
        <w:t xml:space="preserve">Abbildung </w:t>
      </w:r>
      <w:r>
        <w:fldChar w:fldCharType="begin"/>
      </w:r>
      <w:r>
        <w:instrText xml:space="preserve"> SEQ Abbildung \* ARABIC </w:instrText>
      </w:r>
      <w:r>
        <w:fldChar w:fldCharType="separate"/>
      </w:r>
      <w:r w:rsidR="00010E5A">
        <w:rPr>
          <w:noProof/>
        </w:rPr>
        <w:t>6</w:t>
      </w:r>
      <w:r>
        <w:fldChar w:fldCharType="end"/>
      </w:r>
    </w:p>
    <w:p w14:paraId="694E63DF" w14:textId="5C2BB87C" w:rsidR="004831F6" w:rsidRPr="004831F6" w:rsidRDefault="004831F6" w:rsidP="004831F6">
      <w:r>
        <w:t>[Graph with arrows?]</w:t>
      </w:r>
    </w:p>
    <w:p w14:paraId="5495E2FA" w14:textId="6D95F644" w:rsidR="00CF68EA" w:rsidRDefault="00CF68EA" w:rsidP="008D36AA">
      <w:pPr>
        <w:pStyle w:val="Heading1"/>
        <w:rPr>
          <w:rFonts w:eastAsia="Times New Roman"/>
        </w:rPr>
      </w:pPr>
      <w:bookmarkStart w:id="29" w:name="_Toc129331533"/>
      <w:r w:rsidRPr="00CF68EA">
        <w:rPr>
          <w:rFonts w:eastAsia="Times New Roman"/>
        </w:rPr>
        <w:t>Fazit und Diskussion</w:t>
      </w:r>
      <w:bookmarkEnd w:id="29"/>
    </w:p>
    <w:p w14:paraId="2D159008" w14:textId="212E54C8" w:rsidR="006C1C9A" w:rsidRDefault="006C1C9A" w:rsidP="006C1C9A">
      <w:r>
        <w:t>[probleme and wordcores]</w:t>
      </w:r>
    </w:p>
    <w:p w14:paraId="097736BB" w14:textId="1ED089B1" w:rsidR="006C1C9A" w:rsidRPr="006C1C9A" w:rsidRDefault="006C1C9A" w:rsidP="006C1C9A">
      <w:r>
        <w:t>[wordfish / andere methoden für detaillierte analyse]</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30" w:name="_Toc129331534"/>
      <w:r>
        <w:lastRenderedPageBreak/>
        <w:t>Literatur</w:t>
      </w:r>
      <w:bookmarkEnd w:id="30"/>
    </w:p>
    <w:p w14:paraId="23AAD19D" w14:textId="211EBA62" w:rsidR="00E45528" w:rsidRPr="0086234F" w:rsidRDefault="00E45528" w:rsidP="0086234F">
      <w:pPr>
        <w:pStyle w:val="ListParagraph"/>
        <w:numPr>
          <w:ilvl w:val="0"/>
          <w:numId w:val="7"/>
        </w:numPr>
        <w:rPr>
          <w:rFonts w:cstheme="minorHAnsi"/>
        </w:rPr>
      </w:pPr>
      <w:r w:rsidRPr="0086234F">
        <w:rPr>
          <w:rFonts w:cstheme="minorHAnsi"/>
        </w:rPr>
        <w:t xml:space="preserve">Franzmann, S., &amp; Kaiser, A. (2006). Locating Political Parties in Policy Space: A Reanalysis of Party Manifesto Data. Party Politics, 12(2), 163–188. </w:t>
      </w:r>
      <w:hyperlink r:id="rId27" w:history="1">
        <w:r w:rsidRPr="0086234F">
          <w:rPr>
            <w:rStyle w:val="Hyperlink"/>
            <w:rFonts w:cstheme="minorHAnsi"/>
          </w:rPr>
          <w:t>https://doi.org/10.1177/1354068806061336</w:t>
        </w:r>
      </w:hyperlink>
    </w:p>
    <w:p w14:paraId="2765FB0E" w14:textId="473BB398" w:rsidR="00E45528" w:rsidRPr="0086234F" w:rsidRDefault="00AE6324" w:rsidP="0086234F">
      <w:pPr>
        <w:pStyle w:val="ListParagraph"/>
        <w:numPr>
          <w:ilvl w:val="0"/>
          <w:numId w:val="7"/>
        </w:numPr>
        <w:rPr>
          <w:rFonts w:cstheme="minorHAnsi"/>
        </w:rPr>
      </w:pPr>
      <w:r w:rsidRPr="0086234F">
        <w:rPr>
          <w:rFonts w:cstheme="minorHAnsi"/>
          <w:color w:val="181817"/>
          <w:shd w:val="clear" w:color="auto" w:fill="FFFFFF"/>
        </w:rPr>
        <w:t>LAVER, M., BENOIT, K., &amp; GARRY, J. (2003). Extracting Policy Positions from Political Texts Using Words as Data. </w:t>
      </w:r>
      <w:r w:rsidRPr="0086234F">
        <w:rPr>
          <w:rFonts w:cstheme="minorHAnsi"/>
          <w:i/>
          <w:iCs/>
          <w:color w:val="181817"/>
          <w:bdr w:val="none" w:sz="0" w:space="0" w:color="auto" w:frame="1"/>
          <w:shd w:val="clear" w:color="auto" w:fill="FFFFFF"/>
        </w:rPr>
        <w:t>American Political Science Review,</w:t>
      </w:r>
      <w:r w:rsidRPr="0086234F">
        <w:rPr>
          <w:rFonts w:cstheme="minorHAnsi"/>
          <w:color w:val="181817"/>
          <w:shd w:val="clear" w:color="auto" w:fill="FFFFFF"/>
        </w:rPr>
        <w:t> </w:t>
      </w:r>
      <w:r w:rsidRPr="0086234F">
        <w:rPr>
          <w:rFonts w:cstheme="minorHAnsi"/>
          <w:i/>
          <w:iCs/>
          <w:color w:val="181817"/>
          <w:bdr w:val="none" w:sz="0" w:space="0" w:color="auto" w:frame="1"/>
          <w:shd w:val="clear" w:color="auto" w:fill="FFFFFF"/>
        </w:rPr>
        <w:t>97</w:t>
      </w:r>
      <w:r w:rsidRPr="0086234F">
        <w:rPr>
          <w:rFonts w:cstheme="minorHAnsi"/>
          <w:color w:val="181817"/>
          <w:shd w:val="clear" w:color="auto" w:fill="FFFFFF"/>
        </w:rPr>
        <w:t>(2), 311-331. doi:10.1017/S0003055403000698</w:t>
      </w:r>
    </w:p>
    <w:p w14:paraId="5865BA0A" w14:textId="5A85D429" w:rsidR="00AE6324" w:rsidRPr="0086234F" w:rsidRDefault="00AE6324" w:rsidP="0086234F">
      <w:pPr>
        <w:pStyle w:val="ListParagraph"/>
        <w:numPr>
          <w:ilvl w:val="0"/>
          <w:numId w:val="7"/>
        </w:numPr>
        <w:rPr>
          <w:rStyle w:val="Hyperlink"/>
          <w:rFonts w:cstheme="minorHAnsi"/>
          <w:color w:val="auto"/>
          <w:u w:val="none"/>
        </w:rPr>
      </w:pPr>
      <w:r w:rsidRPr="0086234F">
        <w:rPr>
          <w:rFonts w:cstheme="minorHAnsi"/>
          <w:color w:val="262626"/>
          <w:shd w:val="clear" w:color="auto" w:fill="FFFFFF"/>
        </w:rPr>
        <w:t>Marzagao, T. (2014). </w:t>
      </w:r>
      <w:r w:rsidRPr="0086234F">
        <w:rPr>
          <w:rFonts w:cstheme="minorHAnsi"/>
          <w:i/>
          <w:iCs/>
          <w:color w:val="262626"/>
          <w:shd w:val="clear" w:color="auto" w:fill="FFFFFF"/>
        </w:rPr>
        <w:t>Measuring Democracy: From Texts to Data</w:t>
      </w:r>
      <w:r w:rsidRPr="0086234F">
        <w:rPr>
          <w:rFonts w:cstheme="minorHAnsi"/>
          <w:color w:val="262626"/>
          <w:shd w:val="clear" w:color="auto" w:fill="FFFFFF"/>
        </w:rPr>
        <w:t xml:space="preserve"> [Doctoral dissertation, Ohio State University]. OhioLINK Electronic Theses and Dissertations Center. </w:t>
      </w:r>
      <w:hyperlink r:id="rId28" w:history="1">
        <w:r w:rsidRPr="0086234F">
          <w:rPr>
            <w:rStyle w:val="Hyperlink"/>
            <w:rFonts w:cstheme="minorHAnsi"/>
            <w:shd w:val="clear" w:color="auto" w:fill="FFFFFF"/>
          </w:rPr>
          <w:t>http://rave.ohiolink.edu/etdc/view?acc_num=osu1405085531</w:t>
        </w:r>
      </w:hyperlink>
    </w:p>
    <w:p w14:paraId="5B292127" w14:textId="415C268D" w:rsidR="00140452" w:rsidRPr="0086234F" w:rsidRDefault="00140452" w:rsidP="0086234F">
      <w:pPr>
        <w:pStyle w:val="ListParagraph"/>
        <w:numPr>
          <w:ilvl w:val="0"/>
          <w:numId w:val="7"/>
        </w:numPr>
        <w:rPr>
          <w:rFonts w:cstheme="minorHAnsi"/>
        </w:rPr>
      </w:pPr>
      <w:r w:rsidRPr="0086234F">
        <w:rPr>
          <w:rFonts w:cstheme="minorHAnsi"/>
        </w:rPr>
        <w:t xml:space="preserve">Koljonen, J., Isotalo, V., Ahonen, P., &amp; Mattila, M. (2022). Comparing computational and non-computational methods in party position estimation: Finland, 2003–2019. Party Politics, 28(2), 306–317. </w:t>
      </w:r>
      <w:hyperlink r:id="rId29" w:history="1">
        <w:r w:rsidRPr="0086234F">
          <w:rPr>
            <w:rStyle w:val="Hyperlink"/>
            <w:rFonts w:cstheme="minorHAnsi"/>
          </w:rPr>
          <w:t>https://doi.org/10.1177/1354068820974609</w:t>
        </w:r>
      </w:hyperlink>
    </w:p>
    <w:p w14:paraId="53A4AB2F" w14:textId="135BD5D0" w:rsidR="00140452" w:rsidRPr="0086234F" w:rsidRDefault="00140452" w:rsidP="0086234F">
      <w:pPr>
        <w:pStyle w:val="ListParagraph"/>
        <w:numPr>
          <w:ilvl w:val="0"/>
          <w:numId w:val="7"/>
        </w:numPr>
        <w:rPr>
          <w:rFonts w:cstheme="minorHAnsi"/>
        </w:rPr>
      </w:pPr>
      <w:r w:rsidRPr="0086234F">
        <w:rPr>
          <w:rFonts w:cstheme="minorHAnsi"/>
        </w:rPr>
        <w:t>Bastiaan Bruinsma &amp; Kostas Gemenis (2019) Validating Wordscores: The Promises and Pitfalls of Computational Text Scaling, Communication Methods and Measures, 13:3, 212-227, DOI: 10.1080/19312458.2019.1594741</w:t>
      </w:r>
    </w:p>
    <w:p w14:paraId="45264249" w14:textId="1C1C4C9F" w:rsidR="00140452" w:rsidRPr="0086234F" w:rsidRDefault="00602641" w:rsidP="0086234F">
      <w:pPr>
        <w:pStyle w:val="ListParagraph"/>
        <w:numPr>
          <w:ilvl w:val="0"/>
          <w:numId w:val="7"/>
        </w:numPr>
        <w:rPr>
          <w:rFonts w:cstheme="minorHAnsi"/>
        </w:rPr>
      </w:pPr>
      <w:r w:rsidRPr="0086234F">
        <w:rPr>
          <w:rFonts w:cstheme="minorHAnsi"/>
        </w:rPr>
        <w:t>Lehmann, Pola / Burst, Tobias / Lewandowski, Jirka / Matthieß, Theres / Regel, Sven / Zehnter, Lisa (2022): Manifesto Corpus. Version: 2022-a. Berlin: WZB Berlin Social Science Center.</w:t>
      </w:r>
    </w:p>
    <w:p w14:paraId="57889E27" w14:textId="38FDDC19" w:rsidR="00AE6324" w:rsidRDefault="00D61F48" w:rsidP="00E45528">
      <w:pPr>
        <w:pStyle w:val="ListParagraph"/>
        <w:numPr>
          <w:ilvl w:val="0"/>
          <w:numId w:val="5"/>
        </w:numPr>
        <w:rPr>
          <w:rFonts w:cstheme="minorHAnsi"/>
        </w:rPr>
      </w:pPr>
      <w:r w:rsidRPr="00D61F48">
        <w:rPr>
          <w:rFonts w:cstheme="minorHAnsi"/>
        </w:rPr>
        <w:t xml:space="preserve">Emily Rainsford, UK Political Parties’ Youth Factions: A Glance at the Future of Political Parties, Parliamentary Affairs, Volume 71, Issue 4, October 2018, Pages 783–803, </w:t>
      </w:r>
      <w:hyperlink r:id="rId30" w:history="1">
        <w:r w:rsidRPr="001C3373">
          <w:rPr>
            <w:rStyle w:val="Hyperlink"/>
            <w:rFonts w:cstheme="minorHAnsi"/>
          </w:rPr>
          <w:t>https://doi.org/10.1093/pa/gsx040</w:t>
        </w:r>
      </w:hyperlink>
    </w:p>
    <w:p w14:paraId="15F9A879" w14:textId="5E797897" w:rsidR="00A81E8B" w:rsidRPr="00A81E8B" w:rsidRDefault="00A81E8B" w:rsidP="00A81E8B">
      <w:pPr>
        <w:pStyle w:val="ListParagraph"/>
        <w:numPr>
          <w:ilvl w:val="0"/>
          <w:numId w:val="5"/>
        </w:numPr>
        <w:rPr>
          <w:rFonts w:cstheme="minorHAnsi"/>
        </w:rPr>
      </w:pPr>
      <w:r w:rsidRPr="00A81E8B">
        <w:rPr>
          <w:rFonts w:cstheme="minorHAnsi"/>
        </w:rPr>
        <w:t>Bolin, N., Backlund, A., &amp; Jungar, A.-C. (2022). Attracting tomorrow's leaders: Who joins political youth organisations for material reasons? Party Politics, 135406882210835.</w:t>
      </w:r>
    </w:p>
    <w:p w14:paraId="240CD38D" w14:textId="3573F70F" w:rsidR="00D61F48" w:rsidRDefault="00A81E8B" w:rsidP="00A81E8B">
      <w:pPr>
        <w:pStyle w:val="ListParagraph"/>
        <w:numPr>
          <w:ilvl w:val="0"/>
          <w:numId w:val="5"/>
        </w:numPr>
        <w:rPr>
          <w:rFonts w:cstheme="minorHAnsi"/>
        </w:rPr>
      </w:pPr>
      <w:r w:rsidRPr="00A81E8B">
        <w:rPr>
          <w:rFonts w:cstheme="minorHAnsi"/>
        </w:rPr>
        <w:t>Cross, W., &amp; Young, L. (2008). Activism Among Young Party Members: The Case of the Canadian Liberal Party. Journal of Elections, Public Opinion and Parties, 18(3), 257–281.</w:t>
      </w:r>
    </w:p>
    <w:p w14:paraId="3CD9CD9F" w14:textId="72810E61" w:rsidR="00585E66" w:rsidRDefault="00585E66" w:rsidP="00A81E8B">
      <w:pPr>
        <w:pStyle w:val="ListParagraph"/>
        <w:numPr>
          <w:ilvl w:val="0"/>
          <w:numId w:val="5"/>
        </w:numPr>
        <w:rPr>
          <w:rFonts w:cstheme="minorHAnsi"/>
        </w:rPr>
      </w:pPr>
      <w:r w:rsidRPr="00585E66">
        <w:rPr>
          <w:rFonts w:cstheme="minorHAnsi"/>
        </w:rPr>
        <w:t xml:space="preserve">Hooghe, M., Stolle, D., &amp; Stouthuysen, P. (2004). Head Start in Politics: The Recruitment Function of Youth Organizations of Political Parties in                Belgium (Flanders). Party Politics, 10(2), 193–212. </w:t>
      </w:r>
      <w:hyperlink r:id="rId31" w:history="1">
        <w:r w:rsidRPr="001C3373">
          <w:rPr>
            <w:rStyle w:val="Hyperlink"/>
            <w:rFonts w:cstheme="minorHAnsi"/>
          </w:rPr>
          <w:t>https://doi.org/10.1177/1354068804040503</w:t>
        </w:r>
      </w:hyperlink>
    </w:p>
    <w:p w14:paraId="42E98559" w14:textId="67693985" w:rsidR="00585E66" w:rsidRDefault="00B52B5D" w:rsidP="00A81E8B">
      <w:pPr>
        <w:pStyle w:val="ListParagraph"/>
        <w:numPr>
          <w:ilvl w:val="0"/>
          <w:numId w:val="5"/>
        </w:numPr>
        <w:rPr>
          <w:rFonts w:cstheme="minorHAnsi"/>
        </w:rPr>
      </w:pPr>
      <w:r w:rsidRPr="00B52B5D">
        <w:rPr>
          <w:rFonts w:cstheme="minorHAnsi"/>
        </w:rPr>
        <w:t>Russell, A.F., &amp; Bennie, L. (2012). Radical or Compliant? Young Party Members in Britain.</w:t>
      </w:r>
    </w:p>
    <w:p w14:paraId="4AD09D39" w14:textId="77777777" w:rsidR="00B52B5D" w:rsidRPr="0086234F" w:rsidRDefault="00B52B5D" w:rsidP="00A81E8B">
      <w:pPr>
        <w:pStyle w:val="ListParagraph"/>
        <w:numPr>
          <w:ilvl w:val="0"/>
          <w:numId w:val="5"/>
        </w:numPr>
        <w:rPr>
          <w:rFonts w:cstheme="minorHAnsi"/>
        </w:rPr>
      </w:pPr>
    </w:p>
    <w:p w14:paraId="024E14CE" w14:textId="7AD04DB8" w:rsidR="000F3AD4" w:rsidRDefault="000F3AD4" w:rsidP="000F3AD4">
      <w:pPr>
        <w:pStyle w:val="Heading2"/>
      </w:pPr>
      <w:bookmarkStart w:id="31" w:name="_Toc129331535"/>
      <w:r>
        <w:t>Nicht-akademische Literatur</w:t>
      </w:r>
      <w:bookmarkEnd w:id="31"/>
    </w:p>
    <w:p w14:paraId="24429125" w14:textId="7A6108CF" w:rsidR="000F3AD4" w:rsidRDefault="000F3AD4" w:rsidP="0086234F">
      <w:pPr>
        <w:pStyle w:val="ListParagraph"/>
        <w:numPr>
          <w:ilvl w:val="0"/>
          <w:numId w:val="6"/>
        </w:numPr>
      </w:pPr>
      <w:r w:rsidRPr="000F3AD4">
        <w:t>Sie wollen ins StuPa: Diese Hochschulgruppen stehen noch bis 24. Januar zur Wahl</w:t>
      </w:r>
      <w:r>
        <w:t xml:space="preserve"> </w:t>
      </w:r>
      <w:r w:rsidR="0018411B">
        <w:t>(</w:t>
      </w:r>
      <w:hyperlink r:id="rId32" w:history="1">
        <w:r w:rsidR="0018411B" w:rsidRPr="00840601">
          <w:rPr>
            <w:rStyle w:val="Hyperlink"/>
          </w:rPr>
          <w:t>https://www.goettinger-tageblatt.de/beruf-und-bildung/regional/hochschulwahlen-an-der-</w:t>
        </w:r>
        <w:r w:rsidR="0018411B" w:rsidRPr="00840601">
          <w:rPr>
            <w:rStyle w:val="Hyperlink"/>
          </w:rPr>
          <w:lastRenderedPageBreak/>
          <w:t>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33" w:history="1">
        <w:r w:rsidRPr="00840601">
          <w:rPr>
            <w:rStyle w:val="Hyperlink"/>
          </w:rPr>
          <w:t>https://asta.uni-goettingen.de/asta/ueber-den-asta/</w:t>
        </w:r>
      </w:hyperlink>
      <w:r>
        <w:t xml:space="preserve">) </w:t>
      </w:r>
    </w:p>
    <w:p w14:paraId="1BF7928A" w14:textId="4536984A" w:rsidR="00064527" w:rsidRDefault="00064527" w:rsidP="0086234F">
      <w:pPr>
        <w:pStyle w:val="ListParagraph"/>
        <w:numPr>
          <w:ilvl w:val="0"/>
          <w:numId w:val="6"/>
        </w:numPr>
      </w:pPr>
      <w:r w:rsidRPr="00064527">
        <w:t xml:space="preserve">ARD. (27. September, 2021). Wahlverhalten bei der Bundestagswahl am 26. September 2021 nach Alter (Stimmenanteile der Parteien) [Graph]. In Statista. Zugriff am 04. März 2023, von </w:t>
      </w:r>
      <w:hyperlink r:id="rId34" w:history="1">
        <w:r w:rsidRPr="00473B20">
          <w:rPr>
            <w:rStyle w:val="Hyperlink"/>
          </w:rPr>
          <w:t>https://de.statista.com/statistik/daten/studie/1257097/umfrage/wahlverhalten-bei-der-bundestagswahl-nach-alter/</w:t>
        </w:r>
      </w:hyperlink>
    </w:p>
    <w:p w14:paraId="3DDCE3CD" w14:textId="3BF4DC15" w:rsidR="00064527" w:rsidRDefault="00C2585A" w:rsidP="0086234F">
      <w:pPr>
        <w:pStyle w:val="ListParagraph"/>
        <w:numPr>
          <w:ilvl w:val="0"/>
          <w:numId w:val="6"/>
        </w:numPr>
      </w:pPr>
      <w:r w:rsidRPr="00C2585A">
        <w:t>Semestertickets, StuPa und Co.: Das sind die Ergebnisse der Wahlen an der Uni Göttingen</w:t>
      </w:r>
      <w:r>
        <w:t xml:space="preserve">. Göttinger Tageblatt am </w:t>
      </w:r>
      <w:r w:rsidRPr="00C2585A">
        <w:t>24.01.2023</w:t>
      </w:r>
      <w:r>
        <w:t xml:space="preserve">. Zugriff </w:t>
      </w:r>
      <w:r w:rsidR="005B4DAE">
        <w:t xml:space="preserve">am </w:t>
      </w:r>
      <w:r>
        <w:t>09.03.2023. (</w:t>
      </w:r>
      <w:hyperlink r:id="rId35" w:history="1">
        <w:r w:rsidRPr="00723115">
          <w:rPr>
            <w:rStyle w:val="Hyperlink"/>
          </w:rPr>
          <w:t>https://www.goettinger-tageblatt.de/beruf-und-bildung/regional/uni-goettingen-wahlen-2023-ergebnisse-fuer-stupa-und-semestertickets-7IYN2TGUL5BZ3BM6LWBOTT5ZYQ.html</w:t>
        </w:r>
      </w:hyperlink>
      <w:r>
        <w:t>)</w:t>
      </w:r>
    </w:p>
    <w:p w14:paraId="7ADDFA7E" w14:textId="77777777" w:rsidR="00C2585A" w:rsidRPr="00CF68EA" w:rsidRDefault="00C2585A" w:rsidP="0086234F">
      <w:pPr>
        <w:pStyle w:val="ListParagraph"/>
        <w:numPr>
          <w:ilvl w:val="0"/>
          <w:numId w:val="6"/>
        </w:numPr>
      </w:pPr>
    </w:p>
    <w:sectPr w:rsidR="00C2585A" w:rsidRPr="00CF68EA" w:rsidSect="0060250D">
      <w:footerReference w:type="default" r:id="rId36"/>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92090" w14:textId="77777777" w:rsidR="006D2303" w:rsidRDefault="006D2303" w:rsidP="008D36AA">
      <w:r>
        <w:separator/>
      </w:r>
    </w:p>
  </w:endnote>
  <w:endnote w:type="continuationSeparator" w:id="0">
    <w:p w14:paraId="4326C3FA" w14:textId="77777777" w:rsidR="006D2303" w:rsidRDefault="006D2303"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0899" w14:textId="77777777" w:rsidR="006D2303" w:rsidRDefault="006D2303" w:rsidP="008D36AA">
      <w:r>
        <w:separator/>
      </w:r>
    </w:p>
  </w:footnote>
  <w:footnote w:type="continuationSeparator" w:id="0">
    <w:p w14:paraId="368505FF" w14:textId="77777777" w:rsidR="006D2303" w:rsidRDefault="006D2303"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4"/>
  </w:num>
  <w:num w:numId="2" w16cid:durableId="772016291">
    <w:abstractNumId w:val="0"/>
  </w:num>
  <w:num w:numId="3" w16cid:durableId="2045016084">
    <w:abstractNumId w:val="5"/>
  </w:num>
  <w:num w:numId="4" w16cid:durableId="2100641129">
    <w:abstractNumId w:val="2"/>
  </w:num>
  <w:num w:numId="5" w16cid:durableId="688605111">
    <w:abstractNumId w:val="6"/>
  </w:num>
  <w:num w:numId="6" w16cid:durableId="241112325">
    <w:abstractNumId w:val="1"/>
  </w:num>
  <w:num w:numId="7" w16cid:durableId="103503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10E5A"/>
    <w:rsid w:val="00021CBC"/>
    <w:rsid w:val="00034EC0"/>
    <w:rsid w:val="00041B9F"/>
    <w:rsid w:val="0004636B"/>
    <w:rsid w:val="000475F1"/>
    <w:rsid w:val="00060E7A"/>
    <w:rsid w:val="00064527"/>
    <w:rsid w:val="000B7DFD"/>
    <w:rsid w:val="000D47A7"/>
    <w:rsid w:val="000E0B2A"/>
    <w:rsid w:val="000F0E36"/>
    <w:rsid w:val="000F3AD4"/>
    <w:rsid w:val="001124A3"/>
    <w:rsid w:val="00140452"/>
    <w:rsid w:val="00166604"/>
    <w:rsid w:val="001834CD"/>
    <w:rsid w:val="0018411B"/>
    <w:rsid w:val="001A30D8"/>
    <w:rsid w:val="001E6497"/>
    <w:rsid w:val="00200C75"/>
    <w:rsid w:val="00231EDF"/>
    <w:rsid w:val="0023792B"/>
    <w:rsid w:val="00247D7E"/>
    <w:rsid w:val="00254B15"/>
    <w:rsid w:val="00256F47"/>
    <w:rsid w:val="0026062E"/>
    <w:rsid w:val="002744E5"/>
    <w:rsid w:val="002B1F87"/>
    <w:rsid w:val="00307731"/>
    <w:rsid w:val="00324000"/>
    <w:rsid w:val="0032660F"/>
    <w:rsid w:val="0033749D"/>
    <w:rsid w:val="003404E3"/>
    <w:rsid w:val="003405B5"/>
    <w:rsid w:val="0037075E"/>
    <w:rsid w:val="003E01BB"/>
    <w:rsid w:val="003E53C8"/>
    <w:rsid w:val="00402104"/>
    <w:rsid w:val="00437D10"/>
    <w:rsid w:val="004438FC"/>
    <w:rsid w:val="00466ABF"/>
    <w:rsid w:val="00467C7D"/>
    <w:rsid w:val="004703A1"/>
    <w:rsid w:val="0047095E"/>
    <w:rsid w:val="004831F6"/>
    <w:rsid w:val="0049247C"/>
    <w:rsid w:val="004931F0"/>
    <w:rsid w:val="004C05B1"/>
    <w:rsid w:val="004C0B39"/>
    <w:rsid w:val="004D6760"/>
    <w:rsid w:val="004D7A94"/>
    <w:rsid w:val="004F6128"/>
    <w:rsid w:val="005000E8"/>
    <w:rsid w:val="00514753"/>
    <w:rsid w:val="005423DF"/>
    <w:rsid w:val="00572A45"/>
    <w:rsid w:val="005801CE"/>
    <w:rsid w:val="00585E66"/>
    <w:rsid w:val="005B4DAE"/>
    <w:rsid w:val="005C0EDA"/>
    <w:rsid w:val="005C467E"/>
    <w:rsid w:val="005C606D"/>
    <w:rsid w:val="0060250D"/>
    <w:rsid w:val="00602641"/>
    <w:rsid w:val="00615E2C"/>
    <w:rsid w:val="0063304B"/>
    <w:rsid w:val="006333C4"/>
    <w:rsid w:val="00653629"/>
    <w:rsid w:val="00664FCC"/>
    <w:rsid w:val="00673254"/>
    <w:rsid w:val="0069447D"/>
    <w:rsid w:val="006C1C9A"/>
    <w:rsid w:val="006C464D"/>
    <w:rsid w:val="006D053D"/>
    <w:rsid w:val="006D2303"/>
    <w:rsid w:val="006D7543"/>
    <w:rsid w:val="007067AD"/>
    <w:rsid w:val="00751E23"/>
    <w:rsid w:val="00785E25"/>
    <w:rsid w:val="007A7F20"/>
    <w:rsid w:val="007B3523"/>
    <w:rsid w:val="007B6DC3"/>
    <w:rsid w:val="007D19CC"/>
    <w:rsid w:val="007D5B71"/>
    <w:rsid w:val="007D5C32"/>
    <w:rsid w:val="007F3250"/>
    <w:rsid w:val="00802B36"/>
    <w:rsid w:val="0084205A"/>
    <w:rsid w:val="00853F25"/>
    <w:rsid w:val="0086234F"/>
    <w:rsid w:val="0086243D"/>
    <w:rsid w:val="00865593"/>
    <w:rsid w:val="00870A00"/>
    <w:rsid w:val="008A2E05"/>
    <w:rsid w:val="008A73B9"/>
    <w:rsid w:val="008B4560"/>
    <w:rsid w:val="008D36AA"/>
    <w:rsid w:val="008E6474"/>
    <w:rsid w:val="0090089A"/>
    <w:rsid w:val="00924540"/>
    <w:rsid w:val="009267AF"/>
    <w:rsid w:val="0096322D"/>
    <w:rsid w:val="00972C49"/>
    <w:rsid w:val="00991EE1"/>
    <w:rsid w:val="0099689A"/>
    <w:rsid w:val="009C340A"/>
    <w:rsid w:val="009D0A21"/>
    <w:rsid w:val="009D3ADC"/>
    <w:rsid w:val="009E7817"/>
    <w:rsid w:val="009F2DEF"/>
    <w:rsid w:val="00A25D82"/>
    <w:rsid w:val="00A35916"/>
    <w:rsid w:val="00A64034"/>
    <w:rsid w:val="00A71D1D"/>
    <w:rsid w:val="00A81E8B"/>
    <w:rsid w:val="00A8234C"/>
    <w:rsid w:val="00AA497E"/>
    <w:rsid w:val="00AA5065"/>
    <w:rsid w:val="00AB4206"/>
    <w:rsid w:val="00AB5105"/>
    <w:rsid w:val="00AC1AB0"/>
    <w:rsid w:val="00AC49C8"/>
    <w:rsid w:val="00AC6EF3"/>
    <w:rsid w:val="00AE6324"/>
    <w:rsid w:val="00AF6C98"/>
    <w:rsid w:val="00B10D86"/>
    <w:rsid w:val="00B52B5D"/>
    <w:rsid w:val="00B64405"/>
    <w:rsid w:val="00B71452"/>
    <w:rsid w:val="00B761FB"/>
    <w:rsid w:val="00BA6C12"/>
    <w:rsid w:val="00BC5DC3"/>
    <w:rsid w:val="00BF4D98"/>
    <w:rsid w:val="00BF6537"/>
    <w:rsid w:val="00BF72AF"/>
    <w:rsid w:val="00C0082A"/>
    <w:rsid w:val="00C041E1"/>
    <w:rsid w:val="00C04E87"/>
    <w:rsid w:val="00C2134C"/>
    <w:rsid w:val="00C2585A"/>
    <w:rsid w:val="00C31A10"/>
    <w:rsid w:val="00C351A8"/>
    <w:rsid w:val="00C54761"/>
    <w:rsid w:val="00C574DE"/>
    <w:rsid w:val="00C625A9"/>
    <w:rsid w:val="00C73551"/>
    <w:rsid w:val="00C81490"/>
    <w:rsid w:val="00C94C84"/>
    <w:rsid w:val="00C97DF0"/>
    <w:rsid w:val="00CA2CC4"/>
    <w:rsid w:val="00CB7A0E"/>
    <w:rsid w:val="00CE588A"/>
    <w:rsid w:val="00CF68EA"/>
    <w:rsid w:val="00CF69C2"/>
    <w:rsid w:val="00CF6B49"/>
    <w:rsid w:val="00D309D8"/>
    <w:rsid w:val="00D61F48"/>
    <w:rsid w:val="00D8580D"/>
    <w:rsid w:val="00DB3A26"/>
    <w:rsid w:val="00E039A8"/>
    <w:rsid w:val="00E14454"/>
    <w:rsid w:val="00E32D20"/>
    <w:rsid w:val="00E3352C"/>
    <w:rsid w:val="00E343FD"/>
    <w:rsid w:val="00E45528"/>
    <w:rsid w:val="00EA3D4A"/>
    <w:rsid w:val="00ED66C9"/>
    <w:rsid w:val="00F165C2"/>
    <w:rsid w:val="00F22ADB"/>
    <w:rsid w:val="00F236E5"/>
    <w:rsid w:val="00F3034C"/>
    <w:rsid w:val="00F46CDF"/>
    <w:rsid w:val="00F47A68"/>
    <w:rsid w:val="00F80E5A"/>
    <w:rsid w:val="00FA78DC"/>
    <w:rsid w:val="00FB30A2"/>
    <w:rsid w:val="00FD690C"/>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numbering" Target="numbering.xml"/><Relationship Id="rId21" Type="http://schemas.microsoft.com/office/2018/08/relationships/commentsExtensible" Target="commentsExtensible.xml"/><Relationship Id="rId34" Type="http://schemas.openxmlformats.org/officeDocument/2006/relationships/hyperlink" Target="https://de.statista.com/statistik/daten/studie/1257097/umfrage/wahlverhalten-bei-der-bundestagswahl-nach-alter/"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asta.uni-goettingen.de/asta/ueber-den-asta/"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hyperlink" Target="https://doi.org/10.1177/135406882097460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www.goettinger-tageblatt.de/beruf-und-bildung/regional/hochschulwahlen-an-der-uni-goettingen-diese-hochschulgruppen-stehen-zur-wahl-FCXYLWL34QGQIBSOI2QZLKWD24.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rave.ohiolink.edu/etdc/view?acc_num=osu1405085531" TargetMode="External"/><Relationship Id="rId36" Type="http://schemas.openxmlformats.org/officeDocument/2006/relationships/footer" Target="foot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hyperlink" Target="https://doi.org/10.1177/13540688040405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doi.org/10.1177/1354068806061336" TargetMode="External"/><Relationship Id="rId30" Type="http://schemas.openxmlformats.org/officeDocument/2006/relationships/hyperlink" Target="https://doi.org/10.1093/pa/gsx040" TargetMode="External"/><Relationship Id="rId35" Type="http://schemas.openxmlformats.org/officeDocument/2006/relationships/hyperlink" Target="https://www.goettinger-tageblatt.de/beruf-und-bildung/regional/uni-goettingen-wahlen-2023-ergebnisse-fuer-stupa-und-semestertickets-7IYN2TGUL5BZ3BM6LWBOTT5ZYQ.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112</cp:revision>
  <dcterms:created xsi:type="dcterms:W3CDTF">2023-02-10T09:41:00Z</dcterms:created>
  <dcterms:modified xsi:type="dcterms:W3CDTF">2023-03-10T10:33:00Z</dcterms:modified>
</cp:coreProperties>
</file>