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TP1_BSE.c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 15/11/2022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#include&lt;TP1_BSE_Lib_Config_Globale.h&gt;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#include&lt;TP1_BSE_Lib_Divers.h&gt;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BP_PRESSED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BP_NOT_PRESSED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CLIGNOTEMENT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sbit BP = P3^7; //BP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bit ETAT_LED =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bit ACK_BP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Init_Device();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//Accès au port en mode GPIO sortie du port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P3MDOUT &amp;= ~(1&lt;&lt;7);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BP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if(BP == BP_PRESSED &amp;&amp; ACK_BP == BP_NOT_PRESSED) //Si le bouton est pressé sans être maintenu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ACK_BP = BP_PRESSED;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ETAT_LED = !ETAT_LED;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if(BP == BP_NOT_PRESSED){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ACK_BP = BP_NOT_PRESSED;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if(ETAT_LED == CLIGNOTEMENT){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LED = LED_ON;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Software_Delay(2); // Allumaghe 20ms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LED = LED_OFF;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Software_Delay(10); // Extinction 100ms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LED = LED_OFF;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