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TP1_BSE.c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AUTH: LAJUGIE Rodolphe, CORNATON Maxime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DATE: 15/11/2022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 Target: C8051F02x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Tool chain: KEIL Microvision5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 Déclarations Registres et Bits de l'espace SFR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"intrins.h"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#include&lt;c8051F020.h&gt;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#include&lt;c8051F020_SFR16.h&gt;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#include&lt;TP1_BSE_Lib_Config_Globale.h&gt;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#include&lt;TP1_BSE_Lib_Divers.h&gt;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LED_ON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LED_OFF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BP_PRESSED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BP_NOT_PRESSED 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CLIGNOTEMENT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sbit LED = P1^6;  // LED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sbit BP = P3^7; //BP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bit ETAT_LED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bit ACK_BP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MAIN Routine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//Le cod.e de l’interruption INT7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void ISR_INT7() interrupt 19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   </w:t>
        <w:tab/>
        <w:tab/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ETAT_LED = !ETAT_LED;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P3IF &amp;= ~(1&lt;&lt;7);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Config_INT7_Ext(void){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P3IF &amp;= ~(1&lt;&lt;7);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P3IF |= (0&lt;&lt;3); //p109/110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EIE2 |= (1&lt;&lt;5); //p123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EIP2 |= (1&lt;&lt;5);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main (void)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Init_Device();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//Accès au port en mode GPIO sortie du port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P3MDOUT &amp;= ~(1&lt;&lt;7);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BP = 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Config_INT7_Ext();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EA =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while(1)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if(ETAT_LED == CLIGNOTEMENT){   </w:t>
        <w:tab/>
        <w:tab/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LED = LED_ON;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Software_Delay(2); // Allumage 20ms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LED = LED_OFF;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ab/>
        <w:t xml:space="preserve"> Software_Delay(10); // Extinction 100ms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//*****************************************************************************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