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6E4" w:rsidRDefault="007F56E4"/>
    <w:p w:rsidR="007F56E4" w:rsidRDefault="001012EF" w:rsidP="001012EF">
      <w:pPr>
        <w:jc w:val="center"/>
      </w:pPr>
      <w:r>
        <w:rPr>
          <w:rFonts w:ascii="Arial" w:hAnsi="Arial" w:cs="Arial"/>
          <w:noProof/>
          <w:lang w:eastAsia="fr-FR"/>
        </w:rPr>
        <w:drawing>
          <wp:inline distT="0" distB="0" distL="0" distR="0" wp14:anchorId="09167CC2" wp14:editId="3EBCE6EF">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1012EF" w:rsidRPr="00642E8F" w:rsidRDefault="00642E8F" w:rsidP="001012EF">
      <w:pPr>
        <w:spacing w:after="0"/>
        <w:jc w:val="center"/>
        <w:rPr>
          <w:i/>
        </w:rPr>
      </w:pPr>
      <w:r>
        <w:rPr>
          <w:i/>
        </w:rPr>
        <w:t>[</w:t>
      </w:r>
      <w:r w:rsidR="001012EF" w:rsidRPr="00642E8F">
        <w:rPr>
          <w:i/>
        </w:rPr>
        <w:t>Nom du Ministère</w:t>
      </w:r>
      <w:r>
        <w:rPr>
          <w:i/>
        </w:rPr>
        <w:t>]</w:t>
      </w:r>
    </w:p>
    <w:p w:rsidR="001012EF" w:rsidRPr="00642E8F" w:rsidRDefault="00642E8F" w:rsidP="001012EF">
      <w:pPr>
        <w:jc w:val="center"/>
        <w:rPr>
          <w:i/>
        </w:rPr>
      </w:pPr>
      <w:r>
        <w:rPr>
          <w:i/>
        </w:rPr>
        <w:t>[</w:t>
      </w:r>
      <w:r w:rsidR="001012EF" w:rsidRPr="00642E8F">
        <w:rPr>
          <w:i/>
        </w:rPr>
        <w:t>Nom de la direction</w:t>
      </w:r>
      <w:r>
        <w:rPr>
          <w:i/>
        </w:rPr>
        <w:t>]</w:t>
      </w:r>
    </w:p>
    <w:p w:rsidR="001012EF" w:rsidRDefault="001012EF" w:rsidP="001012EF">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B8CCE4" w:themeFill="accent1" w:themeFillTint="66"/>
        <w:spacing w:after="0"/>
        <w:jc w:val="center"/>
        <w:rPr>
          <w:b/>
          <w:color w:val="000000" w:themeColor="text1"/>
          <w:sz w:val="36"/>
          <w:szCs w:val="36"/>
        </w:rPr>
      </w:pPr>
      <w:r w:rsidRPr="001012EF">
        <w:rPr>
          <w:b/>
          <w:color w:val="000000" w:themeColor="text1"/>
          <w:sz w:val="36"/>
          <w:szCs w:val="36"/>
        </w:rPr>
        <w:t>Rapport de présentation</w:t>
      </w:r>
    </w:p>
    <w:p w:rsidR="001012EF" w:rsidRPr="001012EF" w:rsidRDefault="001012EF" w:rsidP="001012EF">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B8CCE4" w:themeFill="accent1" w:themeFillTint="66"/>
        <w:spacing w:after="0"/>
        <w:jc w:val="center"/>
        <w:rPr>
          <w:b/>
          <w:color w:val="000000" w:themeColor="text1"/>
          <w:sz w:val="36"/>
          <w:szCs w:val="36"/>
        </w:rPr>
      </w:pPr>
      <w:r>
        <w:rPr>
          <w:b/>
          <w:color w:val="000000" w:themeColor="text1"/>
          <w:sz w:val="36"/>
          <w:szCs w:val="36"/>
        </w:rPr>
        <w:t>Marché public passé sans publicité ni mise en concurrence</w:t>
      </w:r>
    </w:p>
    <w:p w:rsidR="001012EF" w:rsidRPr="001012EF" w:rsidRDefault="001012EF" w:rsidP="001012EF">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B8CCE4" w:themeFill="accent1" w:themeFillTint="66"/>
        <w:spacing w:after="0"/>
        <w:jc w:val="center"/>
        <w:rPr>
          <w:b/>
          <w:color w:val="000000" w:themeColor="text1"/>
          <w:sz w:val="36"/>
          <w:szCs w:val="36"/>
        </w:rPr>
      </w:pPr>
      <w:r w:rsidRPr="001012EF">
        <w:rPr>
          <w:b/>
          <w:color w:val="000000" w:themeColor="text1"/>
          <w:sz w:val="36"/>
          <w:szCs w:val="36"/>
        </w:rPr>
        <w:t>Nom du projet</w:t>
      </w:r>
    </w:p>
    <w:p w:rsidR="001012EF" w:rsidRDefault="001012EF" w:rsidP="001012EF"/>
    <w:p w:rsidR="001012EF" w:rsidRDefault="001012EF" w:rsidP="001012EF">
      <w:pPr>
        <w:pStyle w:val="Style1"/>
      </w:pPr>
      <w:r w:rsidRPr="001012EF">
        <w:t>A – Identification du pouvoir adjudicateur</w:t>
      </w:r>
    </w:p>
    <w:p w:rsidR="001012EF" w:rsidRDefault="001012EF" w:rsidP="001012EF">
      <w:pPr>
        <w:pStyle w:val="Paragraphedeliste"/>
        <w:numPr>
          <w:ilvl w:val="0"/>
          <w:numId w:val="2"/>
        </w:numPr>
      </w:pPr>
      <w:r>
        <w:t>Désignation du pouvoir adjudicateur :</w:t>
      </w:r>
    </w:p>
    <w:p w:rsidR="001012EF" w:rsidRDefault="001012EF" w:rsidP="00DA3F7C"/>
    <w:p w:rsidR="001012EF" w:rsidRDefault="001012EF" w:rsidP="001012EF">
      <w:pPr>
        <w:pStyle w:val="Paragraphedeliste"/>
        <w:numPr>
          <w:ilvl w:val="0"/>
          <w:numId w:val="2"/>
        </w:numPr>
      </w:pPr>
      <w:r>
        <w:t>Nom, qualité du signataire du marché</w:t>
      </w:r>
    </w:p>
    <w:p w:rsidR="001012EF" w:rsidRDefault="001012EF" w:rsidP="001012EF">
      <w:pPr>
        <w:pStyle w:val="Paragraphedeliste"/>
      </w:pPr>
    </w:p>
    <w:p w:rsidR="001012EF" w:rsidRDefault="001012EF" w:rsidP="001012EF">
      <w:pPr>
        <w:pStyle w:val="Paragraphedeliste"/>
      </w:pPr>
    </w:p>
    <w:p w:rsidR="009B05A2" w:rsidRDefault="009B05A2" w:rsidP="00E21DAA">
      <w:pPr>
        <w:pStyle w:val="Style1"/>
      </w:pPr>
      <w:r>
        <w:t>B- Objet du marché</w:t>
      </w:r>
    </w:p>
    <w:p w:rsidR="009B05A2" w:rsidRDefault="009B05A2" w:rsidP="009B05A2">
      <w:r>
        <w:t>(</w:t>
      </w:r>
      <w:proofErr w:type="gramStart"/>
      <w:r w:rsidRPr="00DA3F7C">
        <w:rPr>
          <w:i/>
        </w:rPr>
        <w:t>préciser</w:t>
      </w:r>
      <w:proofErr w:type="gramEnd"/>
      <w:r w:rsidRPr="00DA3F7C">
        <w:rPr>
          <w:i/>
        </w:rPr>
        <w:t xml:space="preserve"> la nature des prestations couvertes par ce marché, </w:t>
      </w:r>
      <w:r w:rsidR="00DA3F7C" w:rsidRPr="00DA3F7C">
        <w:rPr>
          <w:i/>
        </w:rPr>
        <w:t>s’agit-il de prestations de services, de fournitures ou de travaux</w:t>
      </w:r>
      <w:r w:rsidR="00DA3F7C">
        <w:t>)</w:t>
      </w:r>
    </w:p>
    <w:p w:rsidR="00E21DAA" w:rsidRDefault="00DA3F7C" w:rsidP="00E21DAA">
      <w:pPr>
        <w:pStyle w:val="Style1"/>
        <w:rPr>
          <w:b w:val="0"/>
          <w:bCs/>
          <w:u w:val="none"/>
        </w:rPr>
      </w:pPr>
      <w:r>
        <w:t>C</w:t>
      </w:r>
      <w:r w:rsidR="00E21DAA">
        <w:t>- Motif du recours à l’expérimentation en matière d’achats innovants</w:t>
      </w:r>
      <w:r w:rsidR="00E21DAA" w:rsidRPr="00E21DAA">
        <w:rPr>
          <w:b w:val="0"/>
        </w:rPr>
        <w:t xml:space="preserve"> </w:t>
      </w:r>
      <w:r w:rsidR="00E21DAA">
        <w:rPr>
          <w:b w:val="0"/>
        </w:rPr>
        <w:br/>
      </w:r>
      <w:r w:rsidR="00E21DAA" w:rsidRPr="00E21DAA">
        <w:rPr>
          <w:b w:val="0"/>
          <w:u w:val="none"/>
        </w:rPr>
        <w:t xml:space="preserve">(art1, décret </w:t>
      </w:r>
      <w:r w:rsidR="00E21DAA" w:rsidRPr="00E21DAA">
        <w:rPr>
          <w:b w:val="0"/>
          <w:bCs/>
          <w:u w:val="none"/>
        </w:rPr>
        <w:t>n° 2018-1225 du 24 décembre 2018)</w:t>
      </w:r>
    </w:p>
    <w:p w:rsidR="00E21DAA" w:rsidRDefault="009B05A2" w:rsidP="00E21DAA">
      <w:pPr>
        <w:pStyle w:val="Style1"/>
        <w:rPr>
          <w:b w:val="0"/>
          <w:u w:val="none"/>
        </w:rPr>
      </w:pPr>
      <w:r>
        <w:rPr>
          <w:b w:val="0"/>
          <w:u w:val="none"/>
        </w:rPr>
        <w:t>(</w:t>
      </w:r>
      <w:proofErr w:type="gramStart"/>
      <w:r w:rsidRPr="00DA3F7C">
        <w:rPr>
          <w:b w:val="0"/>
          <w:i/>
          <w:u w:val="none"/>
        </w:rPr>
        <w:t>justifier</w:t>
      </w:r>
      <w:proofErr w:type="gramEnd"/>
      <w:r w:rsidRPr="00DA3F7C">
        <w:rPr>
          <w:b w:val="0"/>
          <w:i/>
          <w:u w:val="none"/>
        </w:rPr>
        <w:t xml:space="preserve"> le recours à l’expérimentation en matière d’achats innovants : en quoi la solution choisie est innovante : </w:t>
      </w:r>
      <w:r w:rsidR="00DA3F7C" w:rsidRPr="00DA3F7C">
        <w:rPr>
          <w:b w:val="0"/>
          <w:i/>
          <w:u w:val="none"/>
        </w:rPr>
        <w:t>mise en œuvre de nouveaux procédés de production ou de construction  d’une nouvelle méthode de commercialisation ou d’une nouvelle méthode organisationnelle, dans les pratiques, l’organisation du lieu de travail ou les relations extérieures de l’entreprise ?)</w:t>
      </w:r>
    </w:p>
    <w:p w:rsidR="00DA3F7C" w:rsidRDefault="00DA3F7C" w:rsidP="00DA3F7C">
      <w:pPr>
        <w:pStyle w:val="Style1"/>
      </w:pPr>
      <w:r>
        <w:t>D-Contexte de la consultation</w:t>
      </w:r>
    </w:p>
    <w:p w:rsidR="00DA3F7C" w:rsidRDefault="00DA3F7C" w:rsidP="00DA3F7C">
      <w:pPr>
        <w:spacing w:after="0"/>
      </w:pPr>
      <w:r>
        <w:t>(</w:t>
      </w:r>
      <w:proofErr w:type="gramStart"/>
      <w:r w:rsidRPr="00DA3F7C">
        <w:rPr>
          <w:i/>
        </w:rPr>
        <w:t>cocher</w:t>
      </w:r>
      <w:proofErr w:type="gramEnd"/>
      <w:r w:rsidRPr="00DA3F7C">
        <w:rPr>
          <w:i/>
        </w:rPr>
        <w:t xml:space="preserve"> la case correspondante</w:t>
      </w:r>
      <w:r>
        <w:t>)</w:t>
      </w:r>
    </w:p>
    <w:p w:rsidR="00DA3F7C" w:rsidRDefault="00D8670C" w:rsidP="00DA3F7C">
      <w:pPr>
        <w:spacing w:after="0"/>
      </w:pPr>
      <w:sdt>
        <w:sdtPr>
          <w:id w:val="-1181048331"/>
          <w14:checkbox>
            <w14:checked w14:val="0"/>
            <w14:checkedState w14:val="2612" w14:font="MS Gothic"/>
            <w14:uncheckedState w14:val="2610" w14:font="MS Gothic"/>
          </w14:checkbox>
        </w:sdtPr>
        <w:sdtEndPr/>
        <w:sdtContent>
          <w:r w:rsidR="00DA3F7C">
            <w:rPr>
              <w:rFonts w:ascii="MS Gothic" w:eastAsia="MS Gothic" w:hint="eastAsia"/>
            </w:rPr>
            <w:t>☐</w:t>
          </w:r>
        </w:sdtContent>
      </w:sdt>
      <w:r w:rsidR="00DA3F7C">
        <w:t xml:space="preserve"> </w:t>
      </w:r>
      <w:r w:rsidR="00DA3F7C" w:rsidRPr="00DA3F7C">
        <w:t xml:space="preserve">Les besoins à satisfaire sont tous compris dans </w:t>
      </w:r>
      <w:r w:rsidR="00DA3F7C">
        <w:t>le présent marché</w:t>
      </w:r>
      <w:r w:rsidR="00DA3F7C" w:rsidRPr="00DA3F7C">
        <w:t>, qui ne s’inscrit pas dans un projet ou une opération.</w:t>
      </w:r>
    </w:p>
    <w:p w:rsidR="00DA3F7C" w:rsidRDefault="00DA3F7C" w:rsidP="00DA3F7C">
      <w:pPr>
        <w:spacing w:after="0"/>
      </w:pPr>
    </w:p>
    <w:p w:rsidR="00DA3F7C" w:rsidRDefault="00D8670C" w:rsidP="00DA3F7C">
      <w:pPr>
        <w:spacing w:after="0"/>
      </w:pPr>
      <w:sdt>
        <w:sdtPr>
          <w:id w:val="-1789962574"/>
          <w14:checkbox>
            <w14:checked w14:val="0"/>
            <w14:checkedState w14:val="2612" w14:font="MS Gothic"/>
            <w14:uncheckedState w14:val="2610" w14:font="MS Gothic"/>
          </w14:checkbox>
        </w:sdtPr>
        <w:sdtEndPr/>
        <w:sdtContent>
          <w:r w:rsidR="00DA3F7C">
            <w:rPr>
              <w:rFonts w:ascii="MS Gothic" w:eastAsia="MS Gothic" w:hAnsi="MS Gothic" w:hint="eastAsia"/>
            </w:rPr>
            <w:t>☐</w:t>
          </w:r>
        </w:sdtContent>
      </w:sdt>
      <w:r w:rsidR="00DA3F7C">
        <w:t xml:space="preserve"> La consultation s’inscrit dans le cadre d’un projet ou d’une opération. Les besoins à satisfaire ont fait ou feront l’objet des opérations suivantes : </w:t>
      </w:r>
    </w:p>
    <w:p w:rsidR="00DA3F7C" w:rsidRDefault="00DA3F7C" w:rsidP="00DA3F7C">
      <w:pPr>
        <w:spacing w:after="0"/>
        <w:rPr>
          <w:i/>
        </w:rPr>
      </w:pPr>
      <w:r>
        <w:t xml:space="preserve"> (</w:t>
      </w:r>
      <w:r w:rsidRPr="00DA3F7C">
        <w:rPr>
          <w:i/>
        </w:rPr>
        <w:t xml:space="preserve">Lister les </w:t>
      </w:r>
      <w:r>
        <w:rPr>
          <w:i/>
        </w:rPr>
        <w:t>o</w:t>
      </w:r>
      <w:r w:rsidRPr="00DA3F7C">
        <w:rPr>
          <w:i/>
        </w:rPr>
        <w:t>pérations en lien avec ce projet déjà réalisées ou à venir, en ind</w:t>
      </w:r>
      <w:r>
        <w:rPr>
          <w:i/>
        </w:rPr>
        <w:t>iquant leur montant (HT et TTC, et le calendrier prévisionnel de ces opérations)</w:t>
      </w:r>
    </w:p>
    <w:p w:rsidR="00DA3F7C" w:rsidRDefault="00DA3F7C" w:rsidP="00DA3F7C">
      <w:pPr>
        <w:pStyle w:val="Style1"/>
      </w:pPr>
      <w:r>
        <w:lastRenderedPageBreak/>
        <w:t>E- Economie générale du marché</w:t>
      </w:r>
    </w:p>
    <w:p w:rsidR="00DA3F7C" w:rsidRDefault="00DA3F7C" w:rsidP="00DA3F7C">
      <w:pPr>
        <w:pStyle w:val="Paragraphedeliste"/>
        <w:numPr>
          <w:ilvl w:val="0"/>
          <w:numId w:val="4"/>
        </w:numPr>
      </w:pPr>
      <w:r>
        <w:t xml:space="preserve">Code CPV principal : </w:t>
      </w:r>
    </w:p>
    <w:p w:rsidR="00DA3F7C" w:rsidRPr="00D30C6A" w:rsidRDefault="00DA3F7C" w:rsidP="00C14C85">
      <w:pPr>
        <w:spacing w:after="0"/>
        <w:rPr>
          <w:i/>
        </w:rPr>
      </w:pPr>
      <w:r w:rsidRPr="00D30C6A">
        <w:rPr>
          <w:i/>
        </w:rPr>
        <w:t>(</w:t>
      </w:r>
      <w:bookmarkStart w:id="0" w:name="_GoBack"/>
      <w:bookmarkEnd w:id="0"/>
      <w:proofErr w:type="gramStart"/>
      <w:r w:rsidRPr="00D30C6A">
        <w:rPr>
          <w:i/>
        </w:rPr>
        <w:t>les</w:t>
      </w:r>
      <w:proofErr w:type="gramEnd"/>
      <w:r w:rsidRPr="00D30C6A">
        <w:rPr>
          <w:i/>
        </w:rPr>
        <w:t xml:space="preserve"> consultations citoyennes peuvent se positionner sur les codes CPV suivants : </w:t>
      </w:r>
    </w:p>
    <w:p w:rsidR="00C14C85" w:rsidRPr="00D30C6A" w:rsidRDefault="00C14C85" w:rsidP="00DA3F7C">
      <w:pPr>
        <w:rPr>
          <w:i/>
        </w:rPr>
      </w:pPr>
      <w:r w:rsidRPr="00D30C6A">
        <w:rPr>
          <w:i/>
        </w:rPr>
        <w:t>72265000-0 : services de configuration de logiciels</w:t>
      </w:r>
      <w:r w:rsidRPr="00D30C6A">
        <w:rPr>
          <w:i/>
        </w:rPr>
        <w:br/>
        <w:t>72266000-7 : services de conseil en logiciels</w:t>
      </w:r>
      <w:r w:rsidRPr="00D30C6A">
        <w:rPr>
          <w:i/>
        </w:rPr>
        <w:br/>
        <w:t>72267000-4 : services de maintenance et de réparation de logiciels</w:t>
      </w:r>
      <w:r w:rsidRPr="00D30C6A">
        <w:rPr>
          <w:i/>
        </w:rPr>
        <w:br/>
        <w:t>72415000-2 : services d’hébergement pour l’exploitation de sites web</w:t>
      </w:r>
      <w:r w:rsidRPr="00D30C6A">
        <w:rPr>
          <w:i/>
        </w:rPr>
        <w:br/>
        <w:t>72416000-9 : fournitures de services applicatifs</w:t>
      </w:r>
      <w:r w:rsidRPr="00D30C6A">
        <w:rPr>
          <w:i/>
        </w:rPr>
        <w:br/>
        <w:t>75130000-6 : services d’appui aux pouvoirs publics</w:t>
      </w:r>
      <w:r w:rsidRPr="00D30C6A">
        <w:rPr>
          <w:i/>
        </w:rPr>
        <w:br/>
        <w:t>79320000-3 : services de sondages d’opinion</w:t>
      </w:r>
      <w:r w:rsidRPr="00D30C6A">
        <w:rPr>
          <w:i/>
        </w:rPr>
        <w:br/>
        <w:t>79311100-8 : services de con</w:t>
      </w:r>
      <w:r w:rsidR="00D30C6A" w:rsidRPr="00D30C6A">
        <w:rPr>
          <w:i/>
        </w:rPr>
        <w:t>c</w:t>
      </w:r>
      <w:r w:rsidRPr="00D30C6A">
        <w:rPr>
          <w:i/>
        </w:rPr>
        <w:t>eption d’études</w:t>
      </w:r>
      <w:r w:rsidRPr="00D30C6A">
        <w:rPr>
          <w:i/>
        </w:rPr>
        <w:br/>
      </w:r>
      <w:r w:rsidR="00D30C6A" w:rsidRPr="00D30C6A">
        <w:rPr>
          <w:i/>
        </w:rPr>
        <w:t>79311300-0 : services d’analyse d’enquêtes)</w:t>
      </w:r>
    </w:p>
    <w:p w:rsidR="00D30C6A" w:rsidRDefault="00D30C6A" w:rsidP="00D30C6A">
      <w:pPr>
        <w:pStyle w:val="Paragraphedeliste"/>
        <w:numPr>
          <w:ilvl w:val="0"/>
          <w:numId w:val="4"/>
        </w:numPr>
      </w:pPr>
      <w:r>
        <w:t xml:space="preserve">Durée d’exécution du marché : </w:t>
      </w:r>
    </w:p>
    <w:p w:rsidR="00D30C6A" w:rsidRDefault="00D30C6A" w:rsidP="00D30C6A">
      <w:pPr>
        <w:pStyle w:val="Paragraphedeliste"/>
        <w:numPr>
          <w:ilvl w:val="0"/>
          <w:numId w:val="4"/>
        </w:numPr>
      </w:pPr>
      <w:r>
        <w:t xml:space="preserve">Forme des prix : </w:t>
      </w:r>
    </w:p>
    <w:p w:rsidR="00D30C6A" w:rsidRDefault="00D8670C" w:rsidP="00D30C6A">
      <w:pPr>
        <w:pStyle w:val="Paragraphedeliste"/>
        <w:rPr>
          <w:i/>
        </w:rPr>
      </w:pPr>
      <w:sdt>
        <w:sdtPr>
          <w:id w:val="333423053"/>
          <w14:checkbox>
            <w14:checked w14:val="0"/>
            <w14:checkedState w14:val="2612" w14:font="MS Gothic"/>
            <w14:uncheckedState w14:val="2610" w14:font="MS Gothic"/>
          </w14:checkbox>
        </w:sdtPr>
        <w:sdtEndPr/>
        <w:sdtContent>
          <w:r w:rsidR="00565280">
            <w:rPr>
              <w:rFonts w:ascii="MS Gothic" w:eastAsia="MS Gothic" w:hAnsi="MS Gothic" w:hint="eastAsia"/>
            </w:rPr>
            <w:t>☐</w:t>
          </w:r>
        </w:sdtContent>
      </w:sdt>
      <w:proofErr w:type="gramStart"/>
      <w:r w:rsidR="00565280">
        <w:t>global</w:t>
      </w:r>
      <w:proofErr w:type="gramEnd"/>
      <w:r w:rsidR="00565280">
        <w:t xml:space="preserve"> et </w:t>
      </w:r>
      <w:r w:rsidR="00D30C6A">
        <w:t xml:space="preserve">forfaitaire </w:t>
      </w:r>
      <w:r w:rsidR="00D30C6A" w:rsidRPr="00D30C6A">
        <w:rPr>
          <w:i/>
        </w:rPr>
        <w:t>(appliqué à tout le marché)</w:t>
      </w:r>
    </w:p>
    <w:p w:rsidR="00D30C6A" w:rsidRDefault="00D8670C" w:rsidP="00565280">
      <w:pPr>
        <w:pStyle w:val="Paragraphedeliste"/>
        <w:rPr>
          <w:i/>
        </w:rPr>
      </w:pPr>
      <w:sdt>
        <w:sdtPr>
          <w:id w:val="-1243475603"/>
          <w14:checkbox>
            <w14:checked w14:val="0"/>
            <w14:checkedState w14:val="2612" w14:font="MS Gothic"/>
            <w14:uncheckedState w14:val="2610" w14:font="MS Gothic"/>
          </w14:checkbox>
        </w:sdtPr>
        <w:sdtEndPr/>
        <w:sdtContent>
          <w:r w:rsidR="00D30C6A">
            <w:rPr>
              <w:rFonts w:ascii="MS Gothic" w:eastAsia="MS Gothic" w:hAnsi="MS Gothic" w:hint="eastAsia"/>
            </w:rPr>
            <w:t>☐</w:t>
          </w:r>
        </w:sdtContent>
      </w:sdt>
      <w:proofErr w:type="gramStart"/>
      <w:r w:rsidR="00D30C6A">
        <w:t>unitaires</w:t>
      </w:r>
      <w:proofErr w:type="gramEnd"/>
      <w:r w:rsidR="00D30C6A">
        <w:t xml:space="preserve"> </w:t>
      </w:r>
    </w:p>
    <w:p w:rsidR="00D30C6A" w:rsidRPr="00565280" w:rsidRDefault="00D30C6A" w:rsidP="00D30C6A">
      <w:pPr>
        <w:pStyle w:val="Paragraphedeliste"/>
      </w:pPr>
    </w:p>
    <w:p w:rsidR="00565280" w:rsidRDefault="00D8670C" w:rsidP="00565280">
      <w:pPr>
        <w:pStyle w:val="Paragraphedeliste"/>
      </w:pPr>
      <w:sdt>
        <w:sdtPr>
          <w:id w:val="-1899270686"/>
          <w14:checkbox>
            <w14:checked w14:val="0"/>
            <w14:checkedState w14:val="2612" w14:font="MS Gothic"/>
            <w14:uncheckedState w14:val="2610" w14:font="MS Gothic"/>
          </w14:checkbox>
        </w:sdtPr>
        <w:sdtEndPr/>
        <w:sdtContent>
          <w:r w:rsidR="00565280">
            <w:rPr>
              <w:rFonts w:ascii="MS Gothic" w:eastAsia="MS Gothic" w:hAnsi="MS Gothic" w:hint="eastAsia"/>
            </w:rPr>
            <w:t>☐</w:t>
          </w:r>
        </w:sdtContent>
      </w:sdt>
      <w:proofErr w:type="gramStart"/>
      <w:r w:rsidR="00565280">
        <w:t>fermes</w:t>
      </w:r>
      <w:proofErr w:type="gramEnd"/>
      <w:r w:rsidR="00565280">
        <w:t xml:space="preserve"> actualisables sur toute la durée du marché</w:t>
      </w:r>
    </w:p>
    <w:p w:rsidR="00565280" w:rsidRDefault="00565280" w:rsidP="00565280">
      <w:pPr>
        <w:pStyle w:val="Paragraphedeliste"/>
      </w:pPr>
      <w:r>
        <w:t>(</w:t>
      </w:r>
      <w:r w:rsidRPr="00565280">
        <w:rPr>
          <w:i/>
        </w:rPr>
        <w:t>Pour les produits et services courants, l'actualisation est facultative ; elle correspond au cas où la livraison ou l'exécution de la prestation est, ou risque d'être, notablement éloignée du moment où le titulaire est censé avoir établi sa proposition de prix ferme ; elle ne saurait être prévue que si le calcul du prix actualisé est possible.)</w:t>
      </w:r>
    </w:p>
    <w:p w:rsidR="00565280" w:rsidRDefault="00D8670C" w:rsidP="00565280">
      <w:pPr>
        <w:pStyle w:val="Paragraphedeliste"/>
        <w:rPr>
          <w:i/>
        </w:rPr>
      </w:pPr>
      <w:sdt>
        <w:sdtPr>
          <w:id w:val="1679155550"/>
          <w14:checkbox>
            <w14:checked w14:val="0"/>
            <w14:checkedState w14:val="2612" w14:font="MS Gothic"/>
            <w14:uncheckedState w14:val="2610" w14:font="MS Gothic"/>
          </w14:checkbox>
        </w:sdtPr>
        <w:sdtEndPr/>
        <w:sdtContent>
          <w:r w:rsidR="00565280">
            <w:rPr>
              <w:rFonts w:ascii="MS Gothic" w:eastAsia="MS Gothic" w:hAnsi="MS Gothic" w:hint="eastAsia"/>
            </w:rPr>
            <w:t>☐</w:t>
          </w:r>
        </w:sdtContent>
      </w:sdt>
      <w:proofErr w:type="gramStart"/>
      <w:r w:rsidR="00565280">
        <w:t>révisables</w:t>
      </w:r>
      <w:proofErr w:type="gramEnd"/>
      <w:r w:rsidR="00565280">
        <w:t xml:space="preserve"> </w:t>
      </w:r>
      <w:r w:rsidR="00565280" w:rsidRPr="00565280">
        <w:rPr>
          <w:i/>
        </w:rPr>
        <w:t>(les conditions de révision doivent être détaillées dans le contrat)</w:t>
      </w:r>
    </w:p>
    <w:p w:rsidR="00565280" w:rsidRDefault="00565280" w:rsidP="00565280">
      <w:pPr>
        <w:pStyle w:val="Paragraphedeliste"/>
        <w:rPr>
          <w:i/>
        </w:rPr>
      </w:pPr>
    </w:p>
    <w:p w:rsidR="00565280" w:rsidRPr="00565280" w:rsidRDefault="00565280" w:rsidP="00565280"/>
    <w:p w:rsidR="00D30C6A" w:rsidRDefault="00D30C6A" w:rsidP="00D30C6A">
      <w:pPr>
        <w:pStyle w:val="Style1"/>
      </w:pPr>
      <w:r>
        <w:t>F- Déroulement de la procédure</w:t>
      </w:r>
    </w:p>
    <w:p w:rsidR="00D30C6A" w:rsidRDefault="00D30C6A" w:rsidP="00D30C6A">
      <w:pPr>
        <w:rPr>
          <w:i/>
        </w:rPr>
      </w:pPr>
      <w:r w:rsidRPr="00254929">
        <w:rPr>
          <w:i/>
        </w:rPr>
        <w:t xml:space="preserve">(Détailler les étapes qui ont permis de choisir le prestataire : sourcing réalisé par le ministère ou par un autre acteur, demande de 3 devis, rencontres, négociations : </w:t>
      </w:r>
      <w:r w:rsidR="00254929" w:rsidRPr="00254929">
        <w:rPr>
          <w:i/>
        </w:rPr>
        <w:t>préciser</w:t>
      </w:r>
      <w:r w:rsidRPr="00254929">
        <w:rPr>
          <w:i/>
        </w:rPr>
        <w:t xml:space="preserve"> les dates</w:t>
      </w:r>
      <w:r w:rsidR="00254929" w:rsidRPr="00254929">
        <w:rPr>
          <w:i/>
        </w:rPr>
        <w:t>, le nombre d’entreprises rencontrées, le nombre de devis reçus…)</w:t>
      </w:r>
    </w:p>
    <w:p w:rsidR="00254929" w:rsidRDefault="00254929" w:rsidP="00254929">
      <w:pPr>
        <w:pStyle w:val="Style1"/>
      </w:pPr>
      <w:r>
        <w:t xml:space="preserve">G- </w:t>
      </w:r>
      <w:r w:rsidR="00565280">
        <w:t>Critères de choix</w:t>
      </w:r>
    </w:p>
    <w:p w:rsidR="00254929" w:rsidRDefault="00254929" w:rsidP="00254929">
      <w:r>
        <w:t>(Détailler les critères de sélection des prestataires et leur pondération : par exemple : valeur technique : caractère innovant, adaptation de l’organisation au besoin, compréhension des enjeux spécifiques de l’</w:t>
      </w:r>
      <w:r w:rsidR="00DD2577">
        <w:t>administration</w:t>
      </w:r>
      <w:r>
        <w:t xml:space="preserve">…, prix : détail de la simulation financière réalisée) </w:t>
      </w:r>
    </w:p>
    <w:p w:rsidR="00DD2577" w:rsidRDefault="00DD2577">
      <w:pPr>
        <w:rPr>
          <w:b/>
          <w:u w:val="single"/>
        </w:rPr>
      </w:pPr>
      <w:r>
        <w:br w:type="page"/>
      </w:r>
    </w:p>
    <w:p w:rsidR="00254929" w:rsidRDefault="00254929" w:rsidP="00254929">
      <w:pPr>
        <w:pStyle w:val="Style1"/>
      </w:pPr>
      <w:r>
        <w:lastRenderedPageBreak/>
        <w:t>H – Offre retenue</w:t>
      </w:r>
    </w:p>
    <w:p w:rsidR="00254929" w:rsidRDefault="00565280" w:rsidP="00254929">
      <w:pPr>
        <w:pStyle w:val="Paragraphedeliste"/>
        <w:numPr>
          <w:ilvl w:val="0"/>
          <w:numId w:val="5"/>
        </w:numPr>
      </w:pPr>
      <w:r>
        <w:t>Identité du titulaire </w:t>
      </w:r>
    </w:p>
    <w:p w:rsidR="00DD2577" w:rsidRDefault="00D8670C" w:rsidP="00DD2577">
      <w:pPr>
        <w:pStyle w:val="Paragraphedeliste"/>
      </w:pPr>
      <w:sdt>
        <w:sdtPr>
          <w:rPr>
            <w:rFonts w:ascii="Arial" w:hAnsi="Arial" w:cs="Arial"/>
          </w:rPr>
          <w:id w:val="-1442383688"/>
          <w14:checkbox>
            <w14:checked w14:val="0"/>
            <w14:checkedState w14:val="2612" w14:font="MS Gothic"/>
            <w14:uncheckedState w14:val="2610" w14:font="MS Gothic"/>
          </w14:checkbox>
        </w:sdtPr>
        <w:sdtEndPr/>
        <w:sdtContent>
          <w:r w:rsidR="00DD2577">
            <w:rPr>
              <w:rFonts w:ascii="MS Gothic" w:eastAsia="MS Gothic" w:hAnsi="MS Gothic" w:cs="Arial" w:hint="eastAsia"/>
            </w:rPr>
            <w:t>☐</w:t>
          </w:r>
        </w:sdtContent>
      </w:sdt>
      <w:r w:rsidR="00DD2577">
        <w:rPr>
          <w:rFonts w:ascii="Arial" w:hAnsi="Arial" w:cs="Arial"/>
        </w:rPr>
        <w:tab/>
      </w:r>
      <w:r w:rsidR="00DD2577" w:rsidRPr="00DD2577">
        <w:t>Le candidat retenu s’est présenté seul :</w:t>
      </w:r>
    </w:p>
    <w:p w:rsidR="00565280" w:rsidRDefault="00565280" w:rsidP="00565280">
      <w:pPr>
        <w:pStyle w:val="Paragraphedeliste"/>
        <w:rPr>
          <w:i/>
        </w:rPr>
      </w:pPr>
      <w:r w:rsidRPr="00565280">
        <w:rPr>
          <w:i/>
        </w:rPr>
        <w:t>(</w:t>
      </w:r>
      <w:proofErr w:type="gramStart"/>
      <w:r w:rsidRPr="00565280">
        <w:rPr>
          <w:i/>
        </w:rPr>
        <w:t>raison</w:t>
      </w:r>
      <w:proofErr w:type="gramEnd"/>
      <w:r w:rsidRPr="00565280">
        <w:rPr>
          <w:i/>
        </w:rPr>
        <w:t xml:space="preserve"> sociale, adresse, SIRET, représentant légal)</w:t>
      </w:r>
    </w:p>
    <w:p w:rsidR="00DD2577" w:rsidRPr="00DD2577" w:rsidRDefault="00D8670C" w:rsidP="00DD2577">
      <w:pPr>
        <w:suppressAutoHyphens/>
        <w:spacing w:after="0" w:line="240" w:lineRule="auto"/>
        <w:ind w:left="567"/>
        <w:jc w:val="both"/>
        <w:rPr>
          <w:rFonts w:ascii="Times New Roman" w:eastAsia="Times New Roman" w:hAnsi="Times New Roman" w:cs="Times New Roman"/>
          <w:sz w:val="20"/>
          <w:szCs w:val="20"/>
          <w:lang w:eastAsia="zh-CN"/>
        </w:rPr>
      </w:pPr>
      <w:sdt>
        <w:sdtPr>
          <w:rPr>
            <w:rFonts w:ascii="Arial" w:eastAsia="Times New Roman" w:hAnsi="Arial" w:cs="Arial"/>
            <w:sz w:val="20"/>
            <w:szCs w:val="20"/>
            <w:lang w:eastAsia="zh-CN"/>
          </w:rPr>
          <w:id w:val="-2090063483"/>
          <w14:checkbox>
            <w14:checked w14:val="0"/>
            <w14:checkedState w14:val="2612" w14:font="MS Gothic"/>
            <w14:uncheckedState w14:val="2610" w14:font="MS Gothic"/>
          </w14:checkbox>
        </w:sdtPr>
        <w:sdtEndPr/>
        <w:sdtContent>
          <w:r w:rsidR="00DD2577">
            <w:rPr>
              <w:rFonts w:ascii="MS Gothic" w:eastAsia="MS Gothic" w:hAnsi="MS Gothic" w:cs="Arial" w:hint="eastAsia"/>
              <w:sz w:val="20"/>
              <w:szCs w:val="20"/>
              <w:lang w:eastAsia="zh-CN"/>
            </w:rPr>
            <w:t>☐</w:t>
          </w:r>
        </w:sdtContent>
      </w:sdt>
      <w:r w:rsidR="00DD2577" w:rsidRPr="00DD2577">
        <w:rPr>
          <w:rFonts w:ascii="Arial" w:eastAsia="Times New Roman" w:hAnsi="Arial" w:cs="Arial"/>
          <w:sz w:val="20"/>
          <w:szCs w:val="20"/>
          <w:lang w:eastAsia="zh-CN"/>
        </w:rPr>
        <w:tab/>
      </w:r>
      <w:r w:rsidR="00DD2577" w:rsidRPr="00DD2577">
        <w:t xml:space="preserve">Le candidat retenu est un groupement d’entreprises : </w:t>
      </w:r>
    </w:p>
    <w:p w:rsidR="00DD2577" w:rsidRPr="00DD2577" w:rsidRDefault="00D8670C" w:rsidP="00DD2577">
      <w:pPr>
        <w:suppressAutoHyphens/>
        <w:spacing w:before="120" w:after="0" w:line="240" w:lineRule="auto"/>
        <w:ind w:left="567" w:firstLine="1134"/>
        <w:jc w:val="both"/>
        <w:rPr>
          <w:rFonts w:ascii="Arial" w:eastAsia="Times New Roman" w:hAnsi="Arial" w:cs="Arial"/>
          <w:sz w:val="20"/>
          <w:szCs w:val="20"/>
          <w:lang w:eastAsia="zh-CN"/>
        </w:rPr>
      </w:pPr>
      <w:sdt>
        <w:sdtPr>
          <w:rPr>
            <w:rFonts w:ascii="Arial" w:eastAsia="Times New Roman" w:hAnsi="Arial" w:cs="Arial"/>
            <w:sz w:val="20"/>
            <w:szCs w:val="20"/>
            <w:lang w:eastAsia="zh-CN"/>
          </w:rPr>
          <w:id w:val="1371030375"/>
          <w14:checkbox>
            <w14:checked w14:val="0"/>
            <w14:checkedState w14:val="2612" w14:font="MS Gothic"/>
            <w14:uncheckedState w14:val="2610" w14:font="MS Gothic"/>
          </w14:checkbox>
        </w:sdtPr>
        <w:sdtEndPr/>
        <w:sdtContent>
          <w:r w:rsidR="00DD2577">
            <w:rPr>
              <w:rFonts w:ascii="MS Gothic" w:eastAsia="MS Gothic" w:hAnsi="MS Gothic" w:cs="Arial" w:hint="eastAsia"/>
              <w:sz w:val="20"/>
              <w:szCs w:val="20"/>
              <w:lang w:eastAsia="zh-CN"/>
            </w:rPr>
            <w:t>☐</w:t>
          </w:r>
        </w:sdtContent>
      </w:sdt>
      <w:r w:rsidR="00DD2577" w:rsidRPr="00DD2577">
        <w:rPr>
          <w:rFonts w:ascii="Arial" w:eastAsia="Times New Roman" w:hAnsi="Arial" w:cs="Arial"/>
          <w:sz w:val="20"/>
          <w:szCs w:val="20"/>
          <w:lang w:eastAsia="zh-CN"/>
        </w:rPr>
        <w:tab/>
      </w:r>
      <w:proofErr w:type="gramStart"/>
      <w:r w:rsidR="00DD2577" w:rsidRPr="00DD2577">
        <w:rPr>
          <w:rFonts w:ascii="Arial" w:eastAsia="Times New Roman" w:hAnsi="Arial" w:cs="Arial"/>
          <w:sz w:val="20"/>
          <w:szCs w:val="20"/>
          <w:lang w:eastAsia="zh-CN"/>
        </w:rPr>
        <w:t>conjoint</w:t>
      </w:r>
      <w:proofErr w:type="gramEnd"/>
      <w:r w:rsidR="00DD2577" w:rsidRPr="00DD2577">
        <w:rPr>
          <w:rFonts w:ascii="Arial" w:eastAsia="Times New Roman" w:hAnsi="Arial" w:cs="Arial"/>
          <w:sz w:val="20"/>
          <w:szCs w:val="20"/>
          <w:lang w:eastAsia="zh-CN"/>
        </w:rPr>
        <w:tab/>
      </w:r>
      <w:r w:rsidR="00DD2577" w:rsidRPr="00DD2577">
        <w:rPr>
          <w:rFonts w:ascii="Arial" w:eastAsia="Times New Roman" w:hAnsi="Arial" w:cs="Arial"/>
          <w:sz w:val="20"/>
          <w:szCs w:val="20"/>
          <w:lang w:eastAsia="zh-CN"/>
        </w:rPr>
        <w:tab/>
      </w:r>
      <w:r w:rsidR="00DD2577" w:rsidRPr="00DD2577">
        <w:t>OU</w:t>
      </w:r>
      <w:r w:rsidR="00DD2577" w:rsidRPr="00DD2577">
        <w:rPr>
          <w:rFonts w:ascii="Arial" w:eastAsia="Times New Roman" w:hAnsi="Arial" w:cs="Arial"/>
          <w:sz w:val="20"/>
          <w:szCs w:val="20"/>
          <w:lang w:eastAsia="zh-CN"/>
        </w:rPr>
        <w:tab/>
      </w:r>
      <w:r w:rsidR="00DD2577" w:rsidRPr="00DD2577">
        <w:rPr>
          <w:rFonts w:ascii="Arial" w:eastAsia="Times New Roman" w:hAnsi="Arial" w:cs="Arial"/>
          <w:sz w:val="20"/>
          <w:szCs w:val="20"/>
          <w:lang w:eastAsia="zh-CN"/>
        </w:rPr>
        <w:tab/>
      </w:r>
      <w:sdt>
        <w:sdtPr>
          <w:rPr>
            <w:rFonts w:ascii="Arial" w:eastAsia="Times New Roman" w:hAnsi="Arial" w:cs="Arial"/>
            <w:sz w:val="20"/>
            <w:szCs w:val="20"/>
            <w:lang w:eastAsia="zh-CN"/>
          </w:rPr>
          <w:id w:val="64997936"/>
          <w14:checkbox>
            <w14:checked w14:val="0"/>
            <w14:checkedState w14:val="2612" w14:font="MS Gothic"/>
            <w14:uncheckedState w14:val="2610" w14:font="MS Gothic"/>
          </w14:checkbox>
        </w:sdtPr>
        <w:sdtEndPr/>
        <w:sdtContent>
          <w:r w:rsidR="00DD2577">
            <w:rPr>
              <w:rFonts w:ascii="MS Gothic" w:eastAsia="MS Gothic" w:hAnsi="MS Gothic" w:cs="Arial" w:hint="eastAsia"/>
              <w:sz w:val="20"/>
              <w:szCs w:val="20"/>
              <w:lang w:eastAsia="zh-CN"/>
            </w:rPr>
            <w:t>☐</w:t>
          </w:r>
        </w:sdtContent>
      </w:sdt>
      <w:r w:rsidR="00DD2577" w:rsidRPr="00DD2577">
        <w:rPr>
          <w:rFonts w:ascii="Arial" w:eastAsia="Times New Roman" w:hAnsi="Arial" w:cs="Arial"/>
          <w:sz w:val="20"/>
          <w:szCs w:val="20"/>
          <w:lang w:eastAsia="zh-CN"/>
        </w:rPr>
        <w:tab/>
        <w:t>solidaire</w:t>
      </w:r>
    </w:p>
    <w:p w:rsidR="00DD2577" w:rsidRPr="00DD2577" w:rsidRDefault="00DD2577" w:rsidP="00DD2577">
      <w:pPr>
        <w:suppressAutoHyphens/>
        <w:spacing w:after="0" w:line="240" w:lineRule="auto"/>
        <w:jc w:val="both"/>
      </w:pPr>
    </w:p>
    <w:p w:rsidR="00DD2577" w:rsidRPr="00DD2577" w:rsidRDefault="00DD2577" w:rsidP="00DD2577">
      <w:pPr>
        <w:suppressAutoHyphens/>
        <w:spacing w:after="0" w:line="240" w:lineRule="auto"/>
        <w:ind w:left="993"/>
        <w:jc w:val="both"/>
        <w:rPr>
          <w:rFonts w:ascii="Times New Roman" w:eastAsia="Times New Roman" w:hAnsi="Times New Roman" w:cs="Times New Roman"/>
          <w:sz w:val="20"/>
          <w:szCs w:val="20"/>
          <w:lang w:eastAsia="zh-CN"/>
        </w:rPr>
      </w:pPr>
      <w:r w:rsidRPr="00DD2577">
        <w:t>En cas de groupement conjoint, le mandataire est solidaire :</w:t>
      </w:r>
      <w:r w:rsidRPr="00DD2577">
        <w:rPr>
          <w:rFonts w:ascii="Arial" w:eastAsia="Times New Roman" w:hAnsi="Arial" w:cs="Arial"/>
          <w:i/>
          <w:iCs/>
          <w:sz w:val="18"/>
          <w:szCs w:val="18"/>
          <w:lang w:eastAsia="zh-CN"/>
        </w:rPr>
        <w:t xml:space="preserve"> </w:t>
      </w:r>
    </w:p>
    <w:p w:rsidR="00DD2577" w:rsidRDefault="00D8670C" w:rsidP="00DD2577">
      <w:pPr>
        <w:suppressAutoHyphens/>
        <w:spacing w:before="120" w:after="0" w:line="240" w:lineRule="auto"/>
        <w:ind w:left="567" w:firstLine="1134"/>
        <w:jc w:val="both"/>
        <w:rPr>
          <w:rFonts w:ascii="Arial" w:eastAsia="Times New Roman" w:hAnsi="Arial" w:cs="Arial"/>
          <w:iCs/>
          <w:sz w:val="20"/>
          <w:szCs w:val="20"/>
          <w:lang w:eastAsia="zh-CN"/>
        </w:rPr>
      </w:pPr>
      <w:sdt>
        <w:sdtPr>
          <w:rPr>
            <w:rFonts w:ascii="Arial" w:eastAsia="Times New Roman" w:hAnsi="Arial" w:cs="Arial"/>
            <w:sz w:val="20"/>
            <w:szCs w:val="20"/>
            <w:lang w:eastAsia="zh-CN"/>
          </w:rPr>
          <w:id w:val="-679191152"/>
          <w14:checkbox>
            <w14:checked w14:val="0"/>
            <w14:checkedState w14:val="2612" w14:font="MS Gothic"/>
            <w14:uncheckedState w14:val="2610" w14:font="MS Gothic"/>
          </w14:checkbox>
        </w:sdtPr>
        <w:sdtEndPr/>
        <w:sdtContent>
          <w:r w:rsidR="00DD2577">
            <w:rPr>
              <w:rFonts w:ascii="MS Gothic" w:eastAsia="MS Gothic" w:hAnsi="MS Gothic" w:cs="Arial" w:hint="eastAsia"/>
              <w:sz w:val="20"/>
              <w:szCs w:val="20"/>
              <w:lang w:eastAsia="zh-CN"/>
            </w:rPr>
            <w:t>☐</w:t>
          </w:r>
        </w:sdtContent>
      </w:sdt>
      <w:r w:rsidR="00DD2577" w:rsidRPr="00DD2577">
        <w:rPr>
          <w:rFonts w:ascii="Arial" w:eastAsia="Times New Roman" w:hAnsi="Arial" w:cs="Arial"/>
          <w:sz w:val="20"/>
          <w:szCs w:val="20"/>
          <w:lang w:eastAsia="zh-CN"/>
        </w:rPr>
        <w:tab/>
        <w:t>NON</w:t>
      </w:r>
      <w:r w:rsidR="00DD2577" w:rsidRPr="00DD2577">
        <w:rPr>
          <w:rFonts w:ascii="Arial" w:eastAsia="Times New Roman" w:hAnsi="Arial" w:cs="Arial"/>
          <w:sz w:val="20"/>
          <w:szCs w:val="20"/>
          <w:lang w:eastAsia="zh-CN"/>
        </w:rPr>
        <w:tab/>
      </w:r>
      <w:r w:rsidR="00DD2577" w:rsidRPr="00DD2577">
        <w:rPr>
          <w:rFonts w:ascii="Arial" w:eastAsia="Times New Roman" w:hAnsi="Arial" w:cs="Arial"/>
          <w:sz w:val="20"/>
          <w:szCs w:val="20"/>
          <w:lang w:eastAsia="zh-CN"/>
        </w:rPr>
        <w:tab/>
      </w:r>
      <w:r w:rsidR="00DD2577" w:rsidRPr="00DD2577">
        <w:rPr>
          <w:rFonts w:ascii="Arial" w:eastAsia="Times New Roman" w:hAnsi="Arial" w:cs="Arial"/>
          <w:sz w:val="20"/>
          <w:szCs w:val="20"/>
          <w:lang w:eastAsia="zh-CN"/>
        </w:rPr>
        <w:tab/>
        <w:t>OU</w:t>
      </w:r>
      <w:r w:rsidR="00DD2577" w:rsidRPr="00DD2577">
        <w:rPr>
          <w:rFonts w:ascii="Arial" w:eastAsia="Times New Roman" w:hAnsi="Arial" w:cs="Arial"/>
          <w:sz w:val="20"/>
          <w:szCs w:val="20"/>
          <w:lang w:eastAsia="zh-CN"/>
        </w:rPr>
        <w:tab/>
      </w:r>
      <w:r w:rsidR="00DD2577" w:rsidRPr="00DD2577">
        <w:rPr>
          <w:rFonts w:ascii="Arial" w:eastAsia="Times New Roman" w:hAnsi="Arial" w:cs="Arial"/>
          <w:sz w:val="20"/>
          <w:szCs w:val="20"/>
          <w:lang w:eastAsia="zh-CN"/>
        </w:rPr>
        <w:tab/>
      </w:r>
      <w:sdt>
        <w:sdtPr>
          <w:rPr>
            <w:rFonts w:ascii="Arial" w:eastAsia="Times New Roman" w:hAnsi="Arial" w:cs="Arial"/>
            <w:sz w:val="20"/>
            <w:szCs w:val="20"/>
            <w:lang w:eastAsia="zh-CN"/>
          </w:rPr>
          <w:id w:val="-228081935"/>
          <w14:checkbox>
            <w14:checked w14:val="0"/>
            <w14:checkedState w14:val="2612" w14:font="MS Gothic"/>
            <w14:uncheckedState w14:val="2610" w14:font="MS Gothic"/>
          </w14:checkbox>
        </w:sdtPr>
        <w:sdtEndPr/>
        <w:sdtContent>
          <w:r w:rsidR="00DD2577">
            <w:rPr>
              <w:rFonts w:ascii="MS Gothic" w:eastAsia="MS Gothic" w:hAnsi="MS Gothic" w:cs="Arial" w:hint="eastAsia"/>
              <w:sz w:val="20"/>
              <w:szCs w:val="20"/>
              <w:lang w:eastAsia="zh-CN"/>
            </w:rPr>
            <w:t>☐</w:t>
          </w:r>
        </w:sdtContent>
      </w:sdt>
      <w:r w:rsidR="00DD2577" w:rsidRPr="00DD2577">
        <w:rPr>
          <w:rFonts w:ascii="Arial" w:eastAsia="Times New Roman" w:hAnsi="Arial" w:cs="Arial"/>
          <w:sz w:val="20"/>
          <w:szCs w:val="20"/>
          <w:lang w:eastAsia="zh-CN"/>
        </w:rPr>
        <w:tab/>
      </w:r>
      <w:r w:rsidR="00DD2577" w:rsidRPr="00DD2577">
        <w:rPr>
          <w:rFonts w:ascii="Arial" w:eastAsia="Times New Roman" w:hAnsi="Arial" w:cs="Arial"/>
          <w:iCs/>
          <w:sz w:val="20"/>
          <w:szCs w:val="20"/>
          <w:lang w:eastAsia="zh-CN"/>
        </w:rPr>
        <w:t>OUI</w:t>
      </w:r>
    </w:p>
    <w:p w:rsidR="00DD2577" w:rsidRPr="00DD2577" w:rsidRDefault="00DD2577" w:rsidP="00DD2577">
      <w:pPr>
        <w:suppressAutoHyphens/>
        <w:spacing w:after="0" w:line="240" w:lineRule="auto"/>
        <w:rPr>
          <w:rFonts w:ascii="Arial" w:eastAsia="Times New Roman" w:hAnsi="Arial" w:cs="Arial"/>
          <w:b/>
          <w:bCs/>
          <w:sz w:val="20"/>
          <w:szCs w:val="20"/>
          <w:lang w:eastAsia="zh-CN"/>
        </w:rPr>
      </w:pPr>
    </w:p>
    <w:p w:rsidR="00DD2577" w:rsidRPr="00DD2577" w:rsidRDefault="00DD2577" w:rsidP="00DD2577">
      <w:pPr>
        <w:suppressAutoHyphens/>
        <w:spacing w:after="120" w:line="240" w:lineRule="auto"/>
        <w:jc w:val="both"/>
        <w:rPr>
          <w:rFonts w:ascii="Arial" w:eastAsia="Times New Roman" w:hAnsi="Arial" w:cs="Arial"/>
          <w:b/>
          <w:sz w:val="20"/>
          <w:szCs w:val="20"/>
          <w:lang w:eastAsia="zh-CN"/>
        </w:rPr>
      </w:pPr>
      <w:r w:rsidRPr="00DD2577">
        <w:rPr>
          <w:rFonts w:ascii="Arial" w:eastAsia="Times New Roman" w:hAnsi="Arial" w:cs="Arial"/>
          <w:i/>
          <w:iCs/>
          <w:sz w:val="18"/>
          <w:szCs w:val="18"/>
          <w:lang w:eastAsia="zh-CN"/>
        </w:rPr>
        <w:t>(Préciser, dans le tableau ci-dessous, l’identité de chaque membre du groupement d’entreprises retenu. En cas de groupement conjoint, sont également indiquées les prestations que chacun des membres du groupement s’engage à réaliser. Identifier le mandataire désigné pour représenter le groupement et coordonner les prestations.)</w:t>
      </w:r>
    </w:p>
    <w:tbl>
      <w:tblPr>
        <w:tblW w:w="0" w:type="auto"/>
        <w:tblInd w:w="-10" w:type="dxa"/>
        <w:tblLayout w:type="fixed"/>
        <w:tblLook w:val="0000" w:firstRow="0" w:lastRow="0" w:firstColumn="0" w:lastColumn="0" w:noHBand="0" w:noVBand="0"/>
      </w:tblPr>
      <w:tblGrid>
        <w:gridCol w:w="6062"/>
        <w:gridCol w:w="4272"/>
      </w:tblGrid>
      <w:tr w:rsidR="00DD2577" w:rsidRPr="00DD2577" w:rsidTr="00964759">
        <w:trPr>
          <w:trHeight w:val="1002"/>
        </w:trPr>
        <w:tc>
          <w:tcPr>
            <w:tcW w:w="6062" w:type="dxa"/>
            <w:tcBorders>
              <w:top w:val="single" w:sz="4" w:space="0" w:color="000000"/>
              <w:left w:val="single" w:sz="4" w:space="0" w:color="000000"/>
              <w:bottom w:val="single" w:sz="4" w:space="0" w:color="000000"/>
            </w:tcBorders>
            <w:shd w:val="clear" w:color="auto" w:fill="auto"/>
          </w:tcPr>
          <w:p w:rsidR="00DD2577" w:rsidRPr="00DD2577" w:rsidRDefault="00DD2577" w:rsidP="00DD2577">
            <w:pPr>
              <w:suppressAutoHyphens/>
              <w:spacing w:after="0" w:line="240" w:lineRule="auto"/>
              <w:jc w:val="center"/>
              <w:rPr>
                <w:rFonts w:ascii="Arial" w:eastAsia="Times New Roman" w:hAnsi="Arial" w:cs="Arial"/>
                <w:b/>
                <w:sz w:val="20"/>
                <w:szCs w:val="20"/>
                <w:lang w:eastAsia="zh-CN"/>
              </w:rPr>
            </w:pPr>
            <w:r w:rsidRPr="00DD2577">
              <w:rPr>
                <w:rFonts w:ascii="Arial" w:eastAsia="Times New Roman" w:hAnsi="Arial" w:cs="Arial"/>
                <w:b/>
                <w:sz w:val="20"/>
                <w:szCs w:val="20"/>
                <w:lang w:eastAsia="zh-CN"/>
              </w:rPr>
              <w:t>Nom commercial et dénomination sociale, adresse de l’établissement (*), adresse électronique, numéros de téléphone et de télécopie, numéro SIRET</w:t>
            </w:r>
          </w:p>
          <w:p w:rsidR="00DD2577" w:rsidRPr="00DD2577" w:rsidRDefault="00DD2577" w:rsidP="00DD2577">
            <w:pPr>
              <w:suppressAutoHyphens/>
              <w:spacing w:after="0" w:line="240" w:lineRule="auto"/>
              <w:jc w:val="center"/>
              <w:rPr>
                <w:rFonts w:ascii="Times New Roman" w:eastAsia="Times New Roman" w:hAnsi="Times New Roman" w:cs="Times New Roman"/>
                <w:sz w:val="20"/>
                <w:szCs w:val="20"/>
                <w:lang w:eastAsia="zh-CN"/>
              </w:rPr>
            </w:pPr>
            <w:r w:rsidRPr="00DD2577">
              <w:rPr>
                <w:rFonts w:ascii="Arial" w:eastAsia="Times New Roman" w:hAnsi="Arial" w:cs="Arial"/>
                <w:b/>
                <w:sz w:val="20"/>
                <w:szCs w:val="20"/>
                <w:lang w:eastAsia="zh-CN"/>
              </w:rPr>
              <w:t>des membres du groupement</w:t>
            </w:r>
          </w:p>
        </w:tc>
        <w:tc>
          <w:tcPr>
            <w:tcW w:w="4272" w:type="dxa"/>
            <w:tcBorders>
              <w:top w:val="single" w:sz="4" w:space="0" w:color="000000"/>
              <w:left w:val="single" w:sz="4" w:space="0" w:color="000000"/>
              <w:bottom w:val="single" w:sz="4" w:space="0" w:color="000000"/>
              <w:right w:val="single" w:sz="4" w:space="0" w:color="000000"/>
            </w:tcBorders>
            <w:shd w:val="clear" w:color="auto" w:fill="auto"/>
          </w:tcPr>
          <w:p w:rsidR="00DD2577" w:rsidRPr="00DD2577" w:rsidRDefault="00DD2577" w:rsidP="00DD2577">
            <w:pPr>
              <w:numPr>
                <w:ilvl w:val="4"/>
                <w:numId w:val="0"/>
              </w:numPr>
              <w:tabs>
                <w:tab w:val="num" w:pos="0"/>
              </w:tabs>
              <w:suppressAutoHyphens/>
              <w:snapToGrid w:val="0"/>
              <w:spacing w:after="0" w:line="240" w:lineRule="auto"/>
              <w:ind w:left="1008" w:hanging="1008"/>
              <w:outlineLvl w:val="4"/>
              <w:rPr>
                <w:rFonts w:ascii="Times New Roman" w:eastAsia="Times New Roman" w:hAnsi="Times New Roman" w:cs="Times New Roman"/>
                <w:sz w:val="20"/>
                <w:szCs w:val="20"/>
                <w:lang w:eastAsia="zh-CN"/>
              </w:rPr>
            </w:pPr>
          </w:p>
          <w:p w:rsidR="00DD2577" w:rsidRPr="00DD2577" w:rsidRDefault="00DD2577" w:rsidP="00DD2577">
            <w:pPr>
              <w:numPr>
                <w:ilvl w:val="4"/>
                <w:numId w:val="0"/>
              </w:numPr>
              <w:tabs>
                <w:tab w:val="num" w:pos="0"/>
              </w:tabs>
              <w:suppressAutoHyphens/>
              <w:spacing w:after="0" w:line="240" w:lineRule="auto"/>
              <w:ind w:left="1008" w:hanging="1008"/>
              <w:jc w:val="center"/>
              <w:outlineLvl w:val="4"/>
              <w:rPr>
                <w:rFonts w:ascii="Arial" w:eastAsia="Times New Roman" w:hAnsi="Arial" w:cs="Arial"/>
                <w:b/>
                <w:bCs/>
                <w:i/>
                <w:iCs/>
                <w:sz w:val="26"/>
                <w:szCs w:val="26"/>
                <w:lang w:eastAsia="zh-CN"/>
              </w:rPr>
            </w:pPr>
            <w:r w:rsidRPr="00DD2577">
              <w:rPr>
                <w:rFonts w:ascii="Arial" w:eastAsia="Times New Roman" w:hAnsi="Arial" w:cs="Arial"/>
                <w:b/>
                <w:bCs/>
                <w:iCs/>
                <w:sz w:val="20"/>
                <w:szCs w:val="20"/>
                <w:lang w:eastAsia="zh-CN"/>
              </w:rPr>
              <w:t>Prestations exécutées par les membres du groupement (**)</w:t>
            </w:r>
          </w:p>
        </w:tc>
      </w:tr>
      <w:tr w:rsidR="00DD2577" w:rsidRPr="00DD2577" w:rsidTr="00964759">
        <w:trPr>
          <w:trHeight w:val="851"/>
        </w:trPr>
        <w:tc>
          <w:tcPr>
            <w:tcW w:w="6062" w:type="dxa"/>
            <w:tcBorders>
              <w:top w:val="single" w:sz="4" w:space="0" w:color="000000"/>
              <w:left w:val="single" w:sz="4" w:space="0" w:color="000000"/>
            </w:tcBorders>
            <w:shd w:val="clear" w:color="auto" w:fill="FFFFFF"/>
          </w:tcPr>
          <w:p w:rsidR="00DD2577" w:rsidRPr="00DD2577" w:rsidRDefault="00DD2577" w:rsidP="00DD2577">
            <w:pPr>
              <w:suppressAutoHyphens/>
              <w:snapToGrid w:val="0"/>
              <w:spacing w:after="0" w:line="240" w:lineRule="auto"/>
              <w:jc w:val="both"/>
              <w:rPr>
                <w:rFonts w:ascii="Arial" w:eastAsia="Times New Roman" w:hAnsi="Arial" w:cs="Arial"/>
                <w:b/>
                <w:bCs/>
                <w:sz w:val="20"/>
                <w:szCs w:val="20"/>
                <w:lang w:eastAsia="zh-CN"/>
              </w:rPr>
            </w:pPr>
          </w:p>
        </w:tc>
        <w:tc>
          <w:tcPr>
            <w:tcW w:w="4272" w:type="dxa"/>
            <w:tcBorders>
              <w:top w:val="single" w:sz="4" w:space="0" w:color="000000"/>
              <w:left w:val="single" w:sz="4" w:space="0" w:color="000000"/>
              <w:right w:val="single" w:sz="4" w:space="0" w:color="000000"/>
            </w:tcBorders>
            <w:shd w:val="clear" w:color="auto" w:fill="FFFFFF"/>
          </w:tcPr>
          <w:p w:rsidR="00DD2577" w:rsidRPr="00DD2577" w:rsidRDefault="00DD2577" w:rsidP="00DD2577">
            <w:pPr>
              <w:suppressAutoHyphens/>
              <w:snapToGrid w:val="0"/>
              <w:spacing w:after="0" w:line="240" w:lineRule="auto"/>
              <w:jc w:val="both"/>
              <w:rPr>
                <w:rFonts w:ascii="Arial" w:eastAsia="Times New Roman" w:hAnsi="Arial" w:cs="Arial"/>
                <w:sz w:val="20"/>
                <w:szCs w:val="20"/>
                <w:lang w:eastAsia="zh-CN"/>
              </w:rPr>
            </w:pPr>
          </w:p>
        </w:tc>
      </w:tr>
      <w:tr w:rsidR="00DD2577" w:rsidRPr="00DD2577" w:rsidTr="00964759">
        <w:trPr>
          <w:trHeight w:val="851"/>
        </w:trPr>
        <w:tc>
          <w:tcPr>
            <w:tcW w:w="6062" w:type="dxa"/>
            <w:tcBorders>
              <w:left w:val="single" w:sz="4" w:space="0" w:color="000000"/>
            </w:tcBorders>
            <w:shd w:val="clear" w:color="auto" w:fill="CCFFFF"/>
          </w:tcPr>
          <w:p w:rsidR="00DD2577" w:rsidRPr="00DD2577" w:rsidRDefault="00DD2577" w:rsidP="00DD2577">
            <w:pPr>
              <w:suppressAutoHyphens/>
              <w:snapToGrid w:val="0"/>
              <w:spacing w:after="0" w:line="240" w:lineRule="auto"/>
              <w:jc w:val="both"/>
              <w:rPr>
                <w:rFonts w:ascii="Arial" w:eastAsia="Times New Roman" w:hAnsi="Arial" w:cs="Arial"/>
                <w:sz w:val="20"/>
                <w:szCs w:val="20"/>
                <w:lang w:eastAsia="zh-CN"/>
              </w:rPr>
            </w:pPr>
          </w:p>
        </w:tc>
        <w:tc>
          <w:tcPr>
            <w:tcW w:w="4272" w:type="dxa"/>
            <w:tcBorders>
              <w:left w:val="single" w:sz="4" w:space="0" w:color="000000"/>
              <w:right w:val="single" w:sz="4" w:space="0" w:color="000000"/>
            </w:tcBorders>
            <w:shd w:val="clear" w:color="auto" w:fill="CCFFFF"/>
          </w:tcPr>
          <w:p w:rsidR="00DD2577" w:rsidRPr="00DD2577" w:rsidRDefault="00DD2577" w:rsidP="00DD2577">
            <w:pPr>
              <w:suppressAutoHyphens/>
              <w:snapToGrid w:val="0"/>
              <w:spacing w:after="0" w:line="240" w:lineRule="auto"/>
              <w:jc w:val="both"/>
              <w:rPr>
                <w:rFonts w:ascii="Arial" w:eastAsia="Times New Roman" w:hAnsi="Arial" w:cs="Arial"/>
                <w:sz w:val="20"/>
                <w:szCs w:val="20"/>
                <w:lang w:eastAsia="zh-CN"/>
              </w:rPr>
            </w:pPr>
          </w:p>
        </w:tc>
      </w:tr>
      <w:tr w:rsidR="00DD2577" w:rsidRPr="00DD2577" w:rsidTr="00964759">
        <w:trPr>
          <w:trHeight w:val="851"/>
        </w:trPr>
        <w:tc>
          <w:tcPr>
            <w:tcW w:w="6062" w:type="dxa"/>
            <w:tcBorders>
              <w:left w:val="single" w:sz="4" w:space="0" w:color="000000"/>
            </w:tcBorders>
            <w:shd w:val="clear" w:color="auto" w:fill="FFFFFF"/>
          </w:tcPr>
          <w:p w:rsidR="00DD2577" w:rsidRPr="00DD2577" w:rsidRDefault="00DD2577" w:rsidP="00DD2577">
            <w:pPr>
              <w:suppressAutoHyphens/>
              <w:snapToGrid w:val="0"/>
              <w:spacing w:after="0" w:line="240" w:lineRule="auto"/>
              <w:jc w:val="both"/>
              <w:rPr>
                <w:rFonts w:ascii="Arial" w:eastAsia="Times New Roman" w:hAnsi="Arial" w:cs="Arial"/>
                <w:sz w:val="20"/>
                <w:szCs w:val="20"/>
                <w:lang w:eastAsia="zh-CN"/>
              </w:rPr>
            </w:pPr>
          </w:p>
        </w:tc>
        <w:tc>
          <w:tcPr>
            <w:tcW w:w="4272" w:type="dxa"/>
            <w:tcBorders>
              <w:left w:val="single" w:sz="4" w:space="0" w:color="000000"/>
              <w:right w:val="single" w:sz="4" w:space="0" w:color="000000"/>
            </w:tcBorders>
            <w:shd w:val="clear" w:color="auto" w:fill="FFFFFF"/>
          </w:tcPr>
          <w:p w:rsidR="00DD2577" w:rsidRPr="00DD2577" w:rsidRDefault="00DD2577" w:rsidP="00DD2577">
            <w:pPr>
              <w:suppressAutoHyphens/>
              <w:snapToGrid w:val="0"/>
              <w:spacing w:after="0" w:line="240" w:lineRule="auto"/>
              <w:jc w:val="both"/>
              <w:rPr>
                <w:rFonts w:ascii="Arial" w:eastAsia="Times New Roman" w:hAnsi="Arial" w:cs="Arial"/>
                <w:sz w:val="20"/>
                <w:szCs w:val="20"/>
                <w:lang w:eastAsia="zh-CN"/>
              </w:rPr>
            </w:pPr>
          </w:p>
        </w:tc>
      </w:tr>
      <w:tr w:rsidR="00DD2577" w:rsidRPr="00DD2577" w:rsidTr="00964759">
        <w:trPr>
          <w:trHeight w:val="851"/>
        </w:trPr>
        <w:tc>
          <w:tcPr>
            <w:tcW w:w="6062" w:type="dxa"/>
            <w:tcBorders>
              <w:left w:val="single" w:sz="4" w:space="0" w:color="000000"/>
              <w:bottom w:val="single" w:sz="4" w:space="0" w:color="000000"/>
            </w:tcBorders>
            <w:shd w:val="clear" w:color="auto" w:fill="CCECFF"/>
          </w:tcPr>
          <w:p w:rsidR="00DD2577" w:rsidRPr="00DD2577" w:rsidRDefault="00DD2577" w:rsidP="00DD2577">
            <w:pPr>
              <w:suppressAutoHyphens/>
              <w:snapToGrid w:val="0"/>
              <w:spacing w:after="0" w:line="240" w:lineRule="auto"/>
              <w:jc w:val="both"/>
              <w:rPr>
                <w:rFonts w:ascii="Arial" w:eastAsia="Times New Roman" w:hAnsi="Arial" w:cs="Arial"/>
                <w:sz w:val="20"/>
                <w:szCs w:val="20"/>
                <w:lang w:eastAsia="zh-CN"/>
              </w:rPr>
            </w:pPr>
          </w:p>
        </w:tc>
        <w:tc>
          <w:tcPr>
            <w:tcW w:w="4272" w:type="dxa"/>
            <w:tcBorders>
              <w:left w:val="single" w:sz="4" w:space="0" w:color="000000"/>
              <w:bottom w:val="single" w:sz="4" w:space="0" w:color="000000"/>
              <w:right w:val="single" w:sz="4" w:space="0" w:color="000000"/>
            </w:tcBorders>
            <w:shd w:val="clear" w:color="auto" w:fill="CCECFF"/>
          </w:tcPr>
          <w:p w:rsidR="00DD2577" w:rsidRPr="00DD2577" w:rsidRDefault="00DD2577" w:rsidP="00DD2577">
            <w:pPr>
              <w:suppressAutoHyphens/>
              <w:snapToGrid w:val="0"/>
              <w:spacing w:after="0" w:line="240" w:lineRule="auto"/>
              <w:jc w:val="both"/>
              <w:rPr>
                <w:rFonts w:ascii="Arial" w:eastAsia="Times New Roman" w:hAnsi="Arial" w:cs="Arial"/>
                <w:sz w:val="20"/>
                <w:szCs w:val="20"/>
                <w:lang w:eastAsia="zh-CN"/>
              </w:rPr>
            </w:pPr>
          </w:p>
        </w:tc>
      </w:tr>
    </w:tbl>
    <w:p w:rsidR="00DD2577" w:rsidRPr="00DD2577" w:rsidRDefault="00DD2577" w:rsidP="00DD2577">
      <w:pPr>
        <w:suppressAutoHyphens/>
        <w:spacing w:before="120" w:after="0" w:line="240" w:lineRule="auto"/>
        <w:jc w:val="both"/>
        <w:rPr>
          <w:rFonts w:ascii="Arial" w:eastAsia="Times New Roman" w:hAnsi="Arial" w:cs="Arial"/>
          <w:sz w:val="18"/>
          <w:szCs w:val="18"/>
          <w:lang w:eastAsia="zh-CN"/>
        </w:rPr>
      </w:pPr>
      <w:r w:rsidRPr="00DD2577">
        <w:rPr>
          <w:rFonts w:ascii="Arial" w:eastAsia="Times New Roman" w:hAnsi="Arial" w:cs="Arial"/>
          <w:sz w:val="18"/>
          <w:szCs w:val="18"/>
          <w:lang w:eastAsia="zh-CN"/>
        </w:rPr>
        <w:t>(*) Préciser l’adresse du siège social du membre du groupement si elle est différente de celle de l’établissement.</w:t>
      </w:r>
    </w:p>
    <w:p w:rsidR="00DD2577" w:rsidRPr="00DD2577" w:rsidRDefault="00DD2577" w:rsidP="00DD2577">
      <w:pPr>
        <w:suppressAutoHyphens/>
        <w:spacing w:after="0" w:line="240" w:lineRule="auto"/>
        <w:jc w:val="both"/>
        <w:rPr>
          <w:rFonts w:ascii="Arial" w:eastAsia="Times New Roman" w:hAnsi="Arial" w:cs="Arial"/>
          <w:sz w:val="18"/>
          <w:szCs w:val="18"/>
          <w:lang w:eastAsia="zh-CN"/>
        </w:rPr>
      </w:pPr>
      <w:r w:rsidRPr="00DD2577">
        <w:rPr>
          <w:rFonts w:ascii="Arial" w:eastAsia="Times New Roman" w:hAnsi="Arial" w:cs="Arial"/>
          <w:sz w:val="18"/>
          <w:szCs w:val="18"/>
          <w:lang w:eastAsia="zh-CN"/>
        </w:rPr>
        <w:t>(**) Pour les groupements conjoints.</w:t>
      </w:r>
    </w:p>
    <w:p w:rsidR="00DD2577" w:rsidRPr="00DD2577" w:rsidRDefault="00DD2577" w:rsidP="00DD2577">
      <w:pPr>
        <w:suppressAutoHyphens/>
        <w:spacing w:before="120" w:after="0" w:line="240" w:lineRule="auto"/>
        <w:jc w:val="both"/>
        <w:rPr>
          <w:rFonts w:ascii="Arial" w:eastAsia="Times New Roman" w:hAnsi="Arial" w:cs="Arial"/>
          <w:b/>
          <w:bCs/>
          <w:sz w:val="20"/>
          <w:szCs w:val="20"/>
          <w:lang w:eastAsia="zh-CN"/>
        </w:rPr>
      </w:pPr>
    </w:p>
    <w:p w:rsidR="00565280" w:rsidRDefault="00565280" w:rsidP="00565280"/>
    <w:p w:rsidR="00254929" w:rsidRDefault="00254929" w:rsidP="00254929">
      <w:pPr>
        <w:pStyle w:val="Paragraphedeliste"/>
        <w:numPr>
          <w:ilvl w:val="0"/>
          <w:numId w:val="5"/>
        </w:numPr>
      </w:pPr>
      <w:r>
        <w:t xml:space="preserve">Motifs du choix de l’offre retenue : </w:t>
      </w:r>
    </w:p>
    <w:p w:rsidR="00DD2577" w:rsidRPr="00DD2577" w:rsidRDefault="00DD2577" w:rsidP="00DD2577">
      <w:pPr>
        <w:ind w:left="360"/>
        <w:rPr>
          <w:i/>
        </w:rPr>
      </w:pPr>
      <w:r w:rsidRPr="00DD2577">
        <w:rPr>
          <w:i/>
        </w:rPr>
        <w:t>(</w:t>
      </w:r>
      <w:proofErr w:type="gramStart"/>
      <w:r w:rsidRPr="00DD2577">
        <w:rPr>
          <w:i/>
        </w:rPr>
        <w:t>expliquer</w:t>
      </w:r>
      <w:proofErr w:type="gramEnd"/>
      <w:r w:rsidRPr="00DD2577">
        <w:rPr>
          <w:i/>
        </w:rPr>
        <w:t xml:space="preserve"> en fonction des critères détaillés dans la partie G pourquoi ce titulaire a été retenu)</w:t>
      </w:r>
    </w:p>
    <w:p w:rsidR="00254929" w:rsidRDefault="00254929" w:rsidP="00254929">
      <w:pPr>
        <w:pStyle w:val="Style1"/>
      </w:pPr>
    </w:p>
    <w:p w:rsidR="00254929" w:rsidRPr="00254929" w:rsidRDefault="00254929" w:rsidP="00254929">
      <w:pPr>
        <w:pStyle w:val="Style1"/>
        <w:jc w:val="right"/>
      </w:pPr>
      <w:r>
        <w:t>Signature du pouvoir adjudicateur</w:t>
      </w:r>
    </w:p>
    <w:p w:rsidR="00254929" w:rsidRPr="00254929" w:rsidRDefault="00254929"/>
    <w:sectPr w:rsidR="00254929" w:rsidRPr="00254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1287"/>
        </w:tabs>
        <w:ind w:left="1287" w:hanging="360"/>
      </w:pPr>
      <w:rPr>
        <w:rFonts w:ascii="Wingdings" w:hAnsi="Wingdings" w:cs="Wingdings"/>
      </w:rPr>
    </w:lvl>
  </w:abstractNum>
  <w:abstractNum w:abstractNumId="1" w15:restartNumberingAfterBreak="0">
    <w:nsid w:val="4A9912DA"/>
    <w:multiLevelType w:val="hybridMultilevel"/>
    <w:tmpl w:val="75A01B3A"/>
    <w:lvl w:ilvl="0" w:tplc="E60038CE">
      <w:start w:val="1"/>
      <w:numFmt w:val="bullet"/>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2B22F9"/>
    <w:multiLevelType w:val="hybridMultilevel"/>
    <w:tmpl w:val="512C9B22"/>
    <w:lvl w:ilvl="0" w:tplc="E60038CE">
      <w:start w:val="1"/>
      <w:numFmt w:val="bullet"/>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F25C66"/>
    <w:multiLevelType w:val="hybridMultilevel"/>
    <w:tmpl w:val="E6887C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824326"/>
    <w:multiLevelType w:val="hybridMultilevel"/>
    <w:tmpl w:val="74508A9C"/>
    <w:lvl w:ilvl="0" w:tplc="E60038CE">
      <w:start w:val="1"/>
      <w:numFmt w:val="bullet"/>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6E4"/>
    <w:rsid w:val="001012EF"/>
    <w:rsid w:val="00254929"/>
    <w:rsid w:val="00565280"/>
    <w:rsid w:val="00642E8F"/>
    <w:rsid w:val="007F56E4"/>
    <w:rsid w:val="009B05A2"/>
    <w:rsid w:val="00A05091"/>
    <w:rsid w:val="00C14C85"/>
    <w:rsid w:val="00D228E5"/>
    <w:rsid w:val="00D30C6A"/>
    <w:rsid w:val="00D8670C"/>
    <w:rsid w:val="00DA3F7C"/>
    <w:rsid w:val="00DD2577"/>
    <w:rsid w:val="00E21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7F61"/>
  <w15:docId w15:val="{6F907CBE-A088-44B1-BC59-0BA527EB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56E4"/>
    <w:pPr>
      <w:ind w:left="720"/>
      <w:contextualSpacing/>
    </w:pPr>
  </w:style>
  <w:style w:type="character" w:styleId="Lienhypertexte">
    <w:name w:val="Hyperlink"/>
    <w:basedOn w:val="Policepardfaut"/>
    <w:uiPriority w:val="99"/>
    <w:unhideWhenUsed/>
    <w:rsid w:val="007F56E4"/>
    <w:rPr>
      <w:color w:val="0000FF" w:themeColor="hyperlink"/>
      <w:u w:val="single"/>
    </w:rPr>
  </w:style>
  <w:style w:type="paragraph" w:styleId="Textedebulles">
    <w:name w:val="Balloon Text"/>
    <w:basedOn w:val="Normal"/>
    <w:link w:val="TextedebullesCar"/>
    <w:uiPriority w:val="99"/>
    <w:semiHidden/>
    <w:unhideWhenUsed/>
    <w:rsid w:val="001012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12EF"/>
    <w:rPr>
      <w:rFonts w:ascii="Tahoma" w:hAnsi="Tahoma" w:cs="Tahoma"/>
      <w:sz w:val="16"/>
      <w:szCs w:val="16"/>
    </w:rPr>
  </w:style>
  <w:style w:type="paragraph" w:customStyle="1" w:styleId="Style1">
    <w:name w:val="Style1"/>
    <w:basedOn w:val="Normal"/>
    <w:link w:val="Style1Car"/>
    <w:qFormat/>
    <w:rsid w:val="001012EF"/>
    <w:rPr>
      <w:b/>
      <w:u w:val="single"/>
    </w:rPr>
  </w:style>
  <w:style w:type="character" w:styleId="lev">
    <w:name w:val="Strong"/>
    <w:basedOn w:val="Policepardfaut"/>
    <w:uiPriority w:val="22"/>
    <w:qFormat/>
    <w:rsid w:val="00E21DAA"/>
    <w:rPr>
      <w:b/>
      <w:bCs/>
    </w:rPr>
  </w:style>
  <w:style w:type="character" w:customStyle="1" w:styleId="Style1Car">
    <w:name w:val="Style1 Car"/>
    <w:basedOn w:val="Policepardfaut"/>
    <w:link w:val="Style1"/>
    <w:rsid w:val="001012E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680</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Arnaud de Champsavin</cp:lastModifiedBy>
  <cp:revision>7</cp:revision>
  <dcterms:created xsi:type="dcterms:W3CDTF">2019-02-26T16:55:00Z</dcterms:created>
  <dcterms:modified xsi:type="dcterms:W3CDTF">2019-02-28T15:15:00Z</dcterms:modified>
</cp:coreProperties>
</file>