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8A8F8C"/>
          <w:sz w:val="26"/>
        </w:rPr>
        <w:t>ANNUAL REPORT TEMPLATE</w:t>
      </w:r>
    </w:p>
    <w:p>
      <w:pPr>
        <w:jc w:val="center"/>
      </w:pPr>
      <w:r>
        <w:rPr>
          <w:rFonts w:ascii="Calibri" w:hAnsi="Calibri"/>
          <w:b/>
          <w:color w:val="2F544A"/>
          <w:sz w:val="60"/>
        </w:rPr>
        <w:t>{{company_name}} Annual Report</w:t>
      </w:r>
    </w:p>
    <w:p>
      <w:pPr>
        <w:jc w:val="center"/>
      </w:pPr>
      <w:r>
        <w:rPr>
          <w:color w:val="333333"/>
          <w:sz w:val="28"/>
        </w:rPr>
        <w:t>Consolidated yearly review for fiscal year {{fiscal_year}}</w:t>
      </w:r>
    </w:p>
    <w:p/>
    <w:p>
      <w:pPr>
        <w:jc w:val="center"/>
      </w:pPr>
      <w:r>
        <w:rPr>
          <w:b/>
          <w:color w:val="333333"/>
          <w:sz w:val="22"/>
        </w:rPr>
        <w:t xml:space="preserve">Company: </w:t>
      </w:r>
      <w:r>
        <w:rPr>
          <w:color w:val="2F544A"/>
          <w:sz w:val="22"/>
        </w:rPr>
        <w:t>{{company_name}}</w:t>
      </w:r>
    </w:p>
    <w:p>
      <w:pPr>
        <w:jc w:val="center"/>
      </w:pPr>
      <w:r>
        <w:rPr>
          <w:b/>
          <w:color w:val="333333"/>
          <w:sz w:val="22"/>
        </w:rPr>
        <w:t xml:space="preserve">Reporting period: </w:t>
      </w:r>
      <w:r>
        <w:rPr>
          <w:color w:val="2F544A"/>
          <w:sz w:val="22"/>
        </w:rPr>
        <w:t>{{reporting_period}}</w:t>
      </w:r>
    </w:p>
    <w:p>
      <w:pPr>
        <w:jc w:val="center"/>
      </w:pPr>
      <w:r>
        <w:rPr>
          <w:b/>
          <w:color w:val="333333"/>
          <w:sz w:val="22"/>
        </w:rPr>
        <w:t xml:space="preserve">Fiscal year: </w:t>
      </w:r>
      <w:r>
        <w:rPr>
          <w:color w:val="2F544A"/>
          <w:sz w:val="22"/>
        </w:rPr>
        <w:t>{{fiscal_year}}</w:t>
      </w:r>
    </w:p>
    <w:p>
      <w:pPr>
        <w:jc w:val="center"/>
      </w:pPr>
      <w:r>
        <w:rPr>
          <w:b/>
          <w:color w:val="333333"/>
          <w:sz w:val="22"/>
        </w:rPr>
        <w:t xml:space="preserve">Prepared by: </w:t>
      </w:r>
      <w:r>
        <w:rPr>
          <w:color w:val="2F544A"/>
          <w:sz w:val="22"/>
        </w:rPr>
        <w:t>{{author}}</w:t>
      </w:r>
    </w:p>
    <w:p>
      <w:pPr>
        <w:jc w:val="center"/>
      </w:pPr>
      <w:r>
        <w:rPr>
          <w:b/>
          <w:color w:val="333333"/>
          <w:sz w:val="22"/>
        </w:rPr>
        <w:t xml:space="preserve">Reviewed by: </w:t>
      </w:r>
      <w:r>
        <w:rPr>
          <w:color w:val="2F544A"/>
          <w:sz w:val="22"/>
        </w:rPr>
        <w:t>{{reviewer}}</w:t>
      </w:r>
    </w:p>
    <w:p>
      <w:pPr>
        <w:jc w:val="center"/>
      </w:pPr>
      <w:r>
        <w:rPr>
          <w:b/>
          <w:color w:val="333333"/>
          <w:sz w:val="22"/>
        </w:rPr>
        <w:t xml:space="preserve">Version: </w:t>
      </w:r>
      <w:r>
        <w:rPr>
          <w:color w:val="2F544A"/>
          <w:sz w:val="22"/>
        </w:rPr>
        <w:t>{{version}}</w:t>
      </w:r>
    </w:p>
    <w:p>
      <w:pPr>
        <w:jc w:val="center"/>
      </w:pPr>
      <w:r>
        <w:rPr>
          <w:b/>
          <w:color w:val="333333"/>
          <w:sz w:val="22"/>
        </w:rPr>
        <w:t xml:space="preserve">Publication date: </w:t>
      </w:r>
      <w:r>
        <w:rPr>
          <w:color w:val="2F544A"/>
          <w:sz w:val="22"/>
        </w:rPr>
        <w:t>{{publication_date}}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{{company_name}} Annual Report {{fiscal_year}}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Document owner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{{author}}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Reviewed by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{{reviewer}}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{{approver}}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Internal — Management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{{version}}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Reporting period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{{reporting_period}}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{{draft_date}}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{{author}}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Initial draft structure and data collection plan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0.9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{{review_date}}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{{author}}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Incorporated finance and operations feedback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{{publication_date}}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{{author}}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Final approved release</w:t>
            </w:r>
          </w:p>
        </w:tc>
      </w:tr>
    </w:tbl>
    <w:p>
      <w:pPr>
        <w:pStyle w:val="AnnualCaption"/>
      </w:pPr>
      <w:r>
        <w:t>This template demonstrates the annual reporting instruction engine. All {{variable}} placeholders are resolved at merge time against the reporting context.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end"/>
      </w:r>
    </w:p>
    <w:p>
      <w:pPr>
        <w:pStyle w:val="AnnualCaption"/>
      </w:pPr>
      <w:r>
        <w:t>Right-click the table of contents in Word and choose "Update Field" to refresh page numbers.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AnnualBody"/>
      </w:pPr>
      <w:r>
        <w:t>Fiscal year {{fiscal_year}} was a year of disciplined growth for {{company_name}}. Revenue reached {{revenue_total}}, an increase of {{revenue_growth_pct}} compared with the prior year, while operating margin improved to {{operating_margin_pct}}. The company closed the year with {{headcount_total}} employees across {{site_count}} sites.</w:t>
      </w:r>
    </w:p>
    <w:p>
      <w:pPr>
        <w:pStyle w:val="AnnualBody"/>
      </w:pPr>
      <w:r>
        <w:t>This report consolidates financial, operational, commercial and sustainability results for the reporting period {{reporting_period}}. It was prepared by {{author}} and reviewed by {{reviewer}}.</w:t>
      </w:r>
    </w:p>
    <w:p>
      <w:pPr>
        <w:pStyle w:val="Heading2"/>
      </w:pPr>
      <w:r>
        <w:t>1.1 Key Highlights</w:t>
      </w:r>
    </w:p>
    <w:p>
      <w:pPr>
        <w:pStyle w:val="ListBullet"/>
      </w:pPr>
      <w:r>
        <w:t>Revenue of {{revenue_total}}, up {{revenue_growth_pct}} year over year.</w:t>
      </w:r>
    </w:p>
    <w:p>
      <w:pPr>
        <w:pStyle w:val="ListBullet"/>
      </w:pPr>
      <w:r>
        <w:t>Operating margin of {{operating_margin_pct}}, an improvement of {{margin_delta_pts}} points.</w:t>
      </w:r>
    </w:p>
    <w:p>
      <w:pPr>
        <w:pStyle w:val="ListBullet"/>
      </w:pPr>
      <w:r>
        <w:t>Net promoter score of {{nps_score}}, the highest recorded since baseline measurement began.</w:t>
      </w:r>
    </w:p>
    <w:p>
      <w:pPr>
        <w:pStyle w:val="ListBullet"/>
      </w:pPr>
      <w:r>
        <w:t>Successful commissioning of the {{flagship_project}} programme, delivered {{flagship_delay}} against plan.</w:t>
      </w:r>
    </w:p>
    <w:p>
      <w:pPr>
        <w:pStyle w:val="ListBullet"/>
      </w:pPr>
      <w:r>
        <w:t>Lost-time injury frequency rate reduced to {{ltifr_value}} per million hours worked.</w:t>
      </w:r>
    </w:p>
    <w:p>
      <w:pPr>
        <w:pStyle w:val="Heading2"/>
      </w:pPr>
      <w:r>
        <w:t>1.2 Message from the Managing Director</w:t>
      </w:r>
    </w:p>
    <w:p>
      <w:pPr>
        <w:pStyle w:val="AnnualCallout"/>
      </w:pPr>
      <w:r>
        <w:t>"{{company_name}} enters the next fiscal year with a stronger balance sheet, a more resilient supply chain and a clear investment thesis. Our people delivered {{revenue_total}} of revenue while reducing unit costs by {{unit_cost_reduction_pct}}. I want to thank every team for the rigour they brought to execution this year." — {{ceo_name}}, Managing Director.</w:t>
      </w:r>
    </w:p>
    <w:p>
      <w:r>
        <w:br w:type="page"/>
      </w:r>
    </w:p>
    <w:p>
      <w:pPr>
        <w:pStyle w:val="Heading1"/>
      </w:pPr>
      <w:r>
        <w:t>2. Company Profile and Strategy</w:t>
      </w:r>
    </w:p>
    <w:p>
      <w:pPr>
        <w:pStyle w:val="AnnualBody"/>
      </w:pPr>
      <w:r>
        <w:t>{{company_name}} is a fictional industrial services group headquartered in {{hq_city}}. The company designs, builds and maintains monitoring systems for critical infrastructure operators in the energy, water and transport sectors.</w:t>
      </w:r>
    </w:p>
    <w:p>
      <w:pPr>
        <w:pStyle w:val="Heading2"/>
      </w:pPr>
      <w:r>
        <w:t>2.1 Business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Revenue share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Headcount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Primary markets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Infrastructure Monitoring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{{seg_monitoring_share}}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{{seg_monitoring_hc}}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Energy, water utilities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Field Services &amp; Maintenance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{{seg_services_share}}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{{seg_services_hc}}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Transport, telecom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Software &amp; Analytics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{{seg_software_share}}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{{seg_software_hc}}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All segments (cross-sell)</w:t>
            </w:r>
          </w:p>
        </w:tc>
      </w:tr>
    </w:tbl>
    <w:p>
      <w:pPr>
        <w:pStyle w:val="AnnualCaption"/>
      </w:pPr>
      <w:r>
        <w:t>Table 2.1 — Segment overview for {{fiscal_year}}. Figures are illustrative.</w:t>
      </w:r>
    </w:p>
    <w:p>
      <w:pPr>
        <w:pStyle w:val="Heading2"/>
      </w:pPr>
      <w:r>
        <w:t>2.2 Strategic Pillars</w:t>
      </w:r>
    </w:p>
    <w:p>
      <w:pPr>
        <w:pStyle w:val="ListNumber"/>
      </w:pPr>
      <w:r>
        <w:t>Reliability first: maintain fleet availability above {{availability_target}} across all managed assets.</w:t>
      </w:r>
    </w:p>
    <w:p>
      <w:pPr>
        <w:pStyle w:val="ListNumber"/>
      </w:pPr>
      <w:r>
        <w:t>Digital twin coverage: extend telemetry coverage to {{telemetry_target}} of monitored devices.</w:t>
      </w:r>
    </w:p>
    <w:p>
      <w:pPr>
        <w:pStyle w:val="ListNumber"/>
      </w:pPr>
      <w:r>
        <w:t>Operational excellence: reduce cost-to-serve by {{cost_serve_target}} over the next two fiscal years.</w:t>
      </w:r>
    </w:p>
    <w:p>
      <w:pPr>
        <w:pStyle w:val="ListNumber"/>
      </w:pPr>
      <w:r>
        <w:t>People: keep voluntary attrition below {{attrition_target}} while scaling critical skills.</w:t>
      </w:r>
    </w:p>
    <w:p>
      <w:pPr>
        <w:pStyle w:val="Heading2"/>
      </w:pPr>
      <w:r>
        <w:t>2.3 Organisational Structure</w:t>
      </w:r>
    </w:p>
    <w:p>
      <w:pPr>
        <w:pStyle w:val="AnnualBody"/>
      </w:pPr>
      <w:r>
        <w:t>The group is organised into three operating segments reporting to the executive committee, supported by shared functions (finance, people, legal, and digital). Each segment is led by a director with full profit-and-loss accountability. Regional delivery is organised around the {{region_count}} operating regions listed in section 5.</w:t>
      </w:r>
    </w:p>
    <w:p>
      <w:r>
        <w:br w:type="page"/>
      </w:r>
    </w:p>
    <w:p>
      <w:pPr>
        <w:pStyle w:val="Heading1"/>
      </w:pPr>
      <w:r>
        <w:t>3. Financial Review</w:t>
      </w:r>
    </w:p>
    <w:p>
      <w:pPr>
        <w:pStyle w:val="AnnualBody"/>
      </w:pPr>
      <w:r>
        <w:t>The consolidated income statement below summarises performance for {{reporting_period}}. All amounts are expressed in {{currency}} unless otherwise stated.</w:t>
      </w:r>
    </w:p>
    <w:p>
      <w:pPr>
        <w:pStyle w:val="Heading2"/>
      </w:pPr>
      <w:r>
        <w:t>3.1 Consolidated Income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shd w:val="clear" w:fill="2F544A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{{fiscal_year}}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Prior year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Variance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Revenue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{{revenue_total}}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{{revenue_prior}}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{{revenue_growth_pct}}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Cost of goods sold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{{cogs_total}}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{{cogs_prior}}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{{cogs_var_pct}}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Gross profit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{{gross_profit}}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{{gross_profit_prior}}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{{gross_margin_pct}}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Operating expenses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{{opex_total}}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{{opex_prior}}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{{opex_var_pct}}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EBITDA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{{ebitda}}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{{ebitda_prior}}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{{ebitda_var_pct}}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Depreciation &amp; amortisation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{{da_total}}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{{da_prior}}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Operating profit (EBIT)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{{ebit}}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{{ebit_prior}}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{{ebit_var_pct}}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Net financial result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{{net_fin}}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{{net_fin_prior}}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Profit before tax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{{pbt}}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{{pbt_prior}}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{{pbt_var_pct}}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Income tax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{{tax}}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{{tax_prior}}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3685"/>
          </w:tcPr>
          <w:p>
            <w:r>
              <w:rPr>
                <w:color w:val="333333"/>
                <w:sz w:val="20"/>
              </w:rPr>
              <w:t>Net profit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{{net_profit}}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{{net_profit_prior}}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{{net_margin_pct}}</w:t>
            </w:r>
          </w:p>
        </w:tc>
      </w:tr>
    </w:tbl>
    <w:p>
      <w:pPr>
        <w:pStyle w:val="AnnualCaption"/>
      </w:pPr>
      <w:r>
        <w:t>Table 3.1 — Consolidated income statement (fictional figures, for template demonstration only).</w:t>
      </w:r>
    </w:p>
    <w:p>
      <w:pPr>
        <w:pStyle w:val="Heading2"/>
      </w:pPr>
      <w:r>
        <w:t>3.2 Revenue by Quarter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Quarter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Revenue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Operating margin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Order intake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Q1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{{q1_revenue}}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{{q1_margin}}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{{q1_intake}}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Q2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{{q2_revenue}}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{{q2_margin}}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{{q2_intake}}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Q3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{{q3_revenue}}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{{q3_margin}}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{{q3_intake}}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Q4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{{q4_revenue}}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{{q4_margin}}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{{q4_intake}}</w:t>
            </w:r>
          </w:p>
        </w:tc>
      </w:tr>
    </w:tbl>
    <w:p>
      <w:pPr>
        <w:pStyle w:val="AnnualCaption"/>
      </w:pPr>
      <w:r>
        <w:t>Table 3.2 — Quarterly revenue phasing for {{fiscal_year}}.</w:t>
      </w:r>
    </w:p>
    <w:p>
      <w:pPr>
        <w:pStyle w:val="AnnualBody"/>
      </w:pPr>
      <w:r>
        <w:t>The second half of the year contributed {{h2_share}} of full-year revenue, consistent with the seasonal delivery pattern of infrastructure programmes. Order intake finished the year at a record {{order_intake_total}}, giving a book-to-bill ratio of {{book_to_bill}}.</w:t>
      </w:r>
    </w:p>
    <w:p>
      <w:pPr>
        <w:pStyle w:val="Heading2"/>
      </w:pPr>
      <w:r>
        <w:t>3.3 Balance Sheet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{{fiscal_year}}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Prior year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Cash and equivalents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{{cash}}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{{cash_prior}}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Trade receivables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{{receivables}}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{{receivables_prior}}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Inventories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{{inventories}}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{{inventories_prior}}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Total assets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{{total_assets}}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{{total_assets_prior}}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Net debt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{{net_debt}}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{{net_debt_prior}}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Equity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{{equity}}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{{equity_prior}}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Gearing ratio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{{gearing}}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{{gearing_prior}}</w:t>
            </w:r>
          </w:p>
        </w:tc>
      </w:tr>
    </w:tbl>
    <w:p>
      <w:pPr>
        <w:pStyle w:val="AnnualCaption"/>
      </w:pPr>
      <w:r>
        <w:t>Table 3.3 — Abridged balance sheet at year end {{fiscal_year}}.</w:t>
      </w:r>
    </w:p>
    <w:p>
      <w:r>
        <w:br w:type="page"/>
      </w:r>
    </w:p>
    <w:p>
      <w:pPr>
        <w:pStyle w:val="Heading1"/>
      </w:pPr>
      <w:r>
        <w:t>4. Key Performance Indicators</w:t>
      </w:r>
    </w:p>
    <w:p>
      <w:pPr>
        <w:pStyle w:val="AnnualBody"/>
      </w:pPr>
      <w:r>
        <w:t>The executive dashboard tracks twelve KPIs across financial, customer, operational and people dimensions. Targets are set annually by the executive committee and reviewed quarterly.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val="clear" w:fill="2F544A"/>
          </w:tcPr>
          <w:p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134"/>
            <w:shd w:val="clear" w:fill="2F544A"/>
          </w:tcPr>
          <w:p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1701"/>
            <w:shd w:val="clear" w:fill="2F544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Revenue growth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{{kpi_rev_target}}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{{kpi_rev_actual}}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On track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Operating margin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{{kpi_margin_target}}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{{kpi_margin_actual}}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On track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Fleet availability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{{kpi_avail_target}}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{{kpi_avail_actual}}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Exceeded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Customer NPS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score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{{kpi_nps_target}}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{{kpi_nps_actual}}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Exceeded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On-time delivery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{{kpi_otd_target}}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{{kpi_otd_actual}}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Watch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LTIFR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per Mh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{{kpi_ltifr_target}}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{{kpi_ltifr_actual}}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Exceeded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Voluntary attrition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{{kpi_attr_target}}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{{kpi_attr_actual}}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On track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Telemetry coverage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{{kpi_tele_target}}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{{kpi_tele_actual}}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Watch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Cash conversion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{{kpi_cash_target}}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{{kpi_cash_actual}}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On track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R&amp;D intensity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{{kpi_rd_target}}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{{kpi_rd_actual}}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On track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Supplier OTIF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{{kpi_otif_target}}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{{kpi_otif_actual}}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Watch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CO₂ intensity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t/M€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{{kpi_co2_target}}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{{kpi_co2_actual}}</w:t>
            </w:r>
          </w:p>
        </w:tc>
        <w:tc>
          <w:tcPr>
            <w:tcW w:type="dxa" w:w="1701"/>
          </w:tcPr>
          <w:p>
            <w:r>
              <w:rPr>
                <w:color w:val="333333"/>
                <w:sz w:val="20"/>
              </w:rPr>
              <w:t>Exceeded</w:t>
            </w:r>
          </w:p>
        </w:tc>
      </w:tr>
    </w:tbl>
    <w:p>
      <w:pPr>
        <w:pStyle w:val="AnnualCaption"/>
      </w:pPr>
      <w:r>
        <w:t>Table 4.1 — KPI dashboard for {{fiscal_year}}. "Watch" items carry an active remediation plan.</w:t>
      </w:r>
    </w:p>
    <w:p>
      <w:pPr>
        <w:pStyle w:val="Heading2"/>
      </w:pPr>
      <w:r>
        <w:t>4.1 Commentary on Watch Items</w:t>
      </w:r>
    </w:p>
    <w:p>
      <w:pPr>
        <w:pStyle w:val="AnnualBody"/>
      </w:pPr>
      <w:r>
        <w:t>On-time delivery finished the year at {{kpi_otd_actual}} against a target of {{kpi_otd_target}}, mainly due to component shortages in Q2. A dual-sourcing programme launched in Q3 restored buffer stock, and delivery performance recovered to {{otd_q4}} in the final quarter.</w:t>
      </w:r>
    </w:p>
    <w:p>
      <w:pPr>
        <w:pStyle w:val="AnnualBody"/>
      </w:pPr>
      <w:r>
        <w:t>Telemetry coverage reached {{kpi_tele_actual}}. The remaining gap is concentrated in legacy devices installed before {{legacy_cutoff_year}}; a retrofit programme is budgeted for next fiscal year.</w:t>
      </w:r>
    </w:p>
    <w:p>
      <w:r>
        <w:br w:type="page"/>
      </w:r>
    </w:p>
    <w:p>
      <w:pPr>
        <w:pStyle w:val="Heading1"/>
      </w:pPr>
      <w:r>
        <w:t>5. Operational Review</w:t>
      </w:r>
    </w:p>
    <w:p>
      <w:pPr>
        <w:pStyle w:val="Heading2"/>
      </w:pPr>
      <w:r>
        <w:t>5.1 Regional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Revenue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Sites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Devices under monitoring</w:t>
            </w:r>
          </w:p>
        </w:tc>
        <w:tc>
          <w:tcPr>
            <w:tcW w:type="dxa" w:w="1728"/>
            <w:shd w:val="clear" w:fill="2F544A"/>
          </w:tcPr>
          <w:p>
            <w:r>
              <w:rPr>
                <w:b/>
                <w:color w:val="FFFFFF"/>
                <w:sz w:val="20"/>
              </w:rPr>
              <w:t>Availability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North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{{reg_north_rev}}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{{reg_north_sites}}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{{reg_north_dev}}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{{reg_north_avail}}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South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{{reg_south_rev}}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{{reg_south_sites}}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{{reg_south_dev}}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{{reg_south_avail}}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East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{{reg_east_rev}}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{{reg_east_sites}}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{{reg_east_dev}}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{{reg_east_avail}}</w:t>
            </w:r>
          </w:p>
        </w:tc>
      </w:tr>
      <w:tr>
        <w:tc>
          <w:tcPr>
            <w:tcW w:type="dxa" w:w="1728"/>
          </w:tcPr>
          <w:p>
            <w:r>
              <w:rPr>
                <w:color w:val="333333"/>
                <w:sz w:val="20"/>
              </w:rPr>
              <w:t>West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{{reg_west_rev}}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{{reg_west_sites}}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{{reg_west_dev}}</w:t>
            </w:r>
          </w:p>
        </w:tc>
        <w:tc>
          <w:tcPr>
            <w:tcW w:type="dxa" w:w="1728"/>
          </w:tcPr>
          <w:p>
            <w:r>
              <w:rPr>
                <w:color w:val="333333"/>
                <w:sz w:val="20"/>
              </w:rPr>
              <w:t>{{reg_west_avail}}</w:t>
            </w:r>
          </w:p>
        </w:tc>
      </w:tr>
    </w:tbl>
    <w:p>
      <w:pPr>
        <w:pStyle w:val="AnnualCaption"/>
      </w:pPr>
      <w:r>
        <w:t>Table 5.1 — Regional split of activity for {{reporting_period}}.</w:t>
      </w:r>
    </w:p>
    <w:p>
      <w:pPr>
        <w:pStyle w:val="Heading2"/>
      </w:pPr>
      <w:r>
        <w:t>5.2 Service Delivery</w:t>
      </w:r>
    </w:p>
    <w:p>
      <w:pPr>
        <w:pStyle w:val="AnnualBody"/>
      </w:pPr>
      <w:r>
        <w:t>During {{fiscal_year}}, field teams completed {{interventions_total}} planned and corrective interventions. First-time-fix rate reached {{ftf_rate}}, and mean time to repair improved from {{mttr_prior}} to {{mttr_actual}}.</w:t>
      </w:r>
    </w:p>
    <w:p>
      <w:pPr>
        <w:pStyle w:val="ListBullet"/>
      </w:pPr>
      <w:r>
        <w:t>Preventive maintenance completion: {{pm_completion}} of the annual plan.</w:t>
      </w:r>
    </w:p>
    <w:p>
      <w:pPr>
        <w:pStyle w:val="ListBullet"/>
      </w:pPr>
      <w:r>
        <w:t>Emergency call-outs answered within SLA: {{sla_response}}.</w:t>
      </w:r>
    </w:p>
    <w:p>
      <w:pPr>
        <w:pStyle w:val="ListBullet"/>
      </w:pPr>
      <w:r>
        <w:t>Spare parts fill rate: {{spare_fill_rate}}.</w:t>
      </w:r>
    </w:p>
    <w:p>
      <w:pPr>
        <w:pStyle w:val="Heading2"/>
      </w:pPr>
      <w:r>
        <w:t>5.3 Fleet and Asset Base</w:t>
      </w:r>
    </w:p>
    <w:p>
      <w:pPr>
        <w:pStyle w:val="AnnualBody"/>
      </w:pPr>
      <w:r>
        <w:t>The monitored fleet grew to {{fleet_total}} devices, of which {{fleet_connected}} are connected to the central telemetry platform. The oldest devices in service date from {{oldest_device_year}}; the depreciation profile of the fleet is reviewed annually by the asset committee.</w:t>
      </w:r>
    </w:p>
    <w:p>
      <w:r>
        <w:br w:type="page"/>
      </w:r>
    </w:p>
    <w:p>
      <w:pPr>
        <w:pStyle w:val="Heading1"/>
      </w:pPr>
      <w:r>
        <w:t>6. Commercial Review</w:t>
      </w:r>
    </w:p>
    <w:p>
      <w:pPr>
        <w:pStyle w:val="Heading2"/>
      </w:pPr>
      <w:r>
        <w:t>6.1 Order Book</w:t>
      </w:r>
    </w:p>
    <w:p>
      <w:pPr>
        <w:pStyle w:val="AnnualBody"/>
      </w:pPr>
      <w:r>
        <w:t>The closing order book stood at {{backlog_total}}, equivalent to {{backlog_months}} months of revenue. The largest single contract signed during the year was the {{flagship_project}} framework agreement, valued at {{flagship_value}} over {{flagship_duration}}.</w:t>
      </w:r>
    </w:p>
    <w:p>
      <w:pPr>
        <w:pStyle w:val="Heading2"/>
      </w:pPr>
      <w:r>
        <w:t>6.2 Customer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Customer tier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Revenue share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Retention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Strategic (&gt; {{tier1_threshold}} revenue)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{{tier1_count}}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{{tier1_share}}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{{tier1_retention}}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Core ({{tier2_range}})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{{tier2_count}}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{{tier2_share}}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{{tier2_retention}}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Emerging (&lt; {{tier3_threshold}})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{{tier3_count}}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{{tier3_share}}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{{tier3_retention}}</w:t>
            </w:r>
          </w:p>
        </w:tc>
      </w:tr>
    </w:tbl>
    <w:p>
      <w:pPr>
        <w:pStyle w:val="AnnualCaption"/>
      </w:pPr>
      <w:r>
        <w:t>Table 6.1 — Customer segmentation at year end {{fiscal_year}}.</w:t>
      </w:r>
    </w:p>
    <w:p>
      <w:pPr>
        <w:pStyle w:val="Heading2"/>
      </w:pPr>
      <w:r>
        <w:t>6.3 Market Outlook</w:t>
      </w:r>
    </w:p>
    <w:p>
      <w:pPr>
        <w:pStyle w:val="AnnualBody"/>
      </w:pPr>
      <w:r>
        <w:t>Regulatory pressure on critical-infrastructure resilience continues to drive demand for continuous monitoring. The addressable market is estimated at {{tam_estimate}}, growing at {{tam_cagr}} per year. {{company_name}} enters next fiscal year with {{pipeline_value}} of qualified pipeline.</w:t>
      </w:r>
    </w:p>
    <w:p>
      <w:r>
        <w:br w:type="page"/>
      </w:r>
    </w:p>
    <w:p>
      <w:pPr>
        <w:pStyle w:val="Heading1"/>
      </w:pPr>
      <w:r>
        <w:t>7. Major Projects and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val="clear" w:fill="2F544A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417"/>
            <w:shd w:val="clear" w:fill="2F544A"/>
          </w:tcPr>
          <w:p>
            <w:r>
              <w:rPr>
                <w:b/>
                <w:color w:val="FFFFFF"/>
                <w:sz w:val="20"/>
              </w:rPr>
              <w:t>Planned date</w:t>
            </w:r>
          </w:p>
        </w:tc>
        <w:tc>
          <w:tcPr>
            <w:tcW w:type="dxa" w:w="1417"/>
            <w:shd w:val="clear" w:fill="2F544A"/>
          </w:tcPr>
          <w:p>
            <w:r>
              <w:rPr>
                <w:b/>
                <w:color w:val="FFFFFF"/>
                <w:sz w:val="20"/>
              </w:rPr>
              <w:t>Actual date</w:t>
            </w:r>
          </w:p>
        </w:tc>
        <w:tc>
          <w:tcPr>
            <w:tcW w:type="dxa" w:w="1134"/>
            <w:shd w:val="clear" w:fill="2F544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551"/>
            <w:shd w:val="clear" w:fill="2F544A"/>
          </w:tcPr>
          <w:p>
            <w:r>
              <w:rPr>
                <w:b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{{flagship_project}} — phase 1 go-live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{{ms1_plan}}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{{ms1_actual}}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Done</w:t>
            </w:r>
          </w:p>
        </w:tc>
        <w:tc>
          <w:tcPr>
            <w:tcW w:type="dxa" w:w="2551"/>
          </w:tcPr>
          <w:p>
            <w:r>
              <w:rPr>
                <w:color w:val="333333"/>
                <w:sz w:val="20"/>
              </w:rPr>
              <w:t>Accepted without reservation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Telemetry platform v{{platform_version}} release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{{ms2_plan}}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{{ms2_actual}}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Done</w:t>
            </w:r>
          </w:p>
        </w:tc>
        <w:tc>
          <w:tcPr>
            <w:tcW w:type="dxa" w:w="2551"/>
          </w:tcPr>
          <w:p>
            <w:r>
              <w:rPr>
                <w:color w:val="333333"/>
                <w:sz w:val="20"/>
              </w:rPr>
              <w:t>Rolled out to all regions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Regional hub {{hub_name}} commissioning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{{ms3_plan}}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{{ms3_actual}}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Done</w:t>
            </w:r>
          </w:p>
        </w:tc>
        <w:tc>
          <w:tcPr>
            <w:tcW w:type="dxa" w:w="2551"/>
          </w:tcPr>
          <w:p>
            <w:r>
              <w:rPr>
                <w:color w:val="333333"/>
                <w:sz w:val="20"/>
              </w:rPr>
              <w:t>Opened with {{hub_staff}} staff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Legacy device retrofit wave 1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{{ms4_plan}}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{{ms4_actual}}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Delayed</w:t>
            </w:r>
          </w:p>
        </w:tc>
        <w:tc>
          <w:tcPr>
            <w:tcW w:type="dxa" w:w="2551"/>
          </w:tcPr>
          <w:p>
            <w:r>
              <w:rPr>
                <w:color w:val="333333"/>
                <w:sz w:val="20"/>
              </w:rPr>
              <w:t>Rescheduled to next fiscal year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20"/>
              </w:rPr>
              <w:t>ISO 27001 surveillance audit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{{ms5_plan}}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{{ms5_actual}}</w:t>
            </w:r>
          </w:p>
        </w:tc>
        <w:tc>
          <w:tcPr>
            <w:tcW w:type="dxa" w:w="1134"/>
          </w:tcPr>
          <w:p>
            <w:r>
              <w:rPr>
                <w:color w:val="333333"/>
                <w:sz w:val="20"/>
              </w:rPr>
              <w:t>Done</w:t>
            </w:r>
          </w:p>
        </w:tc>
        <w:tc>
          <w:tcPr>
            <w:tcW w:type="dxa" w:w="2551"/>
          </w:tcPr>
          <w:p>
            <w:r>
              <w:rPr>
                <w:color w:val="333333"/>
                <w:sz w:val="20"/>
              </w:rPr>
              <w:t>No major non-conformity</w:t>
            </w:r>
          </w:p>
        </w:tc>
      </w:tr>
    </w:tbl>
    <w:p>
      <w:pPr>
        <w:pStyle w:val="AnnualCaption"/>
      </w:pPr>
      <w:r>
        <w:t>Table 7.1 — Milestone register for {{fiscal_year}}.</w:t>
      </w:r>
    </w:p>
    <w:p>
      <w:pPr>
        <w:pStyle w:val="Heading2"/>
      </w:pPr>
      <w:r>
        <w:t>7.1 Lessons Learned</w:t>
      </w:r>
    </w:p>
    <w:p>
      <w:pPr>
        <w:pStyle w:val="ListBullet"/>
      </w:pPr>
      <w:r>
        <w:t>Early supplier involvement reduced phase 1 integration issues by {{integration_gain}}.</w:t>
      </w:r>
    </w:p>
    <w:p>
      <w:pPr>
        <w:pStyle w:val="ListBullet"/>
      </w:pPr>
      <w:r>
        <w:t>The retrofit wave slipped because site-access windows were negotiated too late; access agreements will be signed at contract award from now on.</w:t>
      </w:r>
    </w:p>
    <w:p>
      <w:pPr>
        <w:pStyle w:val="ListBullet"/>
      </w:pPr>
      <w:r>
        <w:t>Standardised commissioning checklists cut average site acceptance time to {{sat_duration}}.</w:t>
      </w:r>
    </w:p>
    <w:p>
      <w:r>
        <w:br w:type="page"/>
      </w:r>
    </w:p>
    <w:p>
      <w:pPr>
        <w:pStyle w:val="Heading1"/>
      </w:pPr>
      <w:r>
        <w:t>8. Risk Management</w:t>
      </w:r>
    </w:p>
    <w:p>
      <w:pPr>
        <w:pStyle w:val="AnnualBody"/>
      </w:pPr>
      <w:r>
        <w:t>The group risk register is reviewed quarterly by the audit and risk committee. The table below lists the top residual risks at year end {{fiscal_year}}.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  <w:shd w:val="clear" w:fill="2F544A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17"/>
            <w:shd w:val="clear" w:fill="2F544A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417"/>
            <w:shd w:val="clear" w:fill="2F544A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417"/>
            <w:shd w:val="clear" w:fill="2F544A"/>
          </w:tcPr>
          <w:p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1984"/>
            <w:shd w:val="clear" w:fill="2F544A"/>
          </w:tcPr>
          <w:p>
            <w:r>
              <w:rPr>
                <w:b/>
                <w:color w:val="FFFFFF"/>
                <w:sz w:val="20"/>
              </w:rPr>
              <w:t>Mitigation owner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Component supply disruption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High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{{risk1_rating}}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20"/>
              </w:rPr>
              <w:t>{{risk1_owner}}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Cyber intrusion on telemetry platform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High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{{risk2_rating}}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20"/>
              </w:rPr>
              <w:t>{{risk2_owner}}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Key-skills shortage in field services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High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{{risk3_rating}}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20"/>
              </w:rPr>
              <w:t>{{risk3_owner}}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Regulatory change (resilience directives)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Low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{{risk4_rating}}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20"/>
              </w:rPr>
              <w:t>{{risk4_owner}}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Customer concentration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type="dxa" w:w="1417"/>
          </w:tcPr>
          <w:p>
            <w:r>
              <w:rPr>
                <w:color w:val="333333"/>
                <w:sz w:val="20"/>
              </w:rPr>
              <w:t>{{risk5_rating}}</w:t>
            </w:r>
          </w:p>
        </w:tc>
        <w:tc>
          <w:tcPr>
            <w:tcW w:type="dxa" w:w="1984"/>
          </w:tcPr>
          <w:p>
            <w:r>
              <w:rPr>
                <w:color w:val="333333"/>
                <w:sz w:val="20"/>
              </w:rPr>
              <w:t>{{risk5_owner}}</w:t>
            </w:r>
          </w:p>
        </w:tc>
      </w:tr>
    </w:tbl>
    <w:p>
      <w:pPr>
        <w:pStyle w:val="AnnualCaption"/>
      </w:pPr>
      <w:r>
        <w:t>Table 8.1 — Top residual risks at year end {{fiscal_year}}.</w:t>
      </w:r>
    </w:p>
    <w:p>
      <w:pPr>
        <w:pStyle w:val="Heading2"/>
      </w:pPr>
      <w:r>
        <w:t>8.1 Internal Control</w:t>
      </w:r>
    </w:p>
    <w:p>
      <w:pPr>
        <w:pStyle w:val="AnnualBody"/>
      </w:pPr>
      <w:r>
        <w:t>Internal control activities are aligned with the three-lines model. During the year, {{audit_count}} internal audits were completed with {{audit_findings}} findings, of which {{audit_closed}} were closed before year end. No material weakness was identified.</w:t>
      </w:r>
    </w:p>
    <w:p>
      <w:r>
        <w:br w:type="page"/>
      </w:r>
    </w:p>
    <w:p>
      <w:pPr>
        <w:pStyle w:val="Heading1"/>
      </w:pPr>
      <w:r>
        <w:t>9. People and Organisation</w:t>
      </w:r>
    </w:p>
    <w:p>
      <w:pPr>
        <w:pStyle w:val="Heading2"/>
      </w:pPr>
      <w:r>
        <w:t>9.1 Workforce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{{fiscal_year}}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Prior year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Total headcount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{{headcount_total}}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{{headcount_prior}}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Field engineers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{{hc_field}}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{{hc_field_prior}}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Software engineers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{{hc_sw}}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{{hc_sw_prior}}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Support functions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{{hc_support}}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{{hc_support_prior}}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Voluntary attrition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{{attrition_actual}}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{{attrition_prior}}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Training hours per employee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{{training_hours}}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{{training_hours_prior}}</w:t>
            </w:r>
          </w:p>
        </w:tc>
      </w:tr>
    </w:tbl>
    <w:p>
      <w:pPr>
        <w:pStyle w:val="AnnualCaption"/>
      </w:pPr>
      <w:r>
        <w:t>Table 9.1 — Workforce indicators.</w:t>
      </w:r>
    </w:p>
    <w:p>
      <w:pPr>
        <w:pStyle w:val="Heading2"/>
      </w:pPr>
      <w:r>
        <w:t>9.2 Health and Safety</w:t>
      </w:r>
    </w:p>
    <w:p>
      <w:pPr>
        <w:pStyle w:val="AnnualBody"/>
      </w:pPr>
      <w:r>
        <w:t>No fatality and no permanent-disability injury occurred during {{reporting_period}}. The lost-time injury frequency rate stood at {{ltifr_value}} per million hours. {{safety_walks}} management safety walks were carried out across all sites.</w:t>
      </w:r>
    </w:p>
    <w:p>
      <w:r>
        <w:br w:type="page"/>
      </w:r>
    </w:p>
    <w:p>
      <w:pPr>
        <w:pStyle w:val="Heading1"/>
      </w:pPr>
      <w:r>
        <w:t>10. Sustainability</w:t>
      </w:r>
    </w:p>
    <w:p>
      <w:pPr>
        <w:pStyle w:val="Heading2"/>
      </w:pPr>
      <w:r>
        <w:t>10.1 Environmental Footprint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{{fiscal_year}}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Prior year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Scope 1 emissions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tCO₂e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{{scope1}}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{{scope1_prior}}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Scope 2 emissions (market-based)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tCO₂e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{{scope2}}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{{scope2_prior}}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Energy consumption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MWh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{{energy}}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{{energy_prior}}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Share of renewables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{{renewables}}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{{renewables_prior}}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Waste recycled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{{waste_recycled}}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{{waste_recycled_prior}}</w:t>
            </w:r>
          </w:p>
        </w:tc>
      </w:tr>
    </w:tbl>
    <w:p>
      <w:pPr>
        <w:pStyle w:val="AnnualCaption"/>
      </w:pPr>
      <w:r>
        <w:t>Table 10.1 — Environmental indicators (fictional).</w:t>
      </w:r>
    </w:p>
    <w:p>
      <w:pPr>
        <w:pStyle w:val="Heading2"/>
      </w:pPr>
      <w:r>
        <w:t>10.2 Social and Ethics</w:t>
      </w:r>
    </w:p>
    <w:p>
      <w:pPr>
        <w:pStyle w:val="AnnualBody"/>
      </w:pPr>
      <w:r>
        <w:t>All employees completed the annual ethics e-learning. {{whistle_reports}} reports were received through the confidential whistleblowing channel and investigated under the group ethics procedure. The company maintained its {{ethics_label}} certification.</w:t>
      </w:r>
    </w:p>
    <w:p>
      <w:r>
        <w:br w:type="page"/>
      </w:r>
    </w:p>
    <w:p>
      <w:pPr>
        <w:pStyle w:val="Heading1"/>
      </w:pPr>
      <w:r>
        <w:t>11. Governance</w:t>
      </w:r>
    </w:p>
    <w:p>
      <w:pPr>
        <w:pStyle w:val="AnnualBody"/>
      </w:pPr>
      <w:r>
        <w:t>The board of directors met {{board_meetings}} times during {{fiscal_year}} with an average attendance of {{board_attendance}}. The audit and risk committee met {{arc_meetings}} times; the remuneration committee met {{remco_meetings}} times.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Members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Meetings</w:t>
            </w:r>
          </w:p>
        </w:tc>
        <w:tc>
          <w:tcPr>
            <w:tcW w:type="dxa" w:w="2160"/>
            <w:shd w:val="clear" w:fill="2F544A"/>
          </w:tcPr>
          <w:p>
            <w:r>
              <w:rPr>
                <w:b/>
                <w:color w:val="FFFFFF"/>
                <w:sz w:val="20"/>
              </w:rPr>
              <w:t>Attendance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Board of directors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{{board_members}}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{{board_meetings}}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{{board_attendance}}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Audit &amp; risk committee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{{arc_members}}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{{arc_meetings}}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{{arc_attendance}}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Remuneration committee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{{remco_members}}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{{remco_meetings}}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{{remco_attendance}}</w:t>
            </w:r>
          </w:p>
        </w:tc>
      </w:tr>
      <w:tr>
        <w:tc>
          <w:tcPr>
            <w:tcW w:type="dxa" w:w="2160"/>
          </w:tcPr>
          <w:p>
            <w:r>
              <w:rPr>
                <w:color w:val="333333"/>
                <w:sz w:val="20"/>
              </w:rPr>
              <w:t>Executive committee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{{exco_members}}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{{exco_meetings}}</w:t>
            </w:r>
          </w:p>
        </w:tc>
        <w:tc>
          <w:tcPr>
            <w:tcW w:type="dxa" w:w="2160"/>
          </w:tcPr>
          <w:p>
            <w:r>
              <w:rPr>
                <w:color w:val="333333"/>
                <w:sz w:val="20"/>
              </w:rPr>
              <w:t>—</w:t>
            </w:r>
          </w:p>
        </w:tc>
      </w:tr>
    </w:tbl>
    <w:p>
      <w:pPr>
        <w:pStyle w:val="AnnualCaption"/>
      </w:pPr>
      <w:r>
        <w:t>Table 11.1 — Governance bodies and activity.</w:t>
      </w:r>
    </w:p>
    <w:p>
      <w:r>
        <w:br w:type="page"/>
      </w:r>
    </w:p>
    <w:p>
      <w:pPr>
        <w:pStyle w:val="Heading1"/>
      </w:pPr>
      <w:r>
        <w:t>12. Outlook for Next Fiscal Year</w:t>
      </w:r>
    </w:p>
    <w:p>
      <w:pPr>
        <w:pStyle w:val="AnnualBody"/>
      </w:pPr>
      <w:r>
        <w:t>For next fiscal year, {{company_name}} targets revenue of {{next_revenue_target}} and an operating margin between {{next_margin_range}}. Investment will focus on the telemetry platform roadmap, the legacy device retrofit programme, and selective bolt-on acquisitions in field services.</w:t>
      </w:r>
    </w:p>
    <w:p>
      <w:pPr>
        <w:pStyle w:val="ListNumber"/>
      </w:pPr>
      <w:r>
        <w:t>Grow recurring monitoring revenue to {{recurring_target}} of total revenue.</w:t>
      </w:r>
    </w:p>
    <w:p>
      <w:pPr>
        <w:pStyle w:val="ListNumber"/>
      </w:pPr>
      <w:r>
        <w:t>Complete retrofit wave 1 covering {{retrofit_wave1_count}} devices.</w:t>
      </w:r>
    </w:p>
    <w:p>
      <w:pPr>
        <w:pStyle w:val="ListNumber"/>
      </w:pPr>
      <w:r>
        <w:t>Launch the {{next_product}} analytics module.</w:t>
      </w:r>
    </w:p>
    <w:p>
      <w:pPr>
        <w:pStyle w:val="ListNumber"/>
      </w:pPr>
      <w:r>
        <w:t>Publish the first CSRD-aligned sustainability statement.</w:t>
      </w:r>
    </w:p>
    <w:p>
      <w:pPr>
        <w:pStyle w:val="Heading2"/>
      </w:pPr>
      <w:r>
        <w:t>12.1 Closing Statement</w:t>
      </w:r>
    </w:p>
    <w:p>
      <w:pPr>
        <w:pStyle w:val="AnnualCallout"/>
      </w:pPr>
      <w:r>
        <w:t>"The foundations laid in {{fiscal_year}} give us confidence for the year ahead. We will keep investing in reliability, in our people, and in the trust of the operators who depend on us." — {{ceo_name}}, Managing Director.</w:t>
      </w:r>
    </w:p>
    <w:p>
      <w:r>
        <w:br w:type="page"/>
      </w:r>
    </w:p>
    <w:p>
      <w:pPr>
        <w:pStyle w:val="Heading1"/>
      </w:pPr>
      <w:r>
        <w:t>13. Segment Deep-Dives</w:t>
      </w:r>
    </w:p>
    <w:p>
      <w:pPr>
        <w:pStyle w:val="Heading2"/>
      </w:pPr>
      <w:r>
        <w:t>13.1 Infrastructure Monitoring</w:t>
      </w:r>
    </w:p>
    <w:p>
      <w:pPr>
        <w:pStyle w:val="AnnualBody"/>
      </w:pPr>
      <w:r>
        <w:t>The Infrastructure Monitoring segment generated {{seg_monitoring_rev}} of revenue in {{fiscal_year}}, up {{seg_monitoring_growth}} year over year. Growth was driven by the rollout of continuous monitoring contracts in the water sector and by the first full year of the {{flagship_project}} programme. Recurring revenue now represents {{seg_monitoring_recurring}} of segment sales.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{{fiscal_year}}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Prior year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{{seg_monitoring_rev}}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{{seg_monitoring_rev_prior}}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Operating margin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{{seg_monitoring_margin}}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{{seg_monitoring_margin_prior}}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Devices under contract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{{seg_monitoring_devices}}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{{seg_monitoring_devices_prior}}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Average contract duration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{{seg_monitoring_duration}}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{{seg_monitoring_duration_prior}}</w:t>
            </w:r>
          </w:p>
        </w:tc>
      </w:tr>
    </w:tbl>
    <w:p>
      <w:pPr>
        <w:pStyle w:val="AnnualCaption"/>
      </w:pPr>
      <w:r>
        <w:t>Table 13.1 — Infrastructure Monitoring segment indicators.</w:t>
      </w:r>
    </w:p>
    <w:p>
      <w:pPr>
        <w:pStyle w:val="Heading2"/>
      </w:pPr>
      <w:r>
        <w:t>13.2 Field Services &amp; Maintenance</w:t>
      </w:r>
    </w:p>
    <w:p>
      <w:pPr>
        <w:pStyle w:val="AnnualBody"/>
      </w:pPr>
      <w:r>
        <w:t>Field Services delivered {{seg_services_rev}} of revenue with an operating margin of {{seg_services_margin}}. The segment absorbed the component shortage of Q2 through a dual-sourcing programme and protected service levels: emergency response SLA attainment remained at {{sla_response}}.</w:t>
      </w:r>
    </w:p>
    <w:p>
      <w:pPr>
        <w:pStyle w:val="Heading2"/>
      </w:pPr>
      <w:r>
        <w:t>13.3 Software &amp; Analytics</w:t>
      </w:r>
    </w:p>
    <w:p>
      <w:pPr>
        <w:pStyle w:val="AnnualBody"/>
      </w:pPr>
      <w:r>
        <w:t>The Software &amp; Analytics segment grew {{seg_software_growth}} to {{seg_software_rev}}, driven by subscriptions to the telemetry platform and by the first analytics module sales. R&amp;D investment reached {{kpi_rd_actual}} of segment revenue. The platform processed {{platform_events}} events during the year across {{fleet_connected}} connected devices.</w:t>
      </w:r>
    </w:p>
    <w:p>
      <w:r>
        <w:br w:type="page"/>
      </w:r>
    </w:p>
    <w:p>
      <w:pPr>
        <w:pStyle w:val="Heading1"/>
      </w:pPr>
      <w:r>
        <w:t>14. Detailed Quarterly Financials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  <w:shd w:val="clear" w:fill="2F544A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1474"/>
            <w:shd w:val="clear" w:fill="2F544A"/>
          </w:tcPr>
          <w:p>
            <w:r>
              <w:rPr>
                <w:b/>
                <w:color w:val="FFFFFF"/>
                <w:sz w:val="20"/>
              </w:rPr>
              <w:t>Q1</w:t>
            </w:r>
          </w:p>
        </w:tc>
        <w:tc>
          <w:tcPr>
            <w:tcW w:type="dxa" w:w="1474"/>
            <w:shd w:val="clear" w:fill="2F544A"/>
          </w:tcPr>
          <w:p>
            <w:r>
              <w:rPr>
                <w:b/>
                <w:color w:val="FFFFFF"/>
                <w:sz w:val="20"/>
              </w:rPr>
              <w:t>Q2</w:t>
            </w:r>
          </w:p>
        </w:tc>
        <w:tc>
          <w:tcPr>
            <w:tcW w:type="dxa" w:w="1474"/>
            <w:shd w:val="clear" w:fill="2F544A"/>
          </w:tcPr>
          <w:p>
            <w:r>
              <w:rPr>
                <w:b/>
                <w:color w:val="FFFFFF"/>
                <w:sz w:val="20"/>
              </w:rPr>
              <w:t>Q3</w:t>
            </w:r>
          </w:p>
        </w:tc>
        <w:tc>
          <w:tcPr>
            <w:tcW w:type="dxa" w:w="1474"/>
            <w:shd w:val="clear" w:fill="2F544A"/>
          </w:tcPr>
          <w:p>
            <w:r>
              <w:rPr>
                <w:b/>
                <w:color w:val="FFFFFF"/>
                <w:sz w:val="20"/>
              </w:rPr>
              <w:t>Q4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Revenue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{{q1_revenue}}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{{q2_revenue}}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{{q3_revenue}}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{{q4_revenue}}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Gross margin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{{q1_gm}}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{{q2_gm}}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{{q3_gm}}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{{q4_gm}}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Operating expenses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{{q1_opex}}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{{q2_opex}}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{{q3_opex}}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{{q4_opex}}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EBITDA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{{q1_ebitda}}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{{q2_ebitda}}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{{q3_ebitda}}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{{q4_ebitda}}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Net profit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{{q1_np}}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{{q2_np}}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{{q3_np}}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{{q4_np}}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Free cash flow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{{q1_fcf}}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{{q2_fcf}}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{{q3_fcf}}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{{q4_fcf}}</w:t>
            </w:r>
          </w:p>
        </w:tc>
      </w:tr>
      <w:tr>
        <w:tc>
          <w:tcPr>
            <w:tcW w:type="dxa" w:w="3118"/>
          </w:tcPr>
          <w:p>
            <w:r>
              <w:rPr>
                <w:color w:val="333333"/>
                <w:sz w:val="20"/>
              </w:rPr>
              <w:t>Headcount (end of quarter)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{{q1_hc}}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{{q2_hc}}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{{q3_hc}}</w:t>
            </w:r>
          </w:p>
        </w:tc>
        <w:tc>
          <w:tcPr>
            <w:tcW w:type="dxa" w:w="1474"/>
          </w:tcPr>
          <w:p>
            <w:r>
              <w:rPr>
                <w:color w:val="333333"/>
                <w:sz w:val="20"/>
              </w:rPr>
              <w:t>{{q4_hc}}</w:t>
            </w:r>
          </w:p>
        </w:tc>
      </w:tr>
    </w:tbl>
    <w:p>
      <w:pPr>
        <w:pStyle w:val="AnnualCaption"/>
      </w:pPr>
      <w:r>
        <w:t>Table 14.1 — Quarterly financial detail for {{fiscal_year}} (fictional figures).</w:t>
      </w:r>
    </w:p>
    <w:p>
      <w:pPr>
        <w:pStyle w:val="Heading2"/>
      </w:pPr>
      <w:r>
        <w:t>14.1 Seasonality Analysis</w:t>
      </w:r>
    </w:p>
    <w:p>
      <w:pPr>
        <w:pStyle w:val="AnnualBody"/>
      </w:pPr>
      <w:r>
        <w:t>Revenue phasing follows the historical pattern: infrastructure programmes are accepted predominantly in Q3 and Q4, while Q1 is structurally the softest quarter at {{q1_share}} of full-year revenue. Working capital peaks in Q2 as components are received ahead of summer commissioning campaigns; the cash conversion cycle averaged {{ccc_days}} days over the year.</w:t>
      </w:r>
    </w:p>
    <w:p>
      <w:pPr>
        <w:pStyle w:val="Heading2"/>
      </w:pPr>
      <w:r>
        <w:t>14.2 Capital Expenditure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Capex category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Test and calibration equipment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{{capex_equipment}}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{{capex_equipment_share}}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Telemetry platform development (capitalised)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{{capex_platform}}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{{capex_platform_share}}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Regional hub {{hub_name}} fit-out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{{capex_hub}}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{{capex_hub_share}}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Vehicles and field tooling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{{capex_fleet}}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{{capex_fleet_share}}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IT and cybersecurity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{{capex_it}}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{{capex_it_share}}</w:t>
            </w:r>
          </w:p>
        </w:tc>
      </w:tr>
    </w:tbl>
    <w:p>
      <w:pPr>
        <w:pStyle w:val="AnnualCaption"/>
      </w:pPr>
      <w:r>
        <w:t>Table 14.2 — Capital expenditure for {{fiscal_year}}, total {{capex_total}}.</w:t>
      </w:r>
    </w:p>
    <w:p>
      <w:r>
        <w:br w:type="page"/>
      </w:r>
    </w:p>
    <w:p>
      <w:pPr>
        <w:pStyle w:val="Heading1"/>
      </w:pPr>
      <w:r>
        <w:t>15. Reporting Methodology and Data Quality</w:t>
      </w:r>
    </w:p>
    <w:p>
      <w:pPr>
        <w:pStyle w:val="Heading2"/>
      </w:pPr>
      <w:r>
        <w:t>15.1 Scope and Consolidation</w:t>
      </w:r>
    </w:p>
    <w:p>
      <w:pPr>
        <w:pStyle w:val="AnnualBody"/>
      </w:pPr>
      <w:r>
        <w:t>This report covers all entities of the {{company_name}} group for the period {{reporting_period}}. Financial data are consolidated using the full consolidation method; the entity {{subsidiary_name}} acquired in {{acquisition_month}} is consolidated from its acquisition date. Environmental data cover {{env_scope_pct}} of the group's sites by floor area.</w:t>
      </w:r>
    </w:p>
    <w:p>
      <w:pPr>
        <w:pStyle w:val="Heading2"/>
      </w:pPr>
      <w:r>
        <w:t>15.2 Data Quality Controls</w:t>
      </w:r>
    </w:p>
    <w:p>
      <w:pPr>
        <w:pStyle w:val="ListNumber"/>
      </w:pPr>
      <w:r>
        <w:t>All KPI computations are versioned and reproducible via the reporting job {{reporting_job_ref}}.</w:t>
      </w:r>
    </w:p>
    <w:p>
      <w:pPr>
        <w:pStyle w:val="ListNumber"/>
      </w:pPr>
      <w:r>
        <w:t>Financial figures reconcile to the audited statutory accounts within {{recon_tolerance}}.</w:t>
      </w:r>
    </w:p>
    <w:p>
      <w:pPr>
        <w:pStyle w:val="ListNumber"/>
      </w:pPr>
      <w:r>
        <w:t>Telemetry-derived KPIs are cross-checked against a {{sample_pct}} manual sample each quarter.</w:t>
      </w:r>
    </w:p>
    <w:p>
      <w:pPr>
        <w:pStyle w:val="ListNumber"/>
      </w:pPr>
      <w:r>
        <w:t>Every table in this report carries a source reference in the consolidation workbook {{workbook_ref}}.</w:t>
      </w:r>
    </w:p>
    <w:p>
      <w:pPr>
        <w:pStyle w:val="Heading2"/>
      </w:pPr>
      <w:r>
        <w:t>15.3 External Assurance</w:t>
      </w:r>
    </w:p>
    <w:p>
      <w:pPr>
        <w:pStyle w:val="AnnualBody"/>
      </w:pPr>
      <w:r>
        <w:t>The statutory auditor {{auditor_name}} performed a limited-assurance review of the sustainability indicators in section 10. Their report is available under reference {{assurance_ref}}. No material misstatement was identified.</w:t>
      </w:r>
    </w:p>
    <w:p>
      <w:r>
        <w:br w:type="page"/>
      </w:r>
    </w:p>
    <w:p>
      <w:pPr>
        <w:pStyle w:val="Heading1"/>
      </w:pPr>
      <w:r>
        <w:t>16. Shareholder and Corporate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Legal form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{{legal_form}}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Registered office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{{hq_address}}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Registration number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{{registration_number}}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Share capital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{{share_capital}}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Principal shareholders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{{principal_shareholders}}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Statutory auditor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{{auditor_name}}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Financial calendar — next publication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{{next_publication_date}}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Investor contact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{{investor_contact}}</w:t>
            </w:r>
          </w:p>
        </w:tc>
      </w:tr>
    </w:tbl>
    <w:p>
      <w:pPr>
        <w:pStyle w:val="AnnualCaption"/>
      </w:pPr>
      <w:r>
        <w:t>Table 16.1 — Corporate information at year end {{fiscal_year}}.</w:t>
      </w:r>
    </w:p>
    <w:p>
      <w:pPr>
        <w:pStyle w:val="Heading2"/>
      </w:pPr>
      <w:r>
        <w:t>16.1 Proposed Allocation of Result</w:t>
      </w:r>
    </w:p>
    <w:p>
      <w:pPr>
        <w:pStyle w:val="AnnualBody"/>
      </w:pPr>
      <w:r>
        <w:t>The board will propose to the general meeting of {{agm_date}} the allocation of the net profit of {{net_profit}} as follows: {{dividend_amount}} distributed as dividends ({{dividend_per_share}} per share) and the balance allocated to retained earnings.</w:t>
      </w:r>
    </w:p>
    <w:p>
      <w:r>
        <w:br w:type="page"/>
      </w:r>
    </w:p>
    <w:p>
      <w:pPr>
        <w:pStyle w:val="Heading1"/>
      </w:pPr>
      <w:r>
        <w:t>Appendix A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val="clear" w:fill="2F544A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Share of time a monitored device is operational and reporting.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Book-to-bill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Order intake divided by revenue for the same period.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LTIFR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Lost-time injury frequency rate per million hours worked.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MTTR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Mean time to repair, from fault detection to service restoration.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NPS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Net promoter score, measured on the annual customer survey.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OTIF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On-time-in-full supplier delivery performance.</w:t>
            </w:r>
          </w:p>
        </w:tc>
      </w:tr>
      <w:tr>
        <w:tc>
          <w:tcPr>
            <w:tcW w:type="dxa" w:w="4320"/>
          </w:tcPr>
          <w:p>
            <w:r>
              <w:rPr>
                <w:color w:val="333333"/>
                <w:sz w:val="20"/>
              </w:rPr>
              <w:t>Telemetry coverage</w:t>
            </w:r>
          </w:p>
        </w:tc>
        <w:tc>
          <w:tcPr>
            <w:tcW w:type="dxa" w:w="4320"/>
          </w:tcPr>
          <w:p>
            <w:r>
              <w:rPr>
                <w:color w:val="333333"/>
                <w:sz w:val="20"/>
              </w:rPr>
              <w:t>Share of the monitored fleet connected to the central platform.</w:t>
            </w:r>
          </w:p>
        </w:tc>
      </w:tr>
    </w:tbl>
    <w:p>
      <w:pPr>
        <w:pStyle w:val="AnnualCaption"/>
      </w:pPr>
      <w:r>
        <w:t>Table A.1 — Glossary of terms used in this report.</w:t>
      </w:r>
    </w:p>
    <w:p>
      <w:pPr>
        <w:pStyle w:val="Heading1"/>
      </w:pPr>
      <w:r>
        <w:t>Appendix B — Variable Reference</w:t>
      </w:r>
    </w:p>
    <w:p>
      <w:pPr>
        <w:pStyle w:val="AnnualBody"/>
      </w:pPr>
      <w:r>
        <w:t>The following placeholders are resolved by the mail-merge engine when the template is instantiated. They are listed here for template maintainers.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Placeholder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fill="2F544A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{{company_name}}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Legal name of the reporting company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Northwind Infrastructure SAS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{{fiscal_year}}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Fiscal year covered by the report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FY2026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{{reporting_period}}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Human-readable reporting period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1 January – 31 December 2026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{{author}}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Person who prepared the report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A. Martin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{{reviewer}}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Person who reviewed the report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B. Dupont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{{approver}}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Person who approved the report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C. Leroy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{{version}}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Document version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color w:val="333333"/>
                <w:sz w:val="20"/>
              </w:rPr>
              <w:t>{{currency}}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Reporting currency</w:t>
            </w:r>
          </w:p>
        </w:tc>
        <w:tc>
          <w:tcPr>
            <w:tcW w:type="dxa" w:w="2880"/>
          </w:tcPr>
          <w:p>
            <w:r>
              <w:rPr>
                <w:color w:val="333333"/>
                <w:sz w:val="20"/>
              </w:rPr>
              <w:t>EUR</w:t>
            </w:r>
          </w:p>
        </w:tc>
      </w:tr>
    </w:tbl>
    <w:p>
      <w:pPr>
        <w:pStyle w:val="AnnualCaption"/>
      </w:pPr>
      <w:r>
        <w:t>Table B.1 — Core variable reference (non-exhaustive).</w:t>
      </w:r>
    </w:p>
    <w:p>
      <w:pPr>
        <w:pStyle w:val="Heading1"/>
      </w:pPr>
      <w:r>
        <w:t>Appendix C — Contact</w:t>
      </w:r>
    </w:p>
    <w:p>
      <w:pPr>
        <w:pStyle w:val="AnnualBody"/>
      </w:pPr>
      <w:r>
        <w:t>For questions about this report, contact {{author}} at {{contact_email}} or the group reporting team at {{reporting_email}}. The registered office of {{company_name}} is located at {{hq_address}}.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8F8C"/>
        <w:sz w:val="18"/>
      </w:rPr>
      <w:t xml:space="preserve">{{company_name}} Annual Report {{fiscal_year}}  —  Page </w:t>
    </w:r>
    <w:r>
      <w:rPr>
        <w:color w:val="8A8F8C"/>
        <w:sz w:val="18"/>
      </w:rPr>
      <w:fldChar w:fldCharType="begin"/>
      <w:instrText xml:space="preserve">PAGE</w:instrText>
      <w:fldChar w:fldCharType="end"/>
    </w:r>
    <w:r>
      <w:rPr>
        <w:color w:val="8A8F8C"/>
        <w:sz w:val="18"/>
      </w:rPr>
      <w:t xml:space="preserve"> of </w:t>
    </w:r>
    <w:r>
      <w:rPr>
        <w:color w:val="8A8F8C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A8F8C"/>
        <w:sz w:val="18"/>
      </w:rPr>
      <w:t>{{company_name}} — Annual Report {{fiscal_year}}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4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nualBody">
    <w:name w:val="AnnualBody"/>
    <w:basedOn w:val="Normal"/>
    <w:pPr>
      <w:spacing w:after="160" w:line="300" w:lineRule="auto"/>
    </w:pPr>
    <w:rPr>
      <w:rFonts w:ascii="Calibri" w:hAnsi="Calibri"/>
      <w:color w:val="333333"/>
      <w:sz w:val="22"/>
    </w:rPr>
  </w:style>
  <w:style w:type="paragraph" w:customStyle="1" w:styleId="AnnualCaption">
    <w:name w:val="AnnualCaption"/>
    <w:basedOn w:val="Normal"/>
    <w:pPr>
      <w:spacing w:before="40" w:after="200"/>
    </w:pPr>
    <w:rPr>
      <w:rFonts w:ascii="Calibri" w:hAnsi="Calibri"/>
      <w:i/>
      <w:color w:val="8A8F8C"/>
      <w:sz w:val="18"/>
    </w:rPr>
  </w:style>
  <w:style w:type="paragraph" w:customStyle="1" w:styleId="AnnualCallout">
    <w:name w:val="AnnualCallout"/>
    <w:basedOn w:val="Normal"/>
    <w:pPr>
      <w:spacing w:before="120" w:after="200"/>
      <w:ind w:left="454"/>
    </w:pPr>
    <w:rPr>
      <w:rFonts w:ascii="Calibri" w:hAnsi="Calibri"/>
      <w:i/>
      <w:color w:val="2F54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