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4BC953" w14:textId="77777777" w:rsidR="00385BAA" w:rsidRDefault="00385BAA" w:rsidP="00385BAA">
      <w:pPr>
        <w:pStyle w:val="Sansinterligne"/>
      </w:pPr>
      <w:r>
        <w:t>Comment procéder à l’exploitation des données en conformité avec la réglementation ?</w:t>
      </w:r>
    </w:p>
    <w:p w14:paraId="307736A4" w14:textId="491B7743" w:rsidR="00385BAA" w:rsidRPr="00035529" w:rsidRDefault="00385BAA" w:rsidP="00385BAA">
      <w:pPr>
        <w:pStyle w:val="Titre1"/>
        <w:numPr>
          <w:ilvl w:val="0"/>
          <w:numId w:val="0"/>
        </w:numPr>
        <w:ind w:left="720"/>
      </w:pPr>
      <w:r>
        <w:t>Introduction :</w:t>
      </w:r>
      <w:r w:rsidR="005D7549">
        <w:t xml:space="preserve"> </w:t>
      </w:r>
    </w:p>
    <w:p w14:paraId="687801FA" w14:textId="77777777" w:rsidR="00385BAA" w:rsidRPr="00E5173E" w:rsidRDefault="00385BAA" w:rsidP="00385BAA">
      <w:pPr>
        <w:rPr>
          <w:color w:val="538135" w:themeColor="accent6" w:themeShade="BF"/>
        </w:rPr>
      </w:pPr>
      <w:r w:rsidRPr="00E5173E">
        <w:rPr>
          <w:b/>
          <w:bCs/>
          <w:color w:val="538135" w:themeColor="accent6" w:themeShade="BF"/>
        </w:rPr>
        <w:t>Qu’est-ce que le RGPD ?</w:t>
      </w:r>
    </w:p>
    <w:p w14:paraId="5EF0C0D7" w14:textId="77777777" w:rsidR="00385BAA" w:rsidRPr="00E5173E" w:rsidRDefault="00385BAA" w:rsidP="00385BAA">
      <w:pPr>
        <w:rPr>
          <w:color w:val="538135" w:themeColor="accent6" w:themeShade="BF"/>
        </w:rPr>
      </w:pPr>
      <w:r w:rsidRPr="00E5173E">
        <w:rPr>
          <w:color w:val="538135" w:themeColor="accent6" w:themeShade="BF"/>
        </w:rPr>
        <w:t xml:space="preserve">C’est un règlement européen entré en vigueur en </w:t>
      </w:r>
      <w:r w:rsidRPr="00E5173E">
        <w:rPr>
          <w:b/>
          <w:bCs/>
          <w:color w:val="538135" w:themeColor="accent6" w:themeShade="BF"/>
        </w:rPr>
        <w:t>2016,</w:t>
      </w:r>
      <w:r w:rsidRPr="00E5173E">
        <w:rPr>
          <w:color w:val="538135" w:themeColor="accent6" w:themeShade="BF"/>
        </w:rPr>
        <w:t xml:space="preserve"> qui a pour but de renforcer </w:t>
      </w:r>
      <w:r w:rsidRPr="00E5173E">
        <w:rPr>
          <w:b/>
          <w:bCs/>
          <w:color w:val="538135" w:themeColor="accent6" w:themeShade="BF"/>
        </w:rPr>
        <w:t xml:space="preserve">le contrôle par les citoyens de l’utilisation de leurs données personnelles. Ce règlement offre aussi </w:t>
      </w:r>
      <w:r w:rsidRPr="00E5173E">
        <w:rPr>
          <w:color w:val="538135" w:themeColor="accent6" w:themeShade="BF"/>
        </w:rPr>
        <w:t xml:space="preserve">un cadre juridique précis permettant de développer des activités numériques au sein de l’Union européenne en considérant acquise la confiance de leurs utilisateurs. </w:t>
      </w:r>
    </w:p>
    <w:p w14:paraId="5522DCF5" w14:textId="77777777" w:rsidR="00385BAA" w:rsidRPr="00E5173E" w:rsidRDefault="00385BAA" w:rsidP="00385BAA">
      <w:pPr>
        <w:rPr>
          <w:color w:val="538135" w:themeColor="accent6" w:themeShade="BF"/>
        </w:rPr>
      </w:pPr>
      <w:r w:rsidRPr="00E5173E">
        <w:rPr>
          <w:b/>
          <w:bCs/>
          <w:color w:val="538135" w:themeColor="accent6" w:themeShade="BF"/>
        </w:rPr>
        <w:t>A qui s’applique le RGPD ?</w:t>
      </w:r>
    </w:p>
    <w:p w14:paraId="35838F93" w14:textId="77777777" w:rsidR="00385BAA" w:rsidRPr="00E5173E" w:rsidRDefault="00385BAA" w:rsidP="00385BAA">
      <w:pPr>
        <w:rPr>
          <w:color w:val="538135" w:themeColor="accent6" w:themeShade="BF"/>
        </w:rPr>
      </w:pPr>
      <w:r w:rsidRPr="00E5173E">
        <w:rPr>
          <w:color w:val="538135" w:themeColor="accent6" w:themeShade="BF"/>
        </w:rPr>
        <w:t xml:space="preserve">Le RGPD s’applique à toute </w:t>
      </w:r>
      <w:r w:rsidRPr="00E5173E">
        <w:rPr>
          <w:b/>
          <w:bCs/>
          <w:color w:val="538135" w:themeColor="accent6" w:themeShade="BF"/>
        </w:rPr>
        <w:t>organisation</w:t>
      </w:r>
      <w:r w:rsidRPr="00E5173E">
        <w:rPr>
          <w:color w:val="538135" w:themeColor="accent6" w:themeShade="BF"/>
        </w:rPr>
        <w:t xml:space="preserve">, qu’elle soit </w:t>
      </w:r>
      <w:r w:rsidRPr="00E5173E">
        <w:rPr>
          <w:b/>
          <w:bCs/>
          <w:color w:val="538135" w:themeColor="accent6" w:themeShade="BF"/>
        </w:rPr>
        <w:t>publique ou privée</w:t>
      </w:r>
      <w:r w:rsidRPr="00E5173E">
        <w:rPr>
          <w:color w:val="538135" w:themeColor="accent6" w:themeShade="BF"/>
        </w:rPr>
        <w:t xml:space="preserve">, peu importe sa taille, son activité et son secteur d’exploitation), des lors qu’elle </w:t>
      </w:r>
      <w:r w:rsidRPr="00E5173E">
        <w:rPr>
          <w:b/>
          <w:bCs/>
          <w:color w:val="538135" w:themeColor="accent6" w:themeShade="BF"/>
        </w:rPr>
        <w:t xml:space="preserve">traite des données personnelles </w:t>
      </w:r>
      <w:r w:rsidRPr="00E5173E">
        <w:rPr>
          <w:color w:val="538135" w:themeColor="accent6" w:themeShade="BF"/>
        </w:rPr>
        <w:t>pour son compte ou en tant que sous-traitant et qu’elle est établie sur le territoire de l’Union Européenne ou que son activité touche directement des citoyens européens.</w:t>
      </w:r>
    </w:p>
    <w:p w14:paraId="1327DBD0" w14:textId="77777777" w:rsidR="00385BAA" w:rsidRPr="00E5173E" w:rsidRDefault="00385BAA" w:rsidP="00385BAA">
      <w:pPr>
        <w:rPr>
          <w:color w:val="538135" w:themeColor="accent6" w:themeShade="BF"/>
        </w:rPr>
      </w:pPr>
      <w:r w:rsidRPr="00E5173E">
        <w:rPr>
          <w:color w:val="538135" w:themeColor="accent6" w:themeShade="BF"/>
        </w:rPr>
        <w:t>Dès lors la question qui reste en suspens est :</w:t>
      </w:r>
    </w:p>
    <w:p w14:paraId="7B287321" w14:textId="77777777" w:rsidR="00385BAA" w:rsidRPr="00E5173E" w:rsidRDefault="00385BAA" w:rsidP="00385BAA">
      <w:pPr>
        <w:rPr>
          <w:b/>
          <w:bCs/>
          <w:color w:val="538135" w:themeColor="accent6" w:themeShade="BF"/>
        </w:rPr>
      </w:pPr>
      <w:r w:rsidRPr="00E5173E">
        <w:rPr>
          <w:b/>
          <w:bCs/>
          <w:color w:val="538135" w:themeColor="accent6" w:themeShade="BF"/>
        </w:rPr>
        <w:t>Qu’est-ce qu’une donnée personnelle ?</w:t>
      </w:r>
    </w:p>
    <w:p w14:paraId="59D5BE82" w14:textId="3769A86A" w:rsidR="00385BAA" w:rsidRPr="00E5173E" w:rsidRDefault="00385BAA" w:rsidP="00385BAA">
      <w:pPr>
        <w:rPr>
          <w:color w:val="538135" w:themeColor="accent6" w:themeShade="BF"/>
        </w:rPr>
      </w:pPr>
      <w:r w:rsidRPr="00E5173E">
        <w:rPr>
          <w:color w:val="538135" w:themeColor="accent6" w:themeShade="BF"/>
        </w:rPr>
        <w:t>C’est, je cite "toute informati</w:t>
      </w:r>
      <w:r w:rsidR="00F93EC1">
        <w:rPr>
          <w:color w:val="538135" w:themeColor="accent6" w:themeShade="BF"/>
        </w:rPr>
        <w:t xml:space="preserve"> </w:t>
      </w:r>
      <w:r w:rsidRPr="00E5173E">
        <w:rPr>
          <w:color w:val="538135" w:themeColor="accent6" w:themeShade="BF"/>
        </w:rPr>
        <w:t>on se rapportant à une personne physique identifiée ou identifiable". Pour être plus démonstratif, vis-à-vis d’une personne, cela peut être : nom, prénom, pseudonyme, date de naissance, photos, enregistrements sonores de voix, numéro de plaque d’immatriculation. L’identification peut se faire directement ou bien par croisement de données. Exemple : la plaque d’immatriculation peut comporter plusieurs utilisateurs donc le croisement avec le nom ou la date de naissance permet de distinguer formellement une personne.</w:t>
      </w:r>
    </w:p>
    <w:p w14:paraId="77FA7570" w14:textId="77777777" w:rsidR="00385BAA" w:rsidRPr="00E5173E" w:rsidRDefault="00385BAA" w:rsidP="00385BAA">
      <w:pPr>
        <w:rPr>
          <w:b/>
          <w:bCs/>
          <w:color w:val="538135" w:themeColor="accent6" w:themeShade="BF"/>
        </w:rPr>
      </w:pPr>
      <w:r w:rsidRPr="00E5173E">
        <w:rPr>
          <w:color w:val="538135" w:themeColor="accent6" w:themeShade="BF"/>
        </w:rPr>
        <w:t xml:space="preserve">Pour finir, </w:t>
      </w:r>
      <w:r w:rsidRPr="00E5173E">
        <w:rPr>
          <w:b/>
          <w:bCs/>
          <w:color w:val="538135" w:themeColor="accent6" w:themeShade="BF"/>
        </w:rPr>
        <w:t>qu’est-ce que le traitement de ces fameuses données personnelles ?</w:t>
      </w:r>
    </w:p>
    <w:p w14:paraId="5E783F53" w14:textId="77777777" w:rsidR="00385BAA" w:rsidRPr="00E5173E" w:rsidRDefault="00385BAA" w:rsidP="00385BAA">
      <w:pPr>
        <w:rPr>
          <w:color w:val="538135" w:themeColor="accent6" w:themeShade="BF"/>
        </w:rPr>
      </w:pPr>
      <w:r w:rsidRPr="00E5173E">
        <w:rPr>
          <w:color w:val="538135" w:themeColor="accent6" w:themeShade="BF"/>
        </w:rPr>
        <w:t>Une action peut être catégorisée comme traitement des données personnelles dès lors qu’elle manipule des données personnelles, quel que soit le procédé utilisé (collecte, enregistrement, organisation, conservation, adaptation, modification, extraction, consultation, utilisation).</w:t>
      </w:r>
    </w:p>
    <w:p w14:paraId="462233E2" w14:textId="77777777" w:rsidR="00385BAA" w:rsidRDefault="00385BAA" w:rsidP="00385BAA">
      <w:pPr>
        <w:pStyle w:val="Paragraphedeliste"/>
        <w:rPr>
          <w:bCs/>
        </w:rPr>
      </w:pPr>
    </w:p>
    <w:p w14:paraId="292D520D" w14:textId="77777777" w:rsidR="00385BAA" w:rsidRPr="00E5173E" w:rsidRDefault="00385BAA" w:rsidP="00385BAA">
      <w:pPr>
        <w:pStyle w:val="Paragraphedeliste"/>
        <w:numPr>
          <w:ilvl w:val="0"/>
          <w:numId w:val="9"/>
        </w:numPr>
        <w:rPr>
          <w:color w:val="7030A0"/>
        </w:rPr>
      </w:pPr>
      <w:r w:rsidRPr="00E5173E">
        <w:rPr>
          <w:color w:val="7030A0"/>
        </w:rPr>
        <w:t>Les principales clés permettant le développement d'applications ou de sites web respectueux du RGPD</w:t>
      </w:r>
    </w:p>
    <w:p w14:paraId="4AB1743F" w14:textId="77777777" w:rsidR="00385BAA" w:rsidRPr="00E5173E" w:rsidRDefault="00385BAA" w:rsidP="00385BAA">
      <w:pPr>
        <w:rPr>
          <w:color w:val="7030A0"/>
        </w:rPr>
      </w:pPr>
      <w:r w:rsidRPr="00E5173E">
        <w:rPr>
          <w:color w:val="7030A0"/>
        </w:rPr>
        <w:tab/>
        <w:t>I.1) Sensibiliser et préparer le développement</w:t>
      </w:r>
    </w:p>
    <w:p w14:paraId="14C55F38" w14:textId="77777777" w:rsidR="00385BAA" w:rsidRPr="00E5173E" w:rsidRDefault="00385BAA" w:rsidP="00385BAA">
      <w:pPr>
        <w:rPr>
          <w:color w:val="7030A0"/>
        </w:rPr>
      </w:pPr>
      <w:r w:rsidRPr="00E5173E">
        <w:rPr>
          <w:color w:val="7030A0"/>
        </w:rPr>
        <w:tab/>
      </w:r>
      <w:r w:rsidRPr="00E5173E">
        <w:rPr>
          <w:color w:val="7030A0"/>
        </w:rPr>
        <w:tab/>
        <w:t>a) Le DPO, délégué à la protection des données ou Chief Data Officer</w:t>
      </w:r>
    </w:p>
    <w:p w14:paraId="72E2A203" w14:textId="77777777" w:rsidR="00385BAA" w:rsidRPr="00E5173E" w:rsidRDefault="00385BAA" w:rsidP="00385BAA">
      <w:pPr>
        <w:rPr>
          <w:color w:val="7030A0"/>
        </w:rPr>
      </w:pPr>
      <w:r w:rsidRPr="00E5173E">
        <w:rPr>
          <w:color w:val="7030A0"/>
        </w:rPr>
        <w:t xml:space="preserve">Le grand principe permettant le développement d'applications ou de sites web respectueux du RGPD est de travailler de façon alerte. Tout au long du développement d’un projet que ce soit en autonomie ou au sein d’une équipe, il ne faut jamais perdre de vue la protection des données. </w:t>
      </w:r>
    </w:p>
    <w:p w14:paraId="7B6E2F8B" w14:textId="77777777" w:rsidR="00385BAA" w:rsidRPr="00E5173E" w:rsidRDefault="00385BAA" w:rsidP="00385BAA">
      <w:pPr>
        <w:rPr>
          <w:color w:val="7030A0"/>
        </w:rPr>
      </w:pPr>
      <w:r w:rsidRPr="00E5173E">
        <w:rPr>
          <w:color w:val="7030A0"/>
        </w:rPr>
        <w:t>Le DPO incarne le référent pour toute question des collaborateurs et dicte la bonne conduite à adopter vis-à-vis de la prise en compte du RGPD au cours du développement. Sa mission est de s’assurer de la conformité du développement vis-à-vis du règlement européen.</w:t>
      </w:r>
    </w:p>
    <w:p w14:paraId="4D22DB69" w14:textId="77777777" w:rsidR="00385BAA" w:rsidRPr="00E5173E" w:rsidRDefault="00385BAA" w:rsidP="00385BAA">
      <w:pPr>
        <w:rPr>
          <w:color w:val="7030A0"/>
        </w:rPr>
      </w:pPr>
      <w:r w:rsidRPr="00E5173E">
        <w:rPr>
          <w:color w:val="7030A0"/>
        </w:rPr>
        <w:lastRenderedPageBreak/>
        <w:t>La nomination d’un DPO est obligatoire pour les organismes publics et les entreprises qui mène des traitements à grandes échelles ou sur des données sensibles.</w:t>
      </w:r>
    </w:p>
    <w:p w14:paraId="4D4824FC" w14:textId="77777777" w:rsidR="00385BAA" w:rsidRPr="00E5173E" w:rsidRDefault="00385BAA" w:rsidP="00385BAA">
      <w:pPr>
        <w:rPr>
          <w:color w:val="7030A0"/>
        </w:rPr>
      </w:pPr>
      <w:r w:rsidRPr="00E5173E">
        <w:rPr>
          <w:color w:val="7030A0"/>
        </w:rPr>
        <w:t>Il est toutefois conseiller d’élire un DPO car il permet à tous de comprendre et respecter les obligations du règlement. De plus il sert d’interlocuteur avec les autorités de protection des données et minimise les risques de litiges.</w:t>
      </w:r>
    </w:p>
    <w:p w14:paraId="63BFA938" w14:textId="77777777" w:rsidR="00385BAA" w:rsidRPr="00E5173E" w:rsidRDefault="00385BAA" w:rsidP="00385BAA">
      <w:pPr>
        <w:rPr>
          <w:color w:val="7030A0"/>
        </w:rPr>
      </w:pPr>
      <w:r w:rsidRPr="00E5173E">
        <w:rPr>
          <w:color w:val="7030A0"/>
        </w:rPr>
        <w:tab/>
      </w:r>
      <w:r w:rsidRPr="00E5173E">
        <w:rPr>
          <w:color w:val="7030A0"/>
        </w:rPr>
        <w:tab/>
        <w:t>b) Méthodologie</w:t>
      </w:r>
    </w:p>
    <w:p w14:paraId="4ACBA2BC" w14:textId="136543CC" w:rsidR="00385BAA" w:rsidRPr="00E5173E" w:rsidRDefault="00385BAA" w:rsidP="00385BAA">
      <w:pPr>
        <w:rPr>
          <w:color w:val="7030A0"/>
          <w:lang w:eastAsia="fr-FR"/>
        </w:rPr>
      </w:pPr>
      <w:r w:rsidRPr="00E5173E">
        <w:rPr>
          <w:color w:val="7030A0"/>
          <w:lang w:eastAsia="fr-FR"/>
        </w:rPr>
        <w:t>Le DPO peut proposer des méthodologies de développement afin de le centrer sur la sécurité des données et de la vie privée.</w:t>
      </w:r>
      <w:r w:rsidR="00E119D1">
        <w:rPr>
          <w:color w:val="7030A0"/>
          <w:lang w:eastAsia="fr-FR"/>
        </w:rPr>
        <w:t xml:space="preserve"> </w:t>
      </w:r>
    </w:p>
    <w:p w14:paraId="012ED487" w14:textId="77777777" w:rsidR="00385BAA" w:rsidRPr="00E5173E" w:rsidRDefault="00385BAA" w:rsidP="00385BAA">
      <w:pPr>
        <w:rPr>
          <w:color w:val="7030A0"/>
          <w:lang w:eastAsia="fr-FR"/>
        </w:rPr>
      </w:pPr>
      <w:r w:rsidRPr="00E5173E">
        <w:rPr>
          <w:color w:val="7030A0"/>
          <w:lang w:eastAsia="fr-FR"/>
        </w:rPr>
        <w:t>Considérons rapidement l’opposition entre le Privacy by Design et le Privacy By Default :</w:t>
      </w:r>
    </w:p>
    <w:p w14:paraId="7C9BE46E" w14:textId="77777777" w:rsidR="00385BAA" w:rsidRPr="00E5173E" w:rsidRDefault="00385BAA" w:rsidP="00385BAA">
      <w:pPr>
        <w:rPr>
          <w:color w:val="7030A0"/>
          <w:lang w:eastAsia="fr-FR"/>
        </w:rPr>
      </w:pPr>
      <w:r w:rsidRPr="00E5173E">
        <w:rPr>
          <w:color w:val="7030A0"/>
          <w:lang w:eastAsia="fr-FR"/>
        </w:rPr>
        <w:t>Ce premier prend en compte la protection de la vie privée dès la conception du produit ou du service.  Etant une préoccupation antérieure au développement du produit, le respect de la vie privée en fait partie intégrante. Cela suppose une approche réfléchie et évolutive de la protection des données au cours du développement.</w:t>
      </w:r>
    </w:p>
    <w:p w14:paraId="0397424F" w14:textId="77777777" w:rsidR="00385BAA" w:rsidRPr="00E5173E" w:rsidRDefault="00385BAA" w:rsidP="00385BAA">
      <w:pPr>
        <w:rPr>
          <w:color w:val="7030A0"/>
          <w:lang w:eastAsia="fr-FR"/>
        </w:rPr>
      </w:pPr>
      <w:r w:rsidRPr="00E5173E">
        <w:rPr>
          <w:color w:val="7030A0"/>
          <w:lang w:eastAsia="fr-FR"/>
        </w:rPr>
        <w:t>De l’autre côté, le privacy By Default, prévoit la mise en place du plus haut degré de protection des données personnelles et l’activation de ces processus par défaut, ie, sans configuration préalable de la part de l’utilisateur.</w:t>
      </w:r>
    </w:p>
    <w:p w14:paraId="5CD77064" w14:textId="77777777" w:rsidR="00385BAA" w:rsidRPr="00E5173E" w:rsidRDefault="00385BAA" w:rsidP="00385BAA">
      <w:pPr>
        <w:rPr>
          <w:color w:val="538135" w:themeColor="accent6" w:themeShade="BF"/>
        </w:rPr>
      </w:pPr>
      <w:r>
        <w:tab/>
      </w:r>
      <w:r w:rsidRPr="00E5173E">
        <w:rPr>
          <w:color w:val="538135" w:themeColor="accent6" w:themeShade="BF"/>
        </w:rPr>
        <w:t>1.2) S’Informer et se conformer aux standards</w:t>
      </w:r>
    </w:p>
    <w:p w14:paraId="4FFFA629" w14:textId="77777777" w:rsidR="00385BAA" w:rsidRPr="00E5173E" w:rsidRDefault="00385BAA" w:rsidP="00385BAA">
      <w:pPr>
        <w:rPr>
          <w:color w:val="538135" w:themeColor="accent6" w:themeShade="BF"/>
        </w:rPr>
      </w:pPr>
      <w:r w:rsidRPr="00E5173E">
        <w:rPr>
          <w:color w:val="538135" w:themeColor="accent6" w:themeShade="BF"/>
        </w:rPr>
        <w:tab/>
      </w:r>
      <w:r w:rsidRPr="00E5173E">
        <w:rPr>
          <w:color w:val="538135" w:themeColor="accent6" w:themeShade="BF"/>
        </w:rPr>
        <w:tab/>
        <w:t>a) Le registre des activités de traitements.</w:t>
      </w:r>
    </w:p>
    <w:p w14:paraId="1D965A13" w14:textId="77777777" w:rsidR="00385BAA" w:rsidRPr="00E5173E" w:rsidRDefault="00385BAA" w:rsidP="00385BAA">
      <w:pPr>
        <w:rPr>
          <w:color w:val="538135" w:themeColor="accent6" w:themeShade="BF"/>
        </w:rPr>
      </w:pPr>
      <w:r w:rsidRPr="00E5173E">
        <w:rPr>
          <w:color w:val="538135" w:themeColor="accent6" w:themeShade="BF"/>
        </w:rPr>
        <w:t xml:space="preserve">Le registre des activités de traitements est un document qui vise à centraliser les informations concernant les traitements induits par l’application, les données qui leur sont nécessaires et leur criticité. Tenir ce registre permet donc de faciliter la restitution des preuves qui permettent de démontrer que le développement est à tout instant en conformité avec le RGDP. La tenue du registre d’activité s’intègre parfaitement dans une méthodologie de Privacy By Design. Le registre d’activité attire l’attention notamment sur : la nécessité, les types de données collectées et traitées par votre programme, </w:t>
      </w:r>
      <w:r w:rsidRPr="00E5173E">
        <w:rPr>
          <w:color w:val="538135" w:themeColor="accent6" w:themeShade="BF"/>
          <w:highlight w:val="yellow"/>
        </w:rPr>
        <w:t>la base légale</w:t>
      </w:r>
      <w:r w:rsidRPr="00E5173E">
        <w:rPr>
          <w:color w:val="538135" w:themeColor="accent6" w:themeShade="BF"/>
        </w:rPr>
        <w:t xml:space="preserve"> sur laquelle se fonde vos traitements de données, les clauses contractuelles liant l’entreprise à ses </w:t>
      </w:r>
      <w:r w:rsidRPr="00E5173E">
        <w:rPr>
          <w:color w:val="538135" w:themeColor="accent6" w:themeShade="BF"/>
          <w:highlight w:val="yellow"/>
        </w:rPr>
        <w:t>sous-traitants</w:t>
      </w:r>
      <w:r w:rsidRPr="00E5173E">
        <w:rPr>
          <w:color w:val="538135" w:themeColor="accent6" w:themeShade="BF"/>
        </w:rPr>
        <w:t xml:space="preserve">, les modalités d'exercice des droits, les mesures mises en place pour sécuriser vos traitements. </w:t>
      </w:r>
    </w:p>
    <w:p w14:paraId="2C0A42F3" w14:textId="77777777" w:rsidR="00385BAA" w:rsidRPr="00E5173E" w:rsidRDefault="00385BAA" w:rsidP="00385BAA">
      <w:pPr>
        <w:rPr>
          <w:color w:val="538135" w:themeColor="accent6" w:themeShade="BF"/>
        </w:rPr>
      </w:pPr>
      <w:r w:rsidRPr="00E5173E">
        <w:rPr>
          <w:color w:val="538135" w:themeColor="accent6" w:themeShade="BF"/>
        </w:rPr>
        <w:t>Ainsi dans le registre d’activité, il faut créer une fiche pour chaque activité recensée en précisant :</w:t>
      </w:r>
    </w:p>
    <w:p w14:paraId="20B73906" w14:textId="77777777" w:rsidR="00385BAA" w:rsidRPr="00E5173E" w:rsidRDefault="00385BAA" w:rsidP="00385BAA">
      <w:pPr>
        <w:numPr>
          <w:ilvl w:val="0"/>
          <w:numId w:val="15"/>
        </w:numPr>
        <w:rPr>
          <w:color w:val="538135" w:themeColor="accent6" w:themeShade="BF"/>
        </w:rPr>
      </w:pPr>
      <w:r w:rsidRPr="00E5173E">
        <w:rPr>
          <w:color w:val="538135" w:themeColor="accent6" w:themeShade="BF"/>
        </w:rPr>
        <w:t xml:space="preserve">La finalité, i.e., ce pour quoi la donnée va être collectée. </w:t>
      </w:r>
    </w:p>
    <w:p w14:paraId="30135F5E" w14:textId="77777777" w:rsidR="00385BAA" w:rsidRPr="00E5173E" w:rsidRDefault="00385BAA" w:rsidP="00385BAA">
      <w:pPr>
        <w:numPr>
          <w:ilvl w:val="0"/>
          <w:numId w:val="15"/>
        </w:numPr>
        <w:rPr>
          <w:color w:val="538135" w:themeColor="accent6" w:themeShade="BF"/>
        </w:rPr>
      </w:pPr>
      <w:r w:rsidRPr="00E5173E">
        <w:rPr>
          <w:color w:val="538135" w:themeColor="accent6" w:themeShade="BF"/>
        </w:rPr>
        <w:t>Le type des données utilisées.</w:t>
      </w:r>
    </w:p>
    <w:p w14:paraId="723E57DC" w14:textId="77777777" w:rsidR="00385BAA" w:rsidRPr="00E5173E" w:rsidRDefault="00385BAA" w:rsidP="00385BAA">
      <w:pPr>
        <w:numPr>
          <w:ilvl w:val="0"/>
          <w:numId w:val="15"/>
        </w:numPr>
        <w:rPr>
          <w:color w:val="538135" w:themeColor="accent6" w:themeShade="BF"/>
        </w:rPr>
      </w:pPr>
      <w:r w:rsidRPr="00E5173E">
        <w:rPr>
          <w:color w:val="538135" w:themeColor="accent6" w:themeShade="BF"/>
        </w:rPr>
        <w:t>Le bénéficiaire ou destinataire qui va avoir accès aux données.</w:t>
      </w:r>
    </w:p>
    <w:p w14:paraId="5CBD9466" w14:textId="77777777" w:rsidR="00385BAA" w:rsidRPr="00E5173E" w:rsidRDefault="00385BAA" w:rsidP="00385BAA">
      <w:pPr>
        <w:numPr>
          <w:ilvl w:val="0"/>
          <w:numId w:val="15"/>
        </w:numPr>
        <w:rPr>
          <w:color w:val="538135" w:themeColor="accent6" w:themeShade="BF"/>
        </w:rPr>
      </w:pPr>
      <w:r w:rsidRPr="00E5173E">
        <w:rPr>
          <w:color w:val="538135" w:themeColor="accent6" w:themeShade="BF"/>
        </w:rPr>
        <w:t>La durée de conservation de ces données.</w:t>
      </w:r>
    </w:p>
    <w:p w14:paraId="6FF2E218" w14:textId="77777777" w:rsidR="00385BAA" w:rsidRPr="00E5173E" w:rsidRDefault="00385BAA" w:rsidP="00385BAA">
      <w:pPr>
        <w:rPr>
          <w:color w:val="538135" w:themeColor="accent6" w:themeShade="BF"/>
        </w:rPr>
      </w:pPr>
      <w:r w:rsidRPr="00E5173E">
        <w:rPr>
          <w:color w:val="538135" w:themeColor="accent6" w:themeShade="BF"/>
        </w:rPr>
        <w:t>La constitution de ce registre à un second avantage du point de vue de l’entreprise, elle lui permet de s’interroger sur les données dont elle a réellement besoin. </w:t>
      </w:r>
    </w:p>
    <w:p w14:paraId="53D8B924" w14:textId="77777777" w:rsidR="00385BAA" w:rsidRPr="00E5173E" w:rsidRDefault="00385BAA" w:rsidP="00385BAA">
      <w:pPr>
        <w:pStyle w:val="Paragraphedeliste"/>
        <w:numPr>
          <w:ilvl w:val="0"/>
          <w:numId w:val="16"/>
        </w:numPr>
        <w:rPr>
          <w:color w:val="538135" w:themeColor="accent6" w:themeShade="BF"/>
        </w:rPr>
      </w:pPr>
      <w:r w:rsidRPr="00E5173E">
        <w:rPr>
          <w:color w:val="538135" w:themeColor="accent6" w:themeShade="BF"/>
        </w:rPr>
        <w:t xml:space="preserve">Ce traitement nécessite-t-il réellement l’ensemble des données que je m’apprête à collecter ? </w:t>
      </w:r>
    </w:p>
    <w:p w14:paraId="3C436ED3" w14:textId="77777777" w:rsidR="00385BAA" w:rsidRPr="00E5173E" w:rsidRDefault="00385BAA" w:rsidP="00385BAA">
      <w:pPr>
        <w:pStyle w:val="Paragraphedeliste"/>
        <w:numPr>
          <w:ilvl w:val="0"/>
          <w:numId w:val="16"/>
        </w:numPr>
        <w:rPr>
          <w:color w:val="538135" w:themeColor="accent6" w:themeShade="BF"/>
        </w:rPr>
      </w:pPr>
      <w:r w:rsidRPr="00E5173E">
        <w:rPr>
          <w:color w:val="538135" w:themeColor="accent6" w:themeShade="BF"/>
        </w:rPr>
        <w:t>L’un des traitements manipule-t-il des données dites sensible ? Ai-je vérifié que j’ai les autorisations correspondantes ?</w:t>
      </w:r>
    </w:p>
    <w:p w14:paraId="01FF58D7" w14:textId="77777777" w:rsidR="00385BAA" w:rsidRPr="00E5173E" w:rsidRDefault="00385BAA" w:rsidP="00385BAA">
      <w:pPr>
        <w:pStyle w:val="Paragraphedeliste"/>
        <w:numPr>
          <w:ilvl w:val="0"/>
          <w:numId w:val="16"/>
        </w:numPr>
        <w:rPr>
          <w:color w:val="538135" w:themeColor="accent6" w:themeShade="BF"/>
        </w:rPr>
      </w:pPr>
      <w:r w:rsidRPr="00E5173E">
        <w:rPr>
          <w:color w:val="538135" w:themeColor="accent6" w:themeShade="BF"/>
        </w:rPr>
        <w:t xml:space="preserve">Ai-je réalisé une bonne gestion des accès afin de permettre d’accorder un accès seulement aux données nécessaires ? </w:t>
      </w:r>
    </w:p>
    <w:p w14:paraId="3BFFEED2" w14:textId="77777777" w:rsidR="00385BAA" w:rsidRPr="00E5173E" w:rsidRDefault="00385BAA" w:rsidP="00385BAA">
      <w:pPr>
        <w:numPr>
          <w:ilvl w:val="0"/>
          <w:numId w:val="16"/>
        </w:numPr>
        <w:rPr>
          <w:color w:val="538135" w:themeColor="accent6" w:themeShade="BF"/>
        </w:rPr>
      </w:pPr>
      <w:r w:rsidRPr="00E5173E">
        <w:rPr>
          <w:color w:val="538135" w:themeColor="accent6" w:themeShade="BF"/>
        </w:rPr>
        <w:lastRenderedPageBreak/>
        <w:t>La durée de conservation des données est-elle adaptée ? </w:t>
      </w:r>
    </w:p>
    <w:p w14:paraId="6479C967" w14:textId="77777777" w:rsidR="00385BAA" w:rsidRPr="00E5173E" w:rsidRDefault="00385BAA" w:rsidP="00385BAA">
      <w:pPr>
        <w:numPr>
          <w:ilvl w:val="0"/>
          <w:numId w:val="16"/>
        </w:numPr>
        <w:rPr>
          <w:color w:val="538135" w:themeColor="accent6" w:themeShade="BF"/>
        </w:rPr>
      </w:pPr>
      <w:r w:rsidRPr="00E5173E">
        <w:rPr>
          <w:color w:val="538135" w:themeColor="accent6" w:themeShade="BF"/>
        </w:rPr>
        <w:t>Les données collectées sont-elles protégées au regard de leur criticité ?</w:t>
      </w:r>
    </w:p>
    <w:p w14:paraId="2F306077" w14:textId="77777777" w:rsidR="00385BAA" w:rsidRPr="00E5173E" w:rsidRDefault="00385BAA" w:rsidP="00385BAA">
      <w:pPr>
        <w:rPr>
          <w:color w:val="538135" w:themeColor="accent6" w:themeShade="BF"/>
        </w:rPr>
      </w:pPr>
      <w:r w:rsidRPr="00E5173E">
        <w:rPr>
          <w:color w:val="538135" w:themeColor="accent6" w:themeShade="BF"/>
        </w:rPr>
        <w:t>Sa création et sa mise à jour sont ainsi l’occasion de faire le tri dans les données collectées et permet de redéfinir un plan d’action de mise en conformité des traitements aux règles de protection des données.</w:t>
      </w:r>
    </w:p>
    <w:p w14:paraId="6DF18C38" w14:textId="77777777" w:rsidR="00385BAA" w:rsidRPr="00E5173E" w:rsidRDefault="00385BAA" w:rsidP="00385BAA">
      <w:pPr>
        <w:rPr>
          <w:color w:val="538135" w:themeColor="accent6" w:themeShade="BF"/>
        </w:rPr>
      </w:pPr>
      <w:r w:rsidRPr="00E5173E">
        <w:rPr>
          <w:color w:val="538135" w:themeColor="accent6" w:themeShade="BF"/>
        </w:rPr>
        <w:t xml:space="preserve">Minimiser les données collectées : </w:t>
      </w:r>
      <w:hyperlink r:id="rId7" w:history="1">
        <w:r w:rsidRPr="00E5173E">
          <w:rPr>
            <w:rStyle w:val="Lienhypertexte"/>
            <w:color w:val="538135" w:themeColor="accent6" w:themeShade="BF"/>
          </w:rPr>
          <w:t>https://www.cnil.fr/fr/minimiser-les-donnees-collectees</w:t>
        </w:r>
      </w:hyperlink>
      <w:r w:rsidRPr="00E5173E">
        <w:rPr>
          <w:color w:val="538135" w:themeColor="accent6" w:themeShade="BF"/>
        </w:rPr>
        <w:t xml:space="preserve"> </w:t>
      </w:r>
    </w:p>
    <w:p w14:paraId="669D3C20" w14:textId="77777777" w:rsidR="00385BAA" w:rsidRPr="00E5173E" w:rsidRDefault="00385BAA" w:rsidP="00385BAA">
      <w:pPr>
        <w:rPr>
          <w:color w:val="538135" w:themeColor="accent6" w:themeShade="BF"/>
        </w:rPr>
      </w:pPr>
      <w:r w:rsidRPr="00E5173E">
        <w:rPr>
          <w:color w:val="538135" w:themeColor="accent6" w:themeShade="BF"/>
        </w:rPr>
        <w:t xml:space="preserve">Les durées de conservations : </w:t>
      </w:r>
      <w:hyperlink r:id="rId8" w:history="1">
        <w:r w:rsidRPr="00E5173E">
          <w:rPr>
            <w:rStyle w:val="Lienhypertexte"/>
            <w:color w:val="538135" w:themeColor="accent6" w:themeShade="BF"/>
          </w:rPr>
          <w:t>https://www.cnil.fr/fr/les-durees-de-conservation-des-donnees</w:t>
        </w:r>
      </w:hyperlink>
      <w:r w:rsidRPr="00E5173E">
        <w:rPr>
          <w:color w:val="538135" w:themeColor="accent6" w:themeShade="BF"/>
        </w:rPr>
        <w:t xml:space="preserve"> </w:t>
      </w:r>
    </w:p>
    <w:p w14:paraId="3918742A" w14:textId="77777777" w:rsidR="00385BAA" w:rsidRPr="00E5173E" w:rsidRDefault="00385BAA" w:rsidP="00385BAA">
      <w:pPr>
        <w:rPr>
          <w:color w:val="538135" w:themeColor="accent6" w:themeShade="BF"/>
        </w:rPr>
      </w:pPr>
    </w:p>
    <w:p w14:paraId="7A2D2F3E" w14:textId="77777777" w:rsidR="00385BAA" w:rsidRPr="00E5173E" w:rsidRDefault="00385BAA" w:rsidP="00385BAA">
      <w:pPr>
        <w:rPr>
          <w:color w:val="538135" w:themeColor="accent6" w:themeShade="BF"/>
        </w:rPr>
      </w:pPr>
      <w:r w:rsidRPr="00E5173E">
        <w:rPr>
          <w:color w:val="538135" w:themeColor="accent6" w:themeShade="BF"/>
        </w:rPr>
        <w:tab/>
        <w:t>I.2) S’informer et se conformer aux standards</w:t>
      </w:r>
    </w:p>
    <w:p w14:paraId="327A625F" w14:textId="77777777" w:rsidR="00385BAA" w:rsidRPr="00E5173E" w:rsidRDefault="00385BAA" w:rsidP="00385BAA">
      <w:pPr>
        <w:rPr>
          <w:color w:val="538135" w:themeColor="accent6" w:themeShade="BF"/>
        </w:rPr>
      </w:pPr>
      <w:r w:rsidRPr="00E5173E">
        <w:rPr>
          <w:color w:val="538135" w:themeColor="accent6" w:themeShade="BF"/>
        </w:rPr>
        <w:tab/>
      </w:r>
      <w:r w:rsidRPr="00E5173E">
        <w:rPr>
          <w:color w:val="538135" w:themeColor="accent6" w:themeShade="BF"/>
        </w:rPr>
        <w:tab/>
        <w:t>b) La gestion des risques induits par les traitements, l’AIPD.</w:t>
      </w:r>
    </w:p>
    <w:p w14:paraId="1C1CB24D" w14:textId="77777777" w:rsidR="00385BAA" w:rsidRPr="00E5173E" w:rsidRDefault="00385BAA" w:rsidP="00385BAA">
      <w:pPr>
        <w:rPr>
          <w:color w:val="538135" w:themeColor="accent6" w:themeShade="BF"/>
        </w:rPr>
      </w:pPr>
      <w:r w:rsidRPr="00E5173E">
        <w:rPr>
          <w:color w:val="538135" w:themeColor="accent6" w:themeShade="BF"/>
        </w:rPr>
        <w:t xml:space="preserve">Chaque traitement sur des données à caractère personnelle peut engendrer des risques de divulgation involontaire des données utilisateurs.  Ainsi dans le but de couvrir ces potentiels risques, il est nécessaire de les analyser pour connaitre leur criticité. </w:t>
      </w:r>
    </w:p>
    <w:p w14:paraId="13F0FB02" w14:textId="77777777" w:rsidR="00385BAA" w:rsidRPr="00E5173E" w:rsidRDefault="00385BAA" w:rsidP="00385BAA">
      <w:pPr>
        <w:rPr>
          <w:color w:val="538135" w:themeColor="accent6" w:themeShade="BF"/>
        </w:rPr>
      </w:pPr>
      <w:r w:rsidRPr="00E5173E">
        <w:rPr>
          <w:color w:val="538135" w:themeColor="accent6" w:themeShade="BF"/>
        </w:rPr>
        <w:t>Pour cela, la CNIL préconise le recours à une Analyse d’impact relative à la protection des Données (AIPD). Afin de la réalisée en bonne et due forme, il est possible de se référer aux méthodes, modèles de documents et au catalogue des bonnes pratiques accessible sur le site de la CNIL. Elle fournie également un outil de conception de cette AIPD sur son site.</w:t>
      </w:r>
    </w:p>
    <w:p w14:paraId="1EDA36B3" w14:textId="77777777" w:rsidR="00385BAA" w:rsidRPr="00E5173E" w:rsidRDefault="00F93EC1" w:rsidP="00385BAA">
      <w:pPr>
        <w:rPr>
          <w:color w:val="538135" w:themeColor="accent6" w:themeShade="BF"/>
        </w:rPr>
      </w:pPr>
      <w:hyperlink r:id="rId9" w:history="1">
        <w:r w:rsidR="00385BAA" w:rsidRPr="00E5173E">
          <w:rPr>
            <w:rStyle w:val="Lienhypertexte"/>
            <w:color w:val="538135" w:themeColor="accent6" w:themeShade="BF"/>
          </w:rPr>
          <w:t>https://www.cnil.fr/sites/default/files/atoms/files/cnil-pia-1-fr-methode.pdf</w:t>
        </w:r>
      </w:hyperlink>
      <w:r w:rsidR="00385BAA" w:rsidRPr="00E5173E">
        <w:rPr>
          <w:color w:val="538135" w:themeColor="accent6" w:themeShade="BF"/>
        </w:rPr>
        <w:t xml:space="preserve"> </w:t>
      </w:r>
      <w:hyperlink r:id="rId10" w:history="1">
        <w:r w:rsidR="00385BAA" w:rsidRPr="00E5173E">
          <w:rPr>
            <w:rStyle w:val="Lienhypertexte"/>
            <w:color w:val="538135" w:themeColor="accent6" w:themeShade="BF"/>
          </w:rPr>
          <w:t>https://www.cnil.fr/sites/default/files/atoms/files/cnil-pia-2-fr-modeles.pdf</w:t>
        </w:r>
      </w:hyperlink>
      <w:r w:rsidR="00385BAA" w:rsidRPr="00E5173E">
        <w:rPr>
          <w:color w:val="538135" w:themeColor="accent6" w:themeShade="BF"/>
        </w:rPr>
        <w:t xml:space="preserve"> </w:t>
      </w:r>
      <w:hyperlink r:id="rId11" w:history="1">
        <w:r w:rsidR="00385BAA" w:rsidRPr="00E5173E">
          <w:rPr>
            <w:rStyle w:val="Lienhypertexte"/>
            <w:color w:val="538135" w:themeColor="accent6" w:themeShade="BF"/>
          </w:rPr>
          <w:t>https://www.cnil.fr/fr/outil-pia-telechargez-et-installez-le-logiciel-de-la-cnil</w:t>
        </w:r>
      </w:hyperlink>
      <w:r w:rsidR="00385BAA" w:rsidRPr="00E5173E">
        <w:rPr>
          <w:color w:val="538135" w:themeColor="accent6" w:themeShade="BF"/>
        </w:rPr>
        <w:t xml:space="preserve"> </w:t>
      </w:r>
      <w:hyperlink r:id="rId12" w:history="1">
        <w:r w:rsidR="00385BAA" w:rsidRPr="00E5173E">
          <w:rPr>
            <w:rStyle w:val="Lienhypertexte"/>
            <w:color w:val="538135" w:themeColor="accent6" w:themeShade="BF"/>
          </w:rPr>
          <w:t>https://www.cnil.fr/sites/default/files/atoms/files/cnil-pia-3-fr-basesdeconnaissances.pdf</w:t>
        </w:r>
      </w:hyperlink>
    </w:p>
    <w:p w14:paraId="347122A2" w14:textId="77777777" w:rsidR="00385BAA" w:rsidRPr="00E5173E" w:rsidRDefault="00385BAA" w:rsidP="00385BAA">
      <w:pPr>
        <w:rPr>
          <w:color w:val="538135" w:themeColor="accent6" w:themeShade="BF"/>
        </w:rPr>
      </w:pPr>
      <w:r w:rsidRPr="00E5173E">
        <w:rPr>
          <w:color w:val="538135" w:themeColor="accent6" w:themeShade="BF"/>
        </w:rPr>
        <w:t xml:space="preserve">Pour certains traitements l’AIPD est obligatoire, pour d’autres non. Il est possible de se référer aux listes et à ce chemin logique : </w:t>
      </w:r>
    </w:p>
    <w:p w14:paraId="734A5DC4" w14:textId="77777777" w:rsidR="00385BAA" w:rsidRPr="00E5173E" w:rsidRDefault="00F93EC1" w:rsidP="00385BAA">
      <w:pPr>
        <w:rPr>
          <w:color w:val="538135" w:themeColor="accent6" w:themeShade="BF"/>
        </w:rPr>
      </w:pPr>
      <w:hyperlink r:id="rId13" w:history="1">
        <w:r w:rsidR="00385BAA" w:rsidRPr="00E5173E">
          <w:rPr>
            <w:rStyle w:val="Lienhypertexte"/>
            <w:color w:val="538135" w:themeColor="accent6" w:themeShade="BF"/>
          </w:rPr>
          <w:t>https://www.cnil.fr/sites/default/files/atoms/files/infographie_aipd.pdf</w:t>
        </w:r>
      </w:hyperlink>
      <w:r w:rsidR="00385BAA" w:rsidRPr="00E5173E">
        <w:rPr>
          <w:color w:val="538135" w:themeColor="accent6" w:themeShade="BF"/>
        </w:rPr>
        <w:t xml:space="preserve"> </w:t>
      </w:r>
    </w:p>
    <w:p w14:paraId="06FC1BE5" w14:textId="77777777" w:rsidR="00385BAA" w:rsidRPr="00E5173E" w:rsidRDefault="00F93EC1" w:rsidP="00385BAA">
      <w:pPr>
        <w:rPr>
          <w:color w:val="538135" w:themeColor="accent6" w:themeShade="BF"/>
        </w:rPr>
      </w:pPr>
      <w:hyperlink r:id="rId14" w:history="1">
        <w:r w:rsidR="00385BAA" w:rsidRPr="00E5173E">
          <w:rPr>
            <w:rStyle w:val="Lienhypertexte"/>
            <w:color w:val="538135" w:themeColor="accent6" w:themeShade="BF"/>
          </w:rPr>
          <w:t>https://www.cnil.fr/sites/default/files/atoms/files/liste-traitements-aipd-requise.pdf</w:t>
        </w:r>
      </w:hyperlink>
      <w:r w:rsidR="00385BAA" w:rsidRPr="00E5173E">
        <w:rPr>
          <w:color w:val="538135" w:themeColor="accent6" w:themeShade="BF"/>
        </w:rPr>
        <w:t xml:space="preserve"> </w:t>
      </w:r>
    </w:p>
    <w:p w14:paraId="10C6E50E" w14:textId="77777777" w:rsidR="00385BAA" w:rsidRPr="00E5173E" w:rsidRDefault="00F93EC1" w:rsidP="00385BAA">
      <w:pPr>
        <w:rPr>
          <w:color w:val="538135" w:themeColor="accent6" w:themeShade="BF"/>
        </w:rPr>
      </w:pPr>
      <w:hyperlink r:id="rId15" w:history="1">
        <w:r w:rsidR="00385BAA" w:rsidRPr="00E5173E">
          <w:rPr>
            <w:rStyle w:val="Lienhypertexte"/>
            <w:color w:val="538135" w:themeColor="accent6" w:themeShade="BF"/>
          </w:rPr>
          <w:t>https://www.cnil.fr/sites/default/files/atoms/files/liste-traitements-aipd-non-requise.pdf</w:t>
        </w:r>
      </w:hyperlink>
      <w:r w:rsidR="00385BAA" w:rsidRPr="00E5173E">
        <w:rPr>
          <w:color w:val="538135" w:themeColor="accent6" w:themeShade="BF"/>
        </w:rPr>
        <w:t xml:space="preserve"> </w:t>
      </w:r>
    </w:p>
    <w:p w14:paraId="394DFACA" w14:textId="77777777" w:rsidR="00385BAA" w:rsidRPr="00E5173E" w:rsidRDefault="00385BAA" w:rsidP="00385BAA">
      <w:pPr>
        <w:rPr>
          <w:color w:val="538135" w:themeColor="accent6" w:themeShade="BF"/>
        </w:rPr>
      </w:pPr>
      <w:r w:rsidRPr="00E5173E">
        <w:rPr>
          <w:color w:val="538135" w:themeColor="accent6" w:themeShade="BF"/>
        </w:rPr>
        <w:t>Mais alors qu’est-ce qu’une analyse d'impact relative à la protection des données (AIPD) et quand doit-elle être mise en place me direz-vous ? </w:t>
      </w:r>
    </w:p>
    <w:p w14:paraId="7F9AF3C4" w14:textId="77777777" w:rsidR="00385BAA" w:rsidRPr="00E5173E" w:rsidRDefault="00385BAA" w:rsidP="00385BAA">
      <w:pPr>
        <w:rPr>
          <w:color w:val="538135" w:themeColor="accent6" w:themeShade="BF"/>
        </w:rPr>
      </w:pPr>
      <w:r w:rsidRPr="00E5173E">
        <w:rPr>
          <w:color w:val="538135" w:themeColor="accent6" w:themeShade="BF"/>
        </w:rPr>
        <w:t>C’est un outil d’évaluation du potentiel impact du traitement sur la vie privée dès lors qu’il est susceptible d’impliquer des risques conséquents sur les droits et libertés des utilisateurs. Elle doit donc être réalisée avant la mise en œuvre du traitement. </w:t>
      </w:r>
    </w:p>
    <w:p w14:paraId="7686A4FB" w14:textId="77777777" w:rsidR="00385BAA" w:rsidRPr="006135D6" w:rsidRDefault="00385BAA" w:rsidP="00385BAA">
      <w:pPr>
        <w:rPr>
          <w:color w:val="7030A0"/>
        </w:rPr>
      </w:pPr>
      <w:r w:rsidRPr="00E5173E">
        <w:rPr>
          <w:color w:val="538135" w:themeColor="accent6" w:themeShade="BF"/>
        </w:rPr>
        <w:tab/>
      </w:r>
      <w:r w:rsidRPr="006135D6">
        <w:rPr>
          <w:color w:val="7030A0"/>
        </w:rPr>
        <w:t>I.3) Informer et protéger</w:t>
      </w:r>
    </w:p>
    <w:p w14:paraId="267417EA" w14:textId="77777777" w:rsidR="00385BAA" w:rsidRPr="006135D6" w:rsidRDefault="00385BAA" w:rsidP="00385BAA">
      <w:pPr>
        <w:rPr>
          <w:color w:val="7030A0"/>
        </w:rPr>
      </w:pPr>
      <w:r w:rsidRPr="006135D6">
        <w:rPr>
          <w:color w:val="7030A0"/>
        </w:rPr>
        <w:tab/>
      </w:r>
      <w:r w:rsidRPr="006135D6">
        <w:rPr>
          <w:color w:val="7030A0"/>
        </w:rPr>
        <w:tab/>
        <w:t>a) Les équipes et/ou sous-traitants.</w:t>
      </w:r>
    </w:p>
    <w:p w14:paraId="4EC620AF" w14:textId="77777777" w:rsidR="00385BAA" w:rsidRPr="006135D6" w:rsidRDefault="00385BAA" w:rsidP="00385BAA">
      <w:pPr>
        <w:rPr>
          <w:color w:val="7030A0"/>
        </w:rPr>
      </w:pPr>
      <w:r w:rsidRPr="006135D6">
        <w:rPr>
          <w:color w:val="7030A0"/>
        </w:rPr>
        <w:t xml:space="preserve">Le rôle du DPO, est comme nous l’avons dit, d’informer et de tenir à jour les équipes des directives à suivre. Cependant les traitements ne sont pas toujours réalisés en interne et il se peut que l’on ait recours à des sous-traitants. Mais alors quelles sont leurs obligations vis-à-vis de l’entreprise qui fournies les données et de ses utilisateurs. La réglementation prévoit que si un organisme traite ou </w:t>
      </w:r>
      <w:r w:rsidRPr="006135D6">
        <w:rPr>
          <w:color w:val="7030A0"/>
        </w:rPr>
        <w:lastRenderedPageBreak/>
        <w:t>collecte des données pour un tier, il a des devoirs notamment en matière de sécurité et de protection des données qui lui sont attribuées, de confidentialité, de documentation de ses activités pour le compte de son client. Les sous-traitants, de part leur statut, ont une obligation de conseil et d’aide de mise en conformité au RGPD dès lors qu’ils s’aperçoivent d’un manquement. Ils sont priés de tenir un registre des activités et d’aider à la mise en œuvre d’une AIPD.</w:t>
      </w:r>
    </w:p>
    <w:p w14:paraId="21E0A7A7" w14:textId="77777777" w:rsidR="00385BAA" w:rsidRPr="006135D6" w:rsidRDefault="00385BAA" w:rsidP="00385BAA">
      <w:pPr>
        <w:rPr>
          <w:color w:val="7030A0"/>
        </w:rPr>
      </w:pPr>
      <w:r w:rsidRPr="006135D6">
        <w:rPr>
          <w:color w:val="7030A0"/>
        </w:rPr>
        <w:t>Finalement, tout cela doit être concilier dans un contrat entre les deux parties.</w:t>
      </w:r>
    </w:p>
    <w:p w14:paraId="428C6F7C" w14:textId="77777777" w:rsidR="00385BAA" w:rsidRDefault="00385BAA" w:rsidP="00385BAA"/>
    <w:p w14:paraId="209DBC45" w14:textId="77777777" w:rsidR="00385BAA" w:rsidRPr="00E5173E" w:rsidRDefault="00385BAA" w:rsidP="00385BAA">
      <w:pPr>
        <w:rPr>
          <w:color w:val="7030A0"/>
        </w:rPr>
      </w:pPr>
      <w:r>
        <w:tab/>
      </w:r>
      <w:r w:rsidRPr="00E5173E">
        <w:rPr>
          <w:color w:val="7030A0"/>
        </w:rPr>
        <w:t>I.3) Informer et protéger</w:t>
      </w:r>
    </w:p>
    <w:p w14:paraId="5E4C5CD6" w14:textId="77777777" w:rsidR="00385BAA" w:rsidRPr="00E5173E" w:rsidRDefault="00385BAA" w:rsidP="00385BAA">
      <w:pPr>
        <w:rPr>
          <w:color w:val="7030A0"/>
        </w:rPr>
      </w:pPr>
      <w:r w:rsidRPr="00E5173E">
        <w:rPr>
          <w:color w:val="7030A0"/>
        </w:rPr>
        <w:tab/>
      </w:r>
      <w:r w:rsidRPr="00E5173E">
        <w:rPr>
          <w:color w:val="7030A0"/>
        </w:rPr>
        <w:tab/>
        <w:t>b) Les utilisateurs</w:t>
      </w:r>
    </w:p>
    <w:p w14:paraId="3292594E" w14:textId="184D65FE" w:rsidR="00385BAA" w:rsidRPr="00E5173E" w:rsidRDefault="001540BE" w:rsidP="00385BAA">
      <w:pPr>
        <w:rPr>
          <w:color w:val="7030A0"/>
        </w:rPr>
      </w:pPr>
      <w:r w:rsidRPr="00E5173E">
        <w:rPr>
          <w:color w:val="7030A0"/>
        </w:rPr>
        <w:t>Quel que</w:t>
      </w:r>
      <w:r w:rsidR="00385BAA" w:rsidRPr="00E5173E">
        <w:rPr>
          <w:color w:val="7030A0"/>
        </w:rPr>
        <w:t xml:space="preserve"> soit l’organisme qui traite des données personnelles, ses utilisateurs possèdent des droits qui ne peuvent leur être refuser. Ainsi les organismes collecteurs sont assujettis à une obligation de transparence qui leur impose d’informer les personnes concernées par la collecte de leurs données personnelles de leurs droits. On dénombre parmi ces droits : les droits d’accès, de rectification, de limitation, d’opposition et d’effacement. </w:t>
      </w:r>
    </w:p>
    <w:p w14:paraId="3378DDD4" w14:textId="77777777" w:rsidR="00385BAA" w:rsidRPr="00E5173E" w:rsidRDefault="00385BAA" w:rsidP="00385BAA">
      <w:pPr>
        <w:rPr>
          <w:color w:val="7030A0"/>
        </w:rPr>
      </w:pPr>
      <w:r w:rsidRPr="00E5173E">
        <w:rPr>
          <w:color w:val="7030A0"/>
        </w:rPr>
        <w:tab/>
      </w:r>
      <w:r w:rsidRPr="00E5173E">
        <w:rPr>
          <w:color w:val="7030A0"/>
        </w:rPr>
        <w:tab/>
      </w:r>
      <w:r w:rsidRPr="00E5173E">
        <w:rPr>
          <w:color w:val="7030A0"/>
        </w:rPr>
        <w:tab/>
        <w:t>i. Comment tenir informer les utilisateurs sur leurs droits</w:t>
      </w:r>
    </w:p>
    <w:p w14:paraId="3EE2D559" w14:textId="77777777" w:rsidR="00385BAA" w:rsidRPr="00E5173E" w:rsidRDefault="00385BAA" w:rsidP="00385BAA">
      <w:pPr>
        <w:rPr>
          <w:color w:val="7030A0"/>
        </w:rPr>
      </w:pPr>
      <w:r w:rsidRPr="00E5173E">
        <w:rPr>
          <w:color w:val="7030A0"/>
        </w:rPr>
        <w:t xml:space="preserve">Il est nécessaire de tenir informer l’utilisateur de ses droits lors de la collecte de ses données faite directement par un formulaire, lors d’achats en ligne ou indirectement comme des données de géolocalisation ou de trackings. Il est nécessaire de réinformer l’utilisateur de ses droits dès lors que les modalités d’utilisation de ses données sont amenées à changer. Par exemple :  nouvelle finalité ou bien nouveau destinataire. </w:t>
      </w:r>
    </w:p>
    <w:p w14:paraId="1F1F8E2D" w14:textId="77777777" w:rsidR="00385BAA" w:rsidRPr="00E5173E" w:rsidRDefault="00385BAA" w:rsidP="00385BAA">
      <w:pPr>
        <w:rPr>
          <w:color w:val="7030A0"/>
        </w:rPr>
      </w:pPr>
      <w:r w:rsidRPr="00E5173E">
        <w:rPr>
          <w:color w:val="7030A0"/>
        </w:rPr>
        <w:t>En plus des droits des utilisateurs les organismes de collecte doivent fournir : L'identité et les coordonnées de l’organisme qui collecte les données, les finalités, la base légale sur laquelle repose le traitement des données, le caractère obligatoire ou facultatif du recueil des données (ce qui suppose une réflexion en amont sur l’utilité de collecter ces données au vu de l’objectif poursuivi – principe de « minimisation » des données) et les conséquences pour la personne en cas de non-fourniture des données, les destinataires des données, la durée de conservation des données, les coordonnées du délégué à la protection des données de l’organisme, le droit d’introduire une réclamation auprès de la CNIL.</w:t>
      </w:r>
    </w:p>
    <w:p w14:paraId="189E1BD5" w14:textId="77777777" w:rsidR="00385BAA" w:rsidRPr="00E5173E" w:rsidRDefault="00F93EC1" w:rsidP="00385BAA">
      <w:pPr>
        <w:rPr>
          <w:color w:val="7030A0"/>
          <w:sz w:val="16"/>
          <w:szCs w:val="16"/>
        </w:rPr>
      </w:pPr>
      <w:hyperlink r:id="rId16" w:history="1">
        <w:r w:rsidR="00385BAA" w:rsidRPr="00E5173E">
          <w:rPr>
            <w:rStyle w:val="Lienhypertexte"/>
            <w:rFonts w:hAnsi="Calibri"/>
            <w:color w:val="7030A0"/>
            <w:kern w:val="24"/>
          </w:rPr>
          <w:t>https://www.cnil.fr/fr/informer-les-personnes</w:t>
        </w:r>
      </w:hyperlink>
      <w:r w:rsidR="00385BAA" w:rsidRPr="00E5173E">
        <w:rPr>
          <w:rFonts w:hAnsi="Calibri"/>
          <w:color w:val="7030A0"/>
          <w:kern w:val="24"/>
        </w:rPr>
        <w:t xml:space="preserve"> </w:t>
      </w:r>
    </w:p>
    <w:p w14:paraId="049E78CC" w14:textId="77777777" w:rsidR="00385BAA" w:rsidRPr="00E5173E" w:rsidRDefault="00385BAA" w:rsidP="00385BAA">
      <w:pPr>
        <w:rPr>
          <w:color w:val="7030A0"/>
        </w:rPr>
      </w:pPr>
      <w:r w:rsidRPr="00E5173E">
        <w:rPr>
          <w:color w:val="7030A0"/>
        </w:rPr>
        <w:tab/>
      </w:r>
      <w:r w:rsidRPr="00E5173E">
        <w:rPr>
          <w:color w:val="7030A0"/>
        </w:rPr>
        <w:tab/>
      </w:r>
      <w:r w:rsidRPr="00E5173E">
        <w:rPr>
          <w:color w:val="7030A0"/>
        </w:rPr>
        <w:tab/>
        <w:t>ii. Comment permettre aux utilisateurs d’exercer leurs droits</w:t>
      </w:r>
    </w:p>
    <w:p w14:paraId="4E8CE959" w14:textId="77777777" w:rsidR="00385BAA" w:rsidRPr="00E5173E" w:rsidRDefault="00385BAA" w:rsidP="00385BAA">
      <w:pPr>
        <w:rPr>
          <w:color w:val="7030A0"/>
        </w:rPr>
      </w:pPr>
    </w:p>
    <w:p w14:paraId="0EE0E0DD" w14:textId="77777777" w:rsidR="00385BAA" w:rsidRPr="00E5173E" w:rsidRDefault="00F93EC1" w:rsidP="00385BAA">
      <w:pPr>
        <w:rPr>
          <w:rFonts w:hAnsi="Calibri"/>
          <w:color w:val="7030A0"/>
          <w:kern w:val="24"/>
        </w:rPr>
      </w:pPr>
      <w:hyperlink r:id="rId17" w:history="1">
        <w:r w:rsidR="00385BAA" w:rsidRPr="00E5173E">
          <w:rPr>
            <w:rStyle w:val="Lienhypertexte"/>
            <w:rFonts w:hAnsi="Calibri"/>
            <w:color w:val="7030A0"/>
            <w:kern w:val="24"/>
          </w:rPr>
          <w:t>https://www.cnil.fr/fr/preparer-lexercice-des-droits-des-personnes</w:t>
        </w:r>
      </w:hyperlink>
      <w:r w:rsidR="00385BAA" w:rsidRPr="00E5173E">
        <w:rPr>
          <w:rFonts w:hAnsi="Calibri"/>
          <w:color w:val="7030A0"/>
          <w:kern w:val="24"/>
        </w:rPr>
        <w:t xml:space="preserve">  </w:t>
      </w:r>
    </w:p>
    <w:p w14:paraId="641F367B" w14:textId="77777777" w:rsidR="00385BAA" w:rsidRPr="00E5173E" w:rsidRDefault="00385BAA" w:rsidP="00385BAA">
      <w:pPr>
        <w:rPr>
          <w:color w:val="7030A0"/>
        </w:rPr>
      </w:pPr>
      <w:r w:rsidRPr="00E5173E">
        <w:rPr>
          <w:color w:val="7030A0"/>
        </w:rPr>
        <w:t>Il faut savoir que dès lors qu’une organisation collecte et traite des données, elle doit fournir des explications à ses utilisateurs sur où et comment exercer leurs droits. Un moyen simple est d’inclure les coordonnées du DPO à contacter lors des étapes d’informations des utilisateurs. Une autre manière est d’implémenter directement au sein de l’application des processus d’exercice des droits.</w:t>
      </w:r>
    </w:p>
    <w:p w14:paraId="1C79EF5E" w14:textId="77777777" w:rsidR="00385BAA" w:rsidRPr="00E5173E" w:rsidRDefault="00385BAA" w:rsidP="00385BAA">
      <w:pPr>
        <w:rPr>
          <w:color w:val="7030A0"/>
        </w:rPr>
      </w:pPr>
      <w:r w:rsidRPr="00E5173E">
        <w:rPr>
          <w:color w:val="7030A0"/>
        </w:rPr>
        <w:t>Attention toutefois, ces droits d’accès, de modifications doivent être accessibles mais sécurisés de sorte qu’une personne tiers ne puisse y avoir accès.</w:t>
      </w:r>
    </w:p>
    <w:p w14:paraId="0CE0A518" w14:textId="77777777" w:rsidR="00385BAA" w:rsidRPr="00E5173E" w:rsidRDefault="00385BAA" w:rsidP="00385BAA">
      <w:pPr>
        <w:rPr>
          <w:color w:val="7030A0"/>
        </w:rPr>
      </w:pPr>
      <w:r w:rsidRPr="00E5173E">
        <w:rPr>
          <w:color w:val="7030A0"/>
        </w:rPr>
        <w:t>Prenons un exemple :</w:t>
      </w:r>
    </w:p>
    <w:p w14:paraId="212A492F" w14:textId="77777777" w:rsidR="00385BAA" w:rsidRPr="00E5173E" w:rsidRDefault="00385BAA" w:rsidP="00385BAA">
      <w:pPr>
        <w:rPr>
          <w:color w:val="7030A0"/>
        </w:rPr>
      </w:pPr>
      <w:r w:rsidRPr="00E5173E">
        <w:rPr>
          <w:color w:val="7030A0"/>
        </w:rPr>
        <w:lastRenderedPageBreak/>
        <w:t>Droit à l'effacement : les personnes peuvent demander l’effacement de la totalité des données que l’entreprise détient à leur sujet.</w:t>
      </w:r>
    </w:p>
    <w:p w14:paraId="6E466424" w14:textId="77777777" w:rsidR="00385BAA" w:rsidRPr="00E5173E" w:rsidRDefault="00385BAA" w:rsidP="00385BAA">
      <w:pPr>
        <w:rPr>
          <w:color w:val="7030A0"/>
        </w:rPr>
      </w:pPr>
      <w:r w:rsidRPr="00E5173E">
        <w:rPr>
          <w:color w:val="7030A0"/>
        </w:rPr>
        <w:t>On peut imaginer de prévoir une option dans les comptes utilisateurs permettant d’effacer toutes les données relatives à une personne après vérifications du mot de passe.</w:t>
      </w:r>
    </w:p>
    <w:p w14:paraId="1D7CB1A4" w14:textId="77777777" w:rsidR="00385BAA" w:rsidRPr="00E5173E" w:rsidRDefault="00385BAA" w:rsidP="00385BAA">
      <w:pPr>
        <w:rPr>
          <w:color w:val="7030A0"/>
        </w:rPr>
      </w:pPr>
      <w:r w:rsidRPr="00E5173E">
        <w:rPr>
          <w:color w:val="7030A0"/>
        </w:rPr>
        <w:t>Attention il faut veiller également à soumettre une notification aux sous-traitants afin qu’ils effacent eux aussi les données relatives à cette personne ainsi qu’à effacer les données des sauvegardes dans le but de rendre toute restauration des données impossible.</w:t>
      </w:r>
    </w:p>
    <w:p w14:paraId="53B79E18" w14:textId="77777777" w:rsidR="00385BAA" w:rsidRPr="00E5173E" w:rsidRDefault="00385BAA" w:rsidP="00385BAA">
      <w:pPr>
        <w:rPr>
          <w:color w:val="7030A0"/>
        </w:rPr>
      </w:pPr>
    </w:p>
    <w:p w14:paraId="4638DD6E" w14:textId="77777777" w:rsidR="00385BAA" w:rsidRPr="00E5173E" w:rsidRDefault="00385BAA" w:rsidP="00385BAA">
      <w:pPr>
        <w:rPr>
          <w:color w:val="7030A0"/>
        </w:rPr>
      </w:pPr>
    </w:p>
    <w:p w14:paraId="190BA594" w14:textId="77777777" w:rsidR="00281BEC" w:rsidRDefault="00385BAA" w:rsidP="00385BAA">
      <w:pPr>
        <w:rPr>
          <w:color w:val="7030A0"/>
        </w:rPr>
      </w:pPr>
      <w:r w:rsidRPr="00E5173E">
        <w:rPr>
          <w:color w:val="7030A0"/>
        </w:rPr>
        <w:t xml:space="preserve">Pour récapituler : </w:t>
      </w:r>
    </w:p>
    <w:p w14:paraId="4DEA0B0B" w14:textId="6620A4D5" w:rsidR="00385BAA" w:rsidRPr="00E5173E" w:rsidRDefault="00281BEC" w:rsidP="00385BAA">
      <w:pPr>
        <w:rPr>
          <w:color w:val="7030A0"/>
        </w:rPr>
      </w:pPr>
      <w:r>
        <w:rPr>
          <w:color w:val="7030A0"/>
        </w:rPr>
        <w:t xml:space="preserve">L’objectif </w:t>
      </w:r>
      <w:r w:rsidR="00385BAA" w:rsidRPr="00E5173E">
        <w:rPr>
          <w:color w:val="7030A0"/>
        </w:rPr>
        <w:t>de la soumission à l’ensemble des préconisations de la CNIL est de pouvoir à tout moment du développement et du lancement de l’application de justifier sa conformité au RGPD.  Cela implique notamment un réexamen et une actualisation réguliers de la documentation des développements afin qu'elle soit en permanence en cohérence avec les fonctionnalités.</w:t>
      </w:r>
    </w:p>
    <w:p w14:paraId="26B68B93" w14:textId="25168A2B" w:rsidR="00385BAA" w:rsidRPr="00E5173E" w:rsidRDefault="00385BAA" w:rsidP="00385BAA">
      <w:pPr>
        <w:rPr>
          <w:color w:val="7030A0"/>
        </w:rPr>
      </w:pPr>
      <w:r w:rsidRPr="00E5173E">
        <w:rPr>
          <w:color w:val="7030A0"/>
        </w:rPr>
        <w:t xml:space="preserve">Pour prouver sa conformité au règlement, il faut constituer et regrouper la documentation </w:t>
      </w:r>
      <w:r w:rsidR="00BF6FA5">
        <w:rPr>
          <w:color w:val="7030A0"/>
        </w:rPr>
        <w:t>suivante</w:t>
      </w:r>
      <w:r w:rsidRPr="00E5173E">
        <w:rPr>
          <w:color w:val="7030A0"/>
        </w:rPr>
        <w:t>:</w:t>
      </w:r>
    </w:p>
    <w:p w14:paraId="4415536E" w14:textId="77777777" w:rsidR="00385BAA" w:rsidRPr="00E5173E" w:rsidRDefault="00385BAA" w:rsidP="00385BAA">
      <w:pPr>
        <w:pStyle w:val="Paragraphedeliste"/>
        <w:numPr>
          <w:ilvl w:val="0"/>
          <w:numId w:val="20"/>
        </w:numPr>
        <w:rPr>
          <w:color w:val="7030A0"/>
        </w:rPr>
      </w:pPr>
      <w:r w:rsidRPr="00E5173E">
        <w:rPr>
          <w:color w:val="7030A0"/>
        </w:rPr>
        <w:t>La documentation sur les traitements de données personnelles tels que : registre de traitement, AIPD, encadrement des transferts de données hors de l’Union européenne ; </w:t>
      </w:r>
    </w:p>
    <w:p w14:paraId="012E7250" w14:textId="77777777" w:rsidR="00385BAA" w:rsidRPr="00E5173E" w:rsidRDefault="00385BAA" w:rsidP="00385BAA">
      <w:pPr>
        <w:numPr>
          <w:ilvl w:val="0"/>
          <w:numId w:val="20"/>
        </w:numPr>
        <w:tabs>
          <w:tab w:val="left" w:pos="720"/>
        </w:tabs>
        <w:rPr>
          <w:color w:val="7030A0"/>
        </w:rPr>
      </w:pPr>
      <w:r w:rsidRPr="00E5173E">
        <w:rPr>
          <w:color w:val="7030A0"/>
        </w:rPr>
        <w:t>La documentation concernant l’information des personnes telle que : les mentions d’information et les procédures mises en place pour l’exercice des droits ;</w:t>
      </w:r>
    </w:p>
    <w:p w14:paraId="6DE4283F" w14:textId="77777777" w:rsidR="00385BAA" w:rsidRPr="00E5173E" w:rsidRDefault="00385BAA" w:rsidP="00385BAA">
      <w:pPr>
        <w:numPr>
          <w:ilvl w:val="0"/>
          <w:numId w:val="20"/>
        </w:numPr>
        <w:tabs>
          <w:tab w:val="left" w:pos="720"/>
        </w:tabs>
        <w:rPr>
          <w:color w:val="7030A0"/>
        </w:rPr>
      </w:pPr>
      <w:r w:rsidRPr="00E5173E">
        <w:rPr>
          <w:color w:val="7030A0"/>
        </w:rPr>
        <w:t>La documentation concernant les contrats définissant les rôles et les responsabilités des différents acteurs tels que : contrats avec les sous-traitants, preuves du consentement des personnes concernées …</w:t>
      </w:r>
    </w:p>
    <w:p w14:paraId="6566715B" w14:textId="77777777" w:rsidR="00385BAA" w:rsidRPr="00E5173E" w:rsidRDefault="00385BAA" w:rsidP="00385BAA">
      <w:pPr>
        <w:rPr>
          <w:color w:val="7030A0"/>
        </w:rPr>
      </w:pPr>
    </w:p>
    <w:p w14:paraId="261790F1" w14:textId="77777777" w:rsidR="00385BAA" w:rsidRPr="00E5173E" w:rsidRDefault="00385BAA" w:rsidP="00385BAA">
      <w:pPr>
        <w:pStyle w:val="Paragraphedeliste"/>
        <w:numPr>
          <w:ilvl w:val="0"/>
          <w:numId w:val="9"/>
        </w:numPr>
        <w:rPr>
          <w:color w:val="538135" w:themeColor="accent6" w:themeShade="BF"/>
        </w:rPr>
      </w:pPr>
      <w:r w:rsidRPr="00E5173E">
        <w:rPr>
          <w:color w:val="538135" w:themeColor="accent6" w:themeShade="BF"/>
        </w:rPr>
        <w:t>Les points spécifiques à souligner</w:t>
      </w:r>
    </w:p>
    <w:p w14:paraId="71204211" w14:textId="77777777" w:rsidR="00385BAA" w:rsidRPr="00E5173E" w:rsidRDefault="00385BAA" w:rsidP="00385BAA">
      <w:pPr>
        <w:pStyle w:val="Paragraphedeliste"/>
        <w:ind w:left="1080"/>
        <w:rPr>
          <w:color w:val="538135" w:themeColor="accent6" w:themeShade="BF"/>
        </w:rPr>
      </w:pPr>
      <w:r w:rsidRPr="00E5173E">
        <w:rPr>
          <w:color w:val="538135" w:themeColor="accent6" w:themeShade="BF"/>
        </w:rPr>
        <w:t>II.1) La sécurisation des données</w:t>
      </w:r>
    </w:p>
    <w:p w14:paraId="7D93822E" w14:textId="77777777" w:rsidR="00385BAA" w:rsidRPr="00E5173E" w:rsidRDefault="00385BAA" w:rsidP="00385BAA">
      <w:pPr>
        <w:pStyle w:val="Paragraphedeliste"/>
        <w:numPr>
          <w:ilvl w:val="0"/>
          <w:numId w:val="23"/>
        </w:numPr>
        <w:rPr>
          <w:color w:val="538135" w:themeColor="accent6" w:themeShade="BF"/>
        </w:rPr>
      </w:pPr>
      <w:r w:rsidRPr="00E5173E">
        <w:rPr>
          <w:color w:val="538135" w:themeColor="accent6" w:themeShade="BF"/>
        </w:rPr>
        <w:t>Sécurisé son environnement de développement</w:t>
      </w:r>
    </w:p>
    <w:p w14:paraId="1EF6103B" w14:textId="77777777" w:rsidR="00385BAA" w:rsidRPr="00E5173E" w:rsidRDefault="00385BAA" w:rsidP="00385BAA">
      <w:pPr>
        <w:rPr>
          <w:color w:val="538135" w:themeColor="accent6" w:themeShade="BF"/>
        </w:rPr>
      </w:pPr>
      <w:r w:rsidRPr="00E5173E">
        <w:rPr>
          <w:color w:val="538135" w:themeColor="accent6" w:themeShade="BF"/>
        </w:rPr>
        <w:t>Conserver la sécurité des serveurs de production, de développement, d'intégration continue ainsi que les postes de travail des développeurs joue un rôle primordial dans la protection des données car ils en constituent un accès à un grand nombre.</w:t>
      </w:r>
    </w:p>
    <w:p w14:paraId="60D9621A" w14:textId="77777777" w:rsidR="00385BAA" w:rsidRPr="00E5173E" w:rsidRDefault="00385BAA" w:rsidP="00385BAA">
      <w:pPr>
        <w:rPr>
          <w:color w:val="538135" w:themeColor="accent6" w:themeShade="BF"/>
        </w:rPr>
      </w:pPr>
      <w:r w:rsidRPr="00E5173E">
        <w:rPr>
          <w:color w:val="538135" w:themeColor="accent6" w:themeShade="BF"/>
        </w:rPr>
        <w:t xml:space="preserve">La première étape est donc d’évaluer les risques inhérents aux outils et processus utilisés pour le développement. Attention aux accès sur les outils dans le cloud, typiquement GitHub. Il est nécessaire de recenser les mesures de sécurité existantes et de définir une personne en charge de la couverture de risques. </w:t>
      </w:r>
    </w:p>
    <w:p w14:paraId="0E9561E8" w14:textId="77777777" w:rsidR="00385BAA" w:rsidRPr="00E5173E" w:rsidRDefault="00385BAA" w:rsidP="00385BAA">
      <w:pPr>
        <w:rPr>
          <w:color w:val="538135" w:themeColor="accent6" w:themeShade="BF"/>
        </w:rPr>
      </w:pPr>
    </w:p>
    <w:p w14:paraId="13D9A852" w14:textId="77777777" w:rsidR="00385BAA" w:rsidRPr="00E5173E" w:rsidRDefault="00385BAA" w:rsidP="00385BAA">
      <w:pPr>
        <w:rPr>
          <w:color w:val="538135" w:themeColor="accent6" w:themeShade="BF"/>
        </w:rPr>
      </w:pPr>
      <w:r w:rsidRPr="00E5173E">
        <w:rPr>
          <w:color w:val="538135" w:themeColor="accent6" w:themeShade="BF"/>
        </w:rPr>
        <w:t xml:space="preserve">La seconde étape est de sécuriser les serveurs et les postes de travail d'une façon homogène et reproductible afin que toute nouvelle personne puisse se mettre à jour vis-à-vis des dispositions liées à la sécurité des données. La CNIL offre une liste de recommandation sur ce sujet. Mettre en commun dans un document les différentes mesures et configurations peut être un bon moyen de les </w:t>
      </w:r>
      <w:r w:rsidRPr="00E5173E">
        <w:rPr>
          <w:color w:val="538135" w:themeColor="accent6" w:themeShade="BF"/>
        </w:rPr>
        <w:lastRenderedPageBreak/>
        <w:t>homogénéisé et de les rendre reproductibles. Enfin les mises à jour régulières sont indispensables à l’efficacité du système de sécurisation des données.</w:t>
      </w:r>
    </w:p>
    <w:p w14:paraId="201B1D9E" w14:textId="77777777" w:rsidR="00385BAA" w:rsidRPr="00E5173E" w:rsidRDefault="00F93EC1" w:rsidP="00385BAA">
      <w:pPr>
        <w:rPr>
          <w:color w:val="538135" w:themeColor="accent6" w:themeShade="BF"/>
        </w:rPr>
      </w:pPr>
      <w:hyperlink r:id="rId18" w:history="1">
        <w:r w:rsidR="00385BAA" w:rsidRPr="00E5173E">
          <w:rPr>
            <w:rStyle w:val="Lienhypertexte"/>
            <w:color w:val="538135" w:themeColor="accent6" w:themeShade="BF"/>
          </w:rPr>
          <w:t>https://www.cnil.fr/sites/default/files/atoms/files/cnil_guide_securite_personnelle.pdf</w:t>
        </w:r>
      </w:hyperlink>
      <w:r w:rsidR="00385BAA" w:rsidRPr="00E5173E">
        <w:rPr>
          <w:color w:val="538135" w:themeColor="accent6" w:themeShade="BF"/>
        </w:rPr>
        <w:t xml:space="preserve"> </w:t>
      </w:r>
    </w:p>
    <w:p w14:paraId="4B4C0958" w14:textId="77777777" w:rsidR="00385BAA" w:rsidRPr="00E5173E" w:rsidRDefault="00385BAA" w:rsidP="00385BAA">
      <w:pPr>
        <w:rPr>
          <w:color w:val="538135" w:themeColor="accent6" w:themeShade="BF"/>
        </w:rPr>
      </w:pPr>
      <w:r w:rsidRPr="00E5173E">
        <w:rPr>
          <w:color w:val="538135" w:themeColor="accent6" w:themeShade="BF"/>
        </w:rPr>
        <w:t>Une dernière étape peut être d’optimiser la gestion des accès aux données et de tracer toute intervention sur les jeux de données tout cela répertorié dans des journaux de logs.</w:t>
      </w:r>
    </w:p>
    <w:p w14:paraId="3F0F51BB" w14:textId="77777777" w:rsidR="00385BAA" w:rsidRPr="00E5173E" w:rsidRDefault="00385BAA" w:rsidP="00385BAA">
      <w:pPr>
        <w:pStyle w:val="Paragraphedeliste"/>
        <w:numPr>
          <w:ilvl w:val="0"/>
          <w:numId w:val="23"/>
        </w:numPr>
        <w:rPr>
          <w:color w:val="538135" w:themeColor="accent6" w:themeShade="BF"/>
        </w:rPr>
      </w:pPr>
      <w:r w:rsidRPr="00E5173E">
        <w:rPr>
          <w:color w:val="538135" w:themeColor="accent6" w:themeShade="BF"/>
        </w:rPr>
        <w:t>La gestion du code source</w:t>
      </w:r>
    </w:p>
    <w:p w14:paraId="49BF47D4" w14:textId="77777777" w:rsidR="00385BAA" w:rsidRPr="00E5173E" w:rsidRDefault="00385BAA" w:rsidP="00385BAA">
      <w:pPr>
        <w:rPr>
          <w:color w:val="538135" w:themeColor="accent6" w:themeShade="BF"/>
        </w:rPr>
      </w:pPr>
      <w:r w:rsidRPr="00E5173E">
        <w:rPr>
          <w:color w:val="538135" w:themeColor="accent6" w:themeShade="BF"/>
        </w:rPr>
        <w:t>De même que l’environnement de travail, la gestion du code source fait partie des actions de protections des données. Il est indispensable de connaitre le contenu du code source car celui-ci peut contenir des données personnelles qu’il ne faudrait divulguer. Pour cela des systèmes de Scanner de code permette de vérifier sa bonne qualité.</w:t>
      </w:r>
    </w:p>
    <w:p w14:paraId="4A336223" w14:textId="77777777" w:rsidR="00385BAA" w:rsidRPr="00E5173E" w:rsidRDefault="00385BAA" w:rsidP="00385BAA">
      <w:pPr>
        <w:rPr>
          <w:color w:val="538135" w:themeColor="accent6" w:themeShade="BF"/>
        </w:rPr>
      </w:pPr>
      <w:r w:rsidRPr="00E5173E">
        <w:rPr>
          <w:color w:val="538135" w:themeColor="accent6" w:themeShade="BF"/>
        </w:rPr>
        <w:t xml:space="preserve">De plus, il peut être utile d’avoir recours à un logiciel de versionning, comme Git, qui permet de garder trace des avancées du développement en cours et de naviguer entre les différents stades d’avancement du projet. Il est donc possible d’intervenir sur un bout de code dont la non-conformité au RGPD avait échappé à l’attention du responsable et de le modifier de façon post-dev. Toutefois, utiliser ce genre de logiciel implique des responsabilités notamment en termes d’accès et d’authentification. La CNIL conseille la mise en place d’une authentification forte voire même par clé SSH et que les accès soient nivelés et que les groupes formés aient des permissions spécifiques à leur besoin. </w:t>
      </w:r>
    </w:p>
    <w:p w14:paraId="3048B58D" w14:textId="77777777" w:rsidR="00385BAA" w:rsidRPr="00E5173E" w:rsidRDefault="00385BAA" w:rsidP="00385BAA">
      <w:pPr>
        <w:rPr>
          <w:color w:val="538135" w:themeColor="accent6" w:themeShade="BF"/>
        </w:rPr>
      </w:pPr>
      <w:r w:rsidRPr="00E5173E">
        <w:rPr>
          <w:color w:val="538135" w:themeColor="accent6" w:themeShade="BF"/>
        </w:rPr>
        <w:t>Enfin avant de publier le code en ligne, il faut s’assurer que cette action ne constitue pas un risque pour l’utilisateur. Pour cela des étapes de chiffrements déchiffrements des fichiers sources avant l’envoie du dépôt ainsi qu’une purge de ce dernier une fois le dépôt réalisé peuvent être mise en place.</w:t>
      </w:r>
    </w:p>
    <w:p w14:paraId="7069BE15" w14:textId="77777777" w:rsidR="00385BAA" w:rsidRPr="00E5173E" w:rsidRDefault="00385BAA" w:rsidP="00385BAA">
      <w:pPr>
        <w:pStyle w:val="Paragraphedeliste"/>
        <w:numPr>
          <w:ilvl w:val="0"/>
          <w:numId w:val="23"/>
        </w:numPr>
        <w:rPr>
          <w:color w:val="538135" w:themeColor="accent6" w:themeShade="BF"/>
        </w:rPr>
      </w:pPr>
      <w:r w:rsidRPr="00E5173E">
        <w:rPr>
          <w:color w:val="538135" w:themeColor="accent6" w:themeShade="BF"/>
        </w:rPr>
        <w:t>Choix de l’architecture</w:t>
      </w:r>
    </w:p>
    <w:p w14:paraId="23AE1FFF" w14:textId="77777777" w:rsidR="00385BAA" w:rsidRPr="00E5173E" w:rsidRDefault="00385BAA" w:rsidP="00385BAA">
      <w:pPr>
        <w:rPr>
          <w:color w:val="538135" w:themeColor="accent6" w:themeShade="BF"/>
          <w:shd w:val="clear" w:color="auto" w:fill="FFFFFF"/>
        </w:rPr>
      </w:pPr>
      <w:r w:rsidRPr="00E5173E">
        <w:rPr>
          <w:color w:val="538135" w:themeColor="accent6" w:themeShade="BF"/>
          <w:shd w:val="clear" w:color="auto" w:fill="FFFFFF"/>
        </w:rPr>
        <w:t xml:space="preserve">En s’appuyant sur le registre d’activité et sur l’analyse d’impact, il est possible de conceptualiser l’architecture de l’application en prenant compte du parcours et du cycle de vie des données personnelles en son sein. Le choix des supports de données (stockage local, serveur, cloud) est une étape fondamentale de la conceptualisation de l’application. </w:t>
      </w:r>
    </w:p>
    <w:p w14:paraId="6A0E308F" w14:textId="77777777" w:rsidR="00385BAA" w:rsidRPr="00E5173E" w:rsidRDefault="00385BAA" w:rsidP="00385BAA">
      <w:pPr>
        <w:rPr>
          <w:color w:val="538135" w:themeColor="accent6" w:themeShade="BF"/>
          <w:shd w:val="clear" w:color="auto" w:fill="FFFFFF"/>
        </w:rPr>
      </w:pPr>
      <w:r w:rsidRPr="00E5173E">
        <w:rPr>
          <w:color w:val="538135" w:themeColor="accent6" w:themeShade="BF"/>
          <w:shd w:val="clear" w:color="auto" w:fill="FFFFFF"/>
        </w:rPr>
        <w:t>La création de schéma de flux de données au sein de l’application peut permettre d’identifier les faiblesses de sécurité. De même lors des flux de données vers les espaces de stockages, il faut veiller à ce que l’intégrité de ces mêmes données soit conserver en route.</w:t>
      </w:r>
    </w:p>
    <w:p w14:paraId="3D69BD42" w14:textId="77777777" w:rsidR="00385BAA" w:rsidRPr="00E5173E" w:rsidRDefault="00385BAA" w:rsidP="00385BAA">
      <w:pPr>
        <w:rPr>
          <w:color w:val="538135" w:themeColor="accent6" w:themeShade="BF"/>
          <w:shd w:val="clear" w:color="auto" w:fill="FFFFFF"/>
        </w:rPr>
      </w:pPr>
      <w:r w:rsidRPr="00E5173E">
        <w:rPr>
          <w:color w:val="538135" w:themeColor="accent6" w:themeShade="BF"/>
          <w:shd w:val="clear" w:color="auto" w:fill="FFFFFF"/>
        </w:rPr>
        <w:t xml:space="preserve">Une autre possibilité est d’avoir recours à un prestataire pour l’hébergement. Pour cela, il faut s’assurer que les politiques du prestataire en matière de sécurisation des données et de transparence vis-à-vis de l’utilisateur sont en accord avec celles de l’entreprise et que les serveurs sont localisés dans des zones où le RGPD est en vigueur. </w:t>
      </w:r>
    </w:p>
    <w:p w14:paraId="1C8E689E" w14:textId="77777777" w:rsidR="00385BAA" w:rsidRPr="00E5173E" w:rsidRDefault="00385BAA" w:rsidP="00385BAA">
      <w:pPr>
        <w:pStyle w:val="Paragraphedeliste"/>
        <w:ind w:left="1780"/>
        <w:rPr>
          <w:color w:val="538135" w:themeColor="accent6" w:themeShade="BF"/>
        </w:rPr>
      </w:pPr>
    </w:p>
    <w:p w14:paraId="1E502E7F" w14:textId="77777777" w:rsidR="00385BAA" w:rsidRPr="00E5173E" w:rsidRDefault="00385BAA" w:rsidP="00385BAA">
      <w:pPr>
        <w:pStyle w:val="Paragraphedeliste"/>
        <w:numPr>
          <w:ilvl w:val="0"/>
          <w:numId w:val="23"/>
        </w:numPr>
        <w:rPr>
          <w:color w:val="538135" w:themeColor="accent6" w:themeShade="BF"/>
        </w:rPr>
      </w:pPr>
      <w:r w:rsidRPr="00E5173E">
        <w:rPr>
          <w:color w:val="538135" w:themeColor="accent6" w:themeShade="BF"/>
        </w:rPr>
        <w:t>La gestion des permissions</w:t>
      </w:r>
    </w:p>
    <w:p w14:paraId="0514815A" w14:textId="77777777" w:rsidR="00385BAA" w:rsidRPr="00E5173E" w:rsidRDefault="00385BAA" w:rsidP="00385BAA">
      <w:pPr>
        <w:rPr>
          <w:color w:val="538135" w:themeColor="accent6" w:themeShade="BF"/>
        </w:rPr>
      </w:pPr>
      <w:r w:rsidRPr="00E5173E">
        <w:rPr>
          <w:color w:val="538135" w:themeColor="accent6" w:themeShade="BF"/>
        </w:rPr>
        <w:t xml:space="preserve">La gestion des permissions consista à définir différents profils aux autorisations d’accès et aux habilitations différentes de sorte que chacun n’est accès qu’aux données dont il a réellement besoin. Tout d’abord chaque collaborateur doit être identifiable par un numéro unique ce qui permet l’authentification à un groupe et l’attribution des droits correspondant. Toutes ces connexions peuvent être répertoriées grâce à un système de journalisation (journaux de logs précédemment mentionnés). Ces journaux de logs peuvent présenter l’avantage de facilité la détection de faille de sécurité au sein </w:t>
      </w:r>
      <w:r w:rsidRPr="00E5173E">
        <w:rPr>
          <w:color w:val="538135" w:themeColor="accent6" w:themeShade="BF"/>
        </w:rPr>
        <w:lastRenderedPageBreak/>
        <w:t>de l’application ou bien lors de son développement. Des tests d’intrusions peuvent également être menés dans le but de tester la robustesse du système et la visualisation de cette intrusion dans les fichiers de logs.</w:t>
      </w:r>
    </w:p>
    <w:p w14:paraId="7EB30A8C" w14:textId="77777777" w:rsidR="00385BAA" w:rsidRPr="00E5173E" w:rsidRDefault="00385BAA" w:rsidP="00385BAA">
      <w:pPr>
        <w:pStyle w:val="Paragraphedeliste"/>
        <w:numPr>
          <w:ilvl w:val="0"/>
          <w:numId w:val="23"/>
        </w:numPr>
        <w:rPr>
          <w:color w:val="538135" w:themeColor="accent6" w:themeShade="BF"/>
        </w:rPr>
      </w:pPr>
      <w:r w:rsidRPr="00E5173E">
        <w:rPr>
          <w:color w:val="538135" w:themeColor="accent6" w:themeShade="BF"/>
        </w:rPr>
        <w:t>Sécurisation des données</w:t>
      </w:r>
    </w:p>
    <w:p w14:paraId="35A8872F" w14:textId="77777777" w:rsidR="00385BAA" w:rsidRPr="00E5173E" w:rsidRDefault="00385BAA" w:rsidP="00385BAA">
      <w:pPr>
        <w:rPr>
          <w:color w:val="538135" w:themeColor="accent6" w:themeShade="BF"/>
        </w:rPr>
      </w:pPr>
    </w:p>
    <w:p w14:paraId="1D56E653" w14:textId="77777777" w:rsidR="00385BAA" w:rsidRPr="00E5173E" w:rsidRDefault="00385BAA" w:rsidP="00385BAA">
      <w:pPr>
        <w:rPr>
          <w:color w:val="538135" w:themeColor="accent6" w:themeShade="BF"/>
        </w:rPr>
      </w:pPr>
      <w:r w:rsidRPr="00E5173E">
        <w:rPr>
          <w:color w:val="538135" w:themeColor="accent6" w:themeShade="BF"/>
        </w:rPr>
        <w:t xml:space="preserve">Il est tout aussi important d’être transparent vis-à-vis des utilisateurs dont on collecte les données que d’être le plus opaque possible vis-à-vis des menaces externes. Il ne faut pas minimiser l’impact sur les personnes concernées de la perte, la modification involontaire ou la divulgation de leurs données. </w:t>
      </w:r>
    </w:p>
    <w:p w14:paraId="29CEC63C" w14:textId="77777777" w:rsidR="00385BAA" w:rsidRPr="00E5173E" w:rsidRDefault="00385BAA" w:rsidP="00385BAA">
      <w:pPr>
        <w:rPr>
          <w:color w:val="538135" w:themeColor="accent6" w:themeShade="BF"/>
        </w:rPr>
      </w:pPr>
      <w:r w:rsidRPr="00E5173E">
        <w:rPr>
          <w:color w:val="538135" w:themeColor="accent6" w:themeShade="BF"/>
        </w:rPr>
        <w:t>Les mesures à considérer diffèrent selon la criticité des données traitées et des risques qui pèsent sur les personnes en cas d’incident. Ainsi on peut citer des actions comme les mises à jour des différents logiciels et antivirus, le changement régulier des mots de passes ainsi que l’option du chiffrement des données.</w:t>
      </w:r>
    </w:p>
    <w:p w14:paraId="7C97BB98" w14:textId="77777777" w:rsidR="00385BAA" w:rsidRPr="00E5173E" w:rsidRDefault="00385BAA" w:rsidP="00385BAA">
      <w:pPr>
        <w:rPr>
          <w:color w:val="538135" w:themeColor="accent6" w:themeShade="BF"/>
        </w:rPr>
      </w:pPr>
      <w:r w:rsidRPr="00E5173E">
        <w:rPr>
          <w:color w:val="538135" w:themeColor="accent6" w:themeShade="BF"/>
        </w:rPr>
        <w:t xml:space="preserve">Encore une fois La CNIL met à disposition des méthodes et outils pour se conformer à l’un des trois niveaux de sécurité exposés : </w:t>
      </w:r>
    </w:p>
    <w:p w14:paraId="6404A137" w14:textId="77777777" w:rsidR="00385BAA" w:rsidRPr="00E5173E" w:rsidRDefault="00385BAA" w:rsidP="00385BAA">
      <w:pPr>
        <w:rPr>
          <w:color w:val="538135" w:themeColor="accent6" w:themeShade="BF"/>
        </w:rPr>
      </w:pPr>
      <w:r w:rsidRPr="00E5173E">
        <w:rPr>
          <w:color w:val="538135" w:themeColor="accent6" w:themeShade="BF"/>
        </w:rPr>
        <w:t>Niveau 1 : le minimum pour démarrer</w:t>
      </w:r>
    </w:p>
    <w:p w14:paraId="20A9A382" w14:textId="77777777" w:rsidR="00385BAA" w:rsidRPr="00E5173E" w:rsidRDefault="00385BAA" w:rsidP="00385BAA">
      <w:pPr>
        <w:rPr>
          <w:color w:val="538135" w:themeColor="accent6" w:themeShade="BF"/>
        </w:rPr>
      </w:pPr>
      <w:r w:rsidRPr="00E5173E">
        <w:rPr>
          <w:color w:val="538135" w:themeColor="accent6" w:themeShade="BF"/>
        </w:rPr>
        <w:t>Le niveau de sécurité minimum est dicté par une série de règles essentiels publiés par l’ANSSI et la CPME. Parmi les 12 figurent notamment :</w:t>
      </w:r>
    </w:p>
    <w:p w14:paraId="26F2749D" w14:textId="77777777" w:rsidR="00385BAA" w:rsidRPr="00E5173E" w:rsidRDefault="00385BAA" w:rsidP="00385BAA">
      <w:pPr>
        <w:pStyle w:val="Paragraphedeliste"/>
        <w:numPr>
          <w:ilvl w:val="0"/>
          <w:numId w:val="20"/>
        </w:numPr>
        <w:rPr>
          <w:color w:val="538135" w:themeColor="accent6" w:themeShade="BF"/>
        </w:rPr>
      </w:pPr>
      <w:r w:rsidRPr="00E5173E">
        <w:rPr>
          <w:color w:val="538135" w:themeColor="accent6" w:themeShade="BF"/>
        </w:rPr>
        <w:t>Le choix de mots de passe de complexité élevée</w:t>
      </w:r>
    </w:p>
    <w:p w14:paraId="3E708254" w14:textId="77777777" w:rsidR="00385BAA" w:rsidRPr="00E5173E" w:rsidRDefault="00385BAA" w:rsidP="00385BAA">
      <w:pPr>
        <w:pStyle w:val="Paragraphedeliste"/>
        <w:numPr>
          <w:ilvl w:val="0"/>
          <w:numId w:val="20"/>
        </w:numPr>
        <w:rPr>
          <w:color w:val="538135" w:themeColor="accent6" w:themeShade="BF"/>
        </w:rPr>
      </w:pPr>
      <w:r w:rsidRPr="00E5173E">
        <w:rPr>
          <w:color w:val="538135" w:themeColor="accent6" w:themeShade="BF"/>
        </w:rPr>
        <w:t>Des sauvegardes et des mises à jour régulières</w:t>
      </w:r>
    </w:p>
    <w:p w14:paraId="7D449B71" w14:textId="77777777" w:rsidR="00385BAA" w:rsidRPr="00E5173E" w:rsidRDefault="00385BAA" w:rsidP="00385BAA">
      <w:pPr>
        <w:pStyle w:val="Paragraphedeliste"/>
        <w:numPr>
          <w:ilvl w:val="0"/>
          <w:numId w:val="20"/>
        </w:numPr>
        <w:rPr>
          <w:color w:val="538135" w:themeColor="accent6" w:themeShade="BF"/>
        </w:rPr>
      </w:pPr>
      <w:r w:rsidRPr="00E5173E">
        <w:rPr>
          <w:color w:val="538135" w:themeColor="accent6" w:themeShade="BF"/>
        </w:rPr>
        <w:t>Séparer la messagerie professionnelle de la messagerie personnelle</w:t>
      </w:r>
    </w:p>
    <w:p w14:paraId="4C0C3077" w14:textId="77777777" w:rsidR="00385BAA" w:rsidRPr="00E5173E" w:rsidRDefault="00385BAA" w:rsidP="00385BAA">
      <w:pPr>
        <w:rPr>
          <w:color w:val="538135" w:themeColor="accent6" w:themeShade="BF"/>
        </w:rPr>
      </w:pPr>
      <w:r w:rsidRPr="00E5173E">
        <w:rPr>
          <w:color w:val="538135" w:themeColor="accent6" w:themeShade="BF"/>
        </w:rPr>
        <w:t>(</w:t>
      </w:r>
      <w:hyperlink r:id="rId19" w:history="1">
        <w:r w:rsidRPr="00E5173E">
          <w:rPr>
            <w:rStyle w:val="Lienhypertexte"/>
            <w:color w:val="538135" w:themeColor="accent6" w:themeShade="BF"/>
          </w:rPr>
          <w:t>https://www.cnil.fr/fr/securite-des-donnees-les-regles-essentielles-pour-demarrer</w:t>
        </w:r>
      </w:hyperlink>
      <w:r w:rsidRPr="00E5173E">
        <w:rPr>
          <w:color w:val="538135" w:themeColor="accent6" w:themeShade="BF"/>
        </w:rPr>
        <w:t xml:space="preserve">) </w:t>
      </w:r>
    </w:p>
    <w:p w14:paraId="0AAC2D29" w14:textId="77777777" w:rsidR="00385BAA" w:rsidRPr="00E5173E" w:rsidRDefault="00385BAA" w:rsidP="00385BAA">
      <w:pPr>
        <w:rPr>
          <w:color w:val="538135" w:themeColor="accent6" w:themeShade="BF"/>
        </w:rPr>
      </w:pPr>
      <w:r w:rsidRPr="00E5173E">
        <w:rPr>
          <w:color w:val="538135" w:themeColor="accent6" w:themeShade="BF"/>
        </w:rPr>
        <w:t>Niveau 2 : les mesures d’hygiène pour protéger votre SI</w:t>
      </w:r>
    </w:p>
    <w:p w14:paraId="0A4D2EE7" w14:textId="77777777" w:rsidR="00385BAA" w:rsidRPr="00E5173E" w:rsidRDefault="00385BAA" w:rsidP="00385BAA">
      <w:pPr>
        <w:rPr>
          <w:color w:val="538135" w:themeColor="accent6" w:themeShade="BF"/>
        </w:rPr>
      </w:pPr>
      <w:r w:rsidRPr="00E5173E">
        <w:rPr>
          <w:color w:val="538135" w:themeColor="accent6" w:themeShade="BF"/>
        </w:rPr>
        <w:t>Le second niveau de protection intègre des mesures d'« hygiène informatique ». La CNIL et l’ANSSI disposent de guides en ligne pour aider à mettre en œuvre cette stratégie. Ces mesures de sécurité vis notamment à couvrir les risques :</w:t>
      </w:r>
    </w:p>
    <w:p w14:paraId="4E0CFF73" w14:textId="77777777" w:rsidR="00385BAA" w:rsidRPr="00E5173E" w:rsidRDefault="00385BAA" w:rsidP="00385BAA">
      <w:pPr>
        <w:pStyle w:val="Paragraphedeliste"/>
        <w:numPr>
          <w:ilvl w:val="0"/>
          <w:numId w:val="20"/>
        </w:numPr>
        <w:rPr>
          <w:color w:val="538135" w:themeColor="accent6" w:themeShade="BF"/>
        </w:rPr>
      </w:pPr>
      <w:r w:rsidRPr="00E5173E">
        <w:rPr>
          <w:color w:val="538135" w:themeColor="accent6" w:themeShade="BF"/>
        </w:rPr>
        <w:t>D’accès non autorisés</w:t>
      </w:r>
    </w:p>
    <w:p w14:paraId="63B0CD12" w14:textId="77777777" w:rsidR="00385BAA" w:rsidRPr="00E5173E" w:rsidRDefault="00385BAA" w:rsidP="00385BAA">
      <w:pPr>
        <w:pStyle w:val="Paragraphedeliste"/>
        <w:numPr>
          <w:ilvl w:val="0"/>
          <w:numId w:val="20"/>
        </w:numPr>
        <w:rPr>
          <w:color w:val="538135" w:themeColor="accent6" w:themeShade="BF"/>
        </w:rPr>
      </w:pPr>
      <w:r w:rsidRPr="00E5173E">
        <w:rPr>
          <w:color w:val="538135" w:themeColor="accent6" w:themeShade="BF"/>
        </w:rPr>
        <w:t>De modifications non désirées</w:t>
      </w:r>
    </w:p>
    <w:p w14:paraId="10B813C4" w14:textId="77777777" w:rsidR="00385BAA" w:rsidRPr="00E5173E" w:rsidRDefault="00385BAA" w:rsidP="00385BAA">
      <w:pPr>
        <w:pStyle w:val="Paragraphedeliste"/>
        <w:numPr>
          <w:ilvl w:val="0"/>
          <w:numId w:val="20"/>
        </w:numPr>
        <w:rPr>
          <w:color w:val="538135" w:themeColor="accent6" w:themeShade="BF"/>
        </w:rPr>
      </w:pPr>
      <w:r w:rsidRPr="00E5173E">
        <w:rPr>
          <w:color w:val="538135" w:themeColor="accent6" w:themeShade="BF"/>
        </w:rPr>
        <w:t>De disparitions de données</w:t>
      </w:r>
    </w:p>
    <w:p w14:paraId="00DB1315" w14:textId="77777777" w:rsidR="00385BAA" w:rsidRPr="00E5173E" w:rsidRDefault="00385BAA" w:rsidP="00385BAA">
      <w:pPr>
        <w:rPr>
          <w:color w:val="538135" w:themeColor="accent6" w:themeShade="BF"/>
        </w:rPr>
      </w:pPr>
      <w:r w:rsidRPr="00E5173E">
        <w:rPr>
          <w:color w:val="538135" w:themeColor="accent6" w:themeShade="BF"/>
        </w:rPr>
        <w:t>(</w:t>
      </w:r>
      <w:hyperlink r:id="rId20" w:history="1">
        <w:r w:rsidRPr="00E5173E">
          <w:rPr>
            <w:rStyle w:val="Lienhypertexte"/>
            <w:color w:val="538135" w:themeColor="accent6" w:themeShade="BF"/>
          </w:rPr>
          <w:t>https://www.cnil.fr/fr/securite-des-donnees-les-mesures-dhygiene-pour-proteger-votre-systeme-dinformation</w:t>
        </w:r>
      </w:hyperlink>
      <w:r w:rsidRPr="00E5173E">
        <w:rPr>
          <w:color w:val="538135" w:themeColor="accent6" w:themeShade="BF"/>
        </w:rPr>
        <w:t xml:space="preserve">) </w:t>
      </w:r>
    </w:p>
    <w:p w14:paraId="6F77CE0A" w14:textId="77777777" w:rsidR="00385BAA" w:rsidRPr="00E5173E" w:rsidRDefault="00385BAA" w:rsidP="00385BAA">
      <w:pPr>
        <w:rPr>
          <w:color w:val="538135" w:themeColor="accent6" w:themeShade="BF"/>
        </w:rPr>
      </w:pPr>
      <w:r w:rsidRPr="00E5173E">
        <w:rPr>
          <w:color w:val="538135" w:themeColor="accent6" w:themeShade="BF"/>
        </w:rPr>
        <w:t>Niveau 3 : protéger le plus sensible de façon spécifique</w:t>
      </w:r>
    </w:p>
    <w:p w14:paraId="6228456D" w14:textId="77777777" w:rsidR="00385BAA" w:rsidRPr="00E5173E" w:rsidRDefault="00385BAA" w:rsidP="00385BAA">
      <w:pPr>
        <w:rPr>
          <w:color w:val="538135" w:themeColor="accent6" w:themeShade="BF"/>
        </w:rPr>
      </w:pPr>
      <w:r w:rsidRPr="00E5173E">
        <w:rPr>
          <w:color w:val="538135" w:themeColor="accent6" w:themeShade="BF"/>
        </w:rPr>
        <w:t xml:space="preserve">Une fois les dispositions antérieures appliquées, il est maintenant nécessaire de satisfaire à l’obligation de sécurité des données traitées en engageant des mesures proportionnelles au risque encouru en cas de défaillance du système de sécurité. </w:t>
      </w:r>
    </w:p>
    <w:p w14:paraId="3DFC4C47" w14:textId="35E5BC8F" w:rsidR="00385BAA" w:rsidRPr="00E5173E" w:rsidRDefault="00385BAA" w:rsidP="00385BAA">
      <w:pPr>
        <w:rPr>
          <w:color w:val="538135" w:themeColor="accent6" w:themeShade="BF"/>
        </w:rPr>
      </w:pPr>
      <w:r w:rsidRPr="00E5173E">
        <w:rPr>
          <w:color w:val="538135" w:themeColor="accent6" w:themeShade="BF"/>
        </w:rPr>
        <w:t xml:space="preserve">Pour cela une méthode est </w:t>
      </w:r>
      <w:r w:rsidR="008123E2" w:rsidRPr="00E5173E">
        <w:rPr>
          <w:color w:val="538135" w:themeColor="accent6" w:themeShade="BF"/>
        </w:rPr>
        <w:t>détaillée</w:t>
      </w:r>
      <w:r w:rsidRPr="00E5173E">
        <w:rPr>
          <w:color w:val="538135" w:themeColor="accent6" w:themeShade="BF"/>
        </w:rPr>
        <w:t xml:space="preserve"> par la CNIL : </w:t>
      </w:r>
    </w:p>
    <w:p w14:paraId="130705EE" w14:textId="77777777" w:rsidR="00385BAA" w:rsidRPr="00E5173E" w:rsidRDefault="00385BAA" w:rsidP="00385BAA">
      <w:pPr>
        <w:rPr>
          <w:color w:val="538135" w:themeColor="accent6" w:themeShade="BF"/>
          <w:highlight w:val="yellow"/>
        </w:rPr>
      </w:pPr>
      <w:r w:rsidRPr="00E5173E">
        <w:rPr>
          <w:noProof/>
          <w:color w:val="538135" w:themeColor="accent6" w:themeShade="BF"/>
        </w:rPr>
        <w:lastRenderedPageBreak/>
        <w:drawing>
          <wp:inline distT="0" distB="0" distL="0" distR="0" wp14:anchorId="16EC9479" wp14:editId="0D08ADE4">
            <wp:extent cx="5760720" cy="301752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3017520"/>
                    </a:xfrm>
                    <a:prstGeom prst="rect">
                      <a:avLst/>
                    </a:prstGeom>
                  </pic:spPr>
                </pic:pic>
              </a:graphicData>
            </a:graphic>
          </wp:inline>
        </w:drawing>
      </w:r>
    </w:p>
    <w:p w14:paraId="0F7B2F8A" w14:textId="77777777" w:rsidR="00385BAA" w:rsidRPr="00E5173E" w:rsidRDefault="00385BAA" w:rsidP="00385BAA">
      <w:pPr>
        <w:rPr>
          <w:color w:val="538135" w:themeColor="accent6" w:themeShade="BF"/>
        </w:rPr>
      </w:pPr>
      <w:r w:rsidRPr="00E5173E">
        <w:rPr>
          <w:color w:val="538135" w:themeColor="accent6" w:themeShade="BF"/>
        </w:rPr>
        <w:t>(</w:t>
      </w:r>
      <w:hyperlink r:id="rId22" w:history="1">
        <w:r w:rsidRPr="00E5173E">
          <w:rPr>
            <w:rStyle w:val="Lienhypertexte"/>
            <w:color w:val="538135" w:themeColor="accent6" w:themeShade="BF"/>
          </w:rPr>
          <w:t>https://www.cnil.fr/fr/securite-des-donnees-proteger-le-plus-sensible-de-maniere-specifique</w:t>
        </w:r>
      </w:hyperlink>
      <w:r w:rsidRPr="00E5173E">
        <w:rPr>
          <w:color w:val="538135" w:themeColor="accent6" w:themeShade="BF"/>
        </w:rPr>
        <w:t xml:space="preserve">) </w:t>
      </w:r>
    </w:p>
    <w:p w14:paraId="03DB7DD4" w14:textId="77777777" w:rsidR="00385BAA" w:rsidRPr="00E5173E" w:rsidRDefault="00385BAA" w:rsidP="00385BAA">
      <w:pPr>
        <w:rPr>
          <w:color w:val="538135" w:themeColor="accent6" w:themeShade="BF"/>
        </w:rPr>
      </w:pPr>
      <w:r w:rsidRPr="00E5173E">
        <w:rPr>
          <w:color w:val="538135" w:themeColor="accent6" w:themeShade="BF"/>
        </w:rPr>
        <w:t>(</w:t>
      </w:r>
      <w:hyperlink r:id="rId23" w:history="1">
        <w:r w:rsidRPr="00E5173E">
          <w:rPr>
            <w:rStyle w:val="Lienhypertexte"/>
            <w:color w:val="538135" w:themeColor="accent6" w:themeShade="BF"/>
          </w:rPr>
          <w:t>https://www.cnil.fr/fr/principes-cles/guide-de-la-securite-des-donnees-personnelles</w:t>
        </w:r>
      </w:hyperlink>
      <w:r w:rsidRPr="00E5173E">
        <w:rPr>
          <w:color w:val="538135" w:themeColor="accent6" w:themeShade="BF"/>
        </w:rPr>
        <w:t xml:space="preserve">) </w:t>
      </w:r>
    </w:p>
    <w:p w14:paraId="1676E671" w14:textId="77777777" w:rsidR="00385BAA" w:rsidRPr="00E5173E" w:rsidRDefault="00385BAA" w:rsidP="00385BAA">
      <w:pPr>
        <w:rPr>
          <w:color w:val="538135" w:themeColor="accent6" w:themeShade="BF"/>
        </w:rPr>
      </w:pPr>
    </w:p>
    <w:p w14:paraId="6A7327E8" w14:textId="77777777" w:rsidR="00385BAA" w:rsidRDefault="00385BAA" w:rsidP="00385BAA">
      <w:r w:rsidRPr="00E5173E">
        <w:rPr>
          <w:color w:val="538135" w:themeColor="accent6" w:themeShade="BF"/>
        </w:rPr>
        <w:t>Toute fois, si malgré les dispositifs mis en place, un cas de violation de données est répertorier il faut le signaler à la CNIL dans les 72 heures si cette violation est susceptible de représenter un risque pour les droits et libertés des personnes con</w:t>
      </w:r>
      <w:r w:rsidRPr="001C3E95">
        <w:t xml:space="preserve">cernées. </w:t>
      </w:r>
    </w:p>
    <w:p w14:paraId="5ECEEB96" w14:textId="77777777" w:rsidR="00385BAA" w:rsidRDefault="00385BAA" w:rsidP="00385BAA">
      <w:r>
        <w:tab/>
        <w:t xml:space="preserve">      </w:t>
      </w:r>
    </w:p>
    <w:p w14:paraId="4330C072" w14:textId="77777777" w:rsidR="00385BAA" w:rsidRDefault="00385BAA" w:rsidP="00385BAA"/>
    <w:p w14:paraId="40539EEB" w14:textId="77777777" w:rsidR="00385BAA" w:rsidRPr="00E5173E" w:rsidRDefault="00385BAA" w:rsidP="00385BAA">
      <w:pPr>
        <w:rPr>
          <w:color w:val="7030A0"/>
        </w:rPr>
      </w:pPr>
      <w:r>
        <w:tab/>
      </w:r>
      <w:r w:rsidRPr="00E5173E">
        <w:rPr>
          <w:color w:val="7030A0"/>
        </w:rPr>
        <w:t xml:space="preserve"> II.2) L’anonymisation des données</w:t>
      </w:r>
    </w:p>
    <w:p w14:paraId="63047E7A" w14:textId="77777777" w:rsidR="00385BAA" w:rsidRPr="00E5173E" w:rsidRDefault="00385BAA" w:rsidP="00385BAA">
      <w:pPr>
        <w:rPr>
          <w:color w:val="7030A0"/>
        </w:rPr>
      </w:pPr>
      <w:r w:rsidRPr="00E5173E">
        <w:rPr>
          <w:color w:val="7030A0"/>
        </w:rPr>
        <w:t>Enfin il est possible de rendre les données anonymes, ie, rendre impossible l’identification d’une personne à partir d’un jeu de données et donc de respecter la vie privée des utilisateurs.</w:t>
      </w:r>
    </w:p>
    <w:p w14:paraId="3E74F7BF" w14:textId="77777777" w:rsidR="00385BAA" w:rsidRPr="00E5173E" w:rsidRDefault="00385BAA" w:rsidP="00385BAA">
      <w:pPr>
        <w:rPr>
          <w:b/>
          <w:bCs/>
          <w:color w:val="7030A0"/>
        </w:rPr>
      </w:pPr>
      <w:r w:rsidRPr="00E5173E">
        <w:rPr>
          <w:b/>
          <w:bCs/>
          <w:color w:val="7030A0"/>
        </w:rPr>
        <w:t>Qu’est-ce que l’anonymisation ?</w:t>
      </w:r>
    </w:p>
    <w:p w14:paraId="285123AB" w14:textId="77777777" w:rsidR="00385BAA" w:rsidRPr="00E5173E" w:rsidRDefault="00385BAA" w:rsidP="00385BAA">
      <w:pPr>
        <w:rPr>
          <w:color w:val="7030A0"/>
        </w:rPr>
      </w:pPr>
      <w:r w:rsidRPr="00E5173E">
        <w:rPr>
          <w:color w:val="7030A0"/>
        </w:rPr>
        <w:t xml:space="preserve">L’anonymisation est un traitement qui consiste à utiliser un ensemble de techniques de manière à rendre impossible, en pratique, toute identification de la personne par quelque moyen que ce soit et de manière irréversible. </w:t>
      </w:r>
    </w:p>
    <w:p w14:paraId="4BD22353" w14:textId="77777777" w:rsidR="00385BAA" w:rsidRPr="00E5173E" w:rsidRDefault="00385BAA" w:rsidP="00385BAA">
      <w:pPr>
        <w:rPr>
          <w:color w:val="7030A0"/>
        </w:rPr>
      </w:pPr>
      <w:r w:rsidRPr="00E5173E">
        <w:rPr>
          <w:color w:val="7030A0"/>
        </w:rPr>
        <w:t>L’anonymisation ne doit pas être confondue avec la pseudonymisation car malgré la possibilité de traité des données sans identifier de façon direct le propriétaire, ce procédé est dans la plupart du temps réversible ou du moins il est possible d’identifier le propriétaire grâce à un croisement avec un jeu de données externes. </w:t>
      </w:r>
    </w:p>
    <w:p w14:paraId="57A1F693" w14:textId="77777777" w:rsidR="00385BAA" w:rsidRPr="00E5173E" w:rsidRDefault="00385BAA" w:rsidP="00385BAA">
      <w:pPr>
        <w:rPr>
          <w:b/>
          <w:bCs/>
          <w:color w:val="7030A0"/>
        </w:rPr>
      </w:pPr>
      <w:r w:rsidRPr="00E5173E">
        <w:rPr>
          <w:b/>
          <w:bCs/>
          <w:color w:val="7030A0"/>
        </w:rPr>
        <w:t>Pourquoi anonymiser des données personnelles ?</w:t>
      </w:r>
    </w:p>
    <w:p w14:paraId="7B7D53EB" w14:textId="77777777" w:rsidR="00385BAA" w:rsidRPr="00E5173E" w:rsidRDefault="00385BAA" w:rsidP="00385BAA">
      <w:pPr>
        <w:rPr>
          <w:color w:val="7030A0"/>
        </w:rPr>
      </w:pPr>
      <w:r w:rsidRPr="00E5173E">
        <w:rPr>
          <w:color w:val="7030A0"/>
        </w:rPr>
        <w:t>L’anonymisation n’est pas une obligation vis-à-vis du règlement européen. Il s’agit d’une proposition de solution afin de pouvoir exploiter des données personnelles tout en respectant les droits et libertés des personnes. L’anonymisation des données permet l’exploitation, la réutilisation et le partage de ces dernières dans différentes applications.</w:t>
      </w:r>
    </w:p>
    <w:p w14:paraId="12095B81" w14:textId="77777777" w:rsidR="00385BAA" w:rsidRPr="00E5173E" w:rsidRDefault="00385BAA" w:rsidP="00385BAA">
      <w:pPr>
        <w:rPr>
          <w:b/>
          <w:bCs/>
          <w:color w:val="7030A0"/>
        </w:rPr>
      </w:pPr>
      <w:r w:rsidRPr="00E5173E">
        <w:rPr>
          <w:b/>
          <w:bCs/>
          <w:color w:val="7030A0"/>
        </w:rPr>
        <w:lastRenderedPageBreak/>
        <w:t>Comment anonymiser tout en préservant au maximum l’utilité du jeu de données ?</w:t>
      </w:r>
    </w:p>
    <w:p w14:paraId="0C082488" w14:textId="77777777" w:rsidR="00385BAA" w:rsidRPr="00E5173E" w:rsidRDefault="00385BAA" w:rsidP="00385BAA">
      <w:pPr>
        <w:rPr>
          <w:color w:val="7030A0"/>
        </w:rPr>
      </w:pPr>
      <w:r w:rsidRPr="00E5173E">
        <w:rPr>
          <w:color w:val="7030A0"/>
        </w:rPr>
        <w:t xml:space="preserve">D’un point de vue protection des données l’anonymisation semble être très adaptée mais d’un point de vue affaire on peut se demander comment préserver l’utilité du jeu de données. </w:t>
      </w:r>
    </w:p>
    <w:p w14:paraId="2F6E1F84" w14:textId="77777777" w:rsidR="00385BAA" w:rsidRPr="00E5173E" w:rsidRDefault="00385BAA" w:rsidP="00385BAA">
      <w:pPr>
        <w:rPr>
          <w:color w:val="7030A0"/>
        </w:rPr>
      </w:pPr>
      <w:r w:rsidRPr="00E5173E">
        <w:rPr>
          <w:color w:val="7030A0"/>
        </w:rPr>
        <w:t xml:space="preserve">Ainsi pour construire un processus d’anonymisation pertinent qui ne nuirai pas à l’exploitation future, il est ainsi conseillé : </w:t>
      </w:r>
    </w:p>
    <w:p w14:paraId="2EBBE7F1" w14:textId="77777777" w:rsidR="00385BAA" w:rsidRPr="00E5173E" w:rsidRDefault="00385BAA" w:rsidP="00385BAA">
      <w:pPr>
        <w:pStyle w:val="Paragraphedeliste"/>
        <w:numPr>
          <w:ilvl w:val="0"/>
          <w:numId w:val="20"/>
        </w:numPr>
        <w:rPr>
          <w:color w:val="7030A0"/>
        </w:rPr>
      </w:pPr>
      <w:r w:rsidRPr="00E5173E">
        <w:rPr>
          <w:color w:val="7030A0"/>
        </w:rPr>
        <w:t xml:space="preserve">D’identifier les informations à conserver selon leur pertinence. </w:t>
      </w:r>
    </w:p>
    <w:p w14:paraId="79BDCBFC" w14:textId="77777777" w:rsidR="00385BAA" w:rsidRPr="00E5173E" w:rsidRDefault="00385BAA" w:rsidP="00385BAA">
      <w:pPr>
        <w:pStyle w:val="Paragraphedeliste"/>
        <w:numPr>
          <w:ilvl w:val="0"/>
          <w:numId w:val="20"/>
        </w:numPr>
        <w:rPr>
          <w:color w:val="7030A0"/>
        </w:rPr>
      </w:pPr>
      <w:r w:rsidRPr="00E5173E">
        <w:rPr>
          <w:color w:val="7030A0"/>
        </w:rPr>
        <w:t>De supprimer les éléments d’identification directe ainsi que les valeurs rares qui pourraient permettre un ré-identification aisée des personnes (par exemple, la présence de l’âge des individus peut permettre de ré-identifier très facilement les personnes centenaires)</w:t>
      </w:r>
    </w:p>
    <w:p w14:paraId="01476EAC" w14:textId="77777777" w:rsidR="00385BAA" w:rsidRPr="00E5173E" w:rsidRDefault="00385BAA" w:rsidP="00385BAA">
      <w:pPr>
        <w:pStyle w:val="Paragraphedeliste"/>
        <w:numPr>
          <w:ilvl w:val="0"/>
          <w:numId w:val="20"/>
        </w:numPr>
        <w:rPr>
          <w:color w:val="7030A0"/>
        </w:rPr>
      </w:pPr>
      <w:r w:rsidRPr="00E5173E">
        <w:rPr>
          <w:color w:val="7030A0"/>
        </w:rPr>
        <w:t xml:space="preserve">De distinguer les informations importantes des informations secondaires ou inutiles (c’est-à-dire supprimables) </w:t>
      </w:r>
    </w:p>
    <w:p w14:paraId="2C6D7428" w14:textId="77777777" w:rsidR="00385BAA" w:rsidRPr="00E5173E" w:rsidRDefault="00385BAA" w:rsidP="00385BAA">
      <w:pPr>
        <w:pStyle w:val="Paragraphedeliste"/>
        <w:numPr>
          <w:ilvl w:val="0"/>
          <w:numId w:val="20"/>
        </w:numPr>
        <w:rPr>
          <w:color w:val="7030A0"/>
        </w:rPr>
      </w:pPr>
      <w:r w:rsidRPr="00E5173E">
        <w:rPr>
          <w:color w:val="7030A0"/>
        </w:rPr>
        <w:t>De définir la finesse idéale et acceptable pour chaque information conservée. Ce pré-requis permet de déterminer le procédé d’anonymisation à appliquer, c’est-à-dire l’enchaînement des techniques d’anonymisation à mettre en place. Celles-ci peuvent être regroupées en deux familles : la randomisation et la généralisation.</w:t>
      </w:r>
    </w:p>
    <w:p w14:paraId="7E0DFACB" w14:textId="77777777" w:rsidR="00385BAA" w:rsidRPr="00E5173E" w:rsidRDefault="00385BAA" w:rsidP="00385BAA">
      <w:pPr>
        <w:rPr>
          <w:color w:val="7030A0"/>
          <w:highlight w:val="yellow"/>
        </w:rPr>
      </w:pPr>
    </w:p>
    <w:p w14:paraId="795B4866" w14:textId="77777777" w:rsidR="00385BAA" w:rsidRPr="00E50216" w:rsidRDefault="00385BAA" w:rsidP="00385BAA">
      <w:pPr>
        <w:rPr>
          <w:color w:val="7030A0"/>
        </w:rPr>
      </w:pPr>
      <w:r w:rsidRPr="00E50216">
        <w:rPr>
          <w:color w:val="7030A0"/>
        </w:rPr>
        <w:t>Comment vérifier l’efficacité de l’anonymisation ?</w:t>
      </w:r>
    </w:p>
    <w:p w14:paraId="3DF56305" w14:textId="51D40664" w:rsidR="00385BAA" w:rsidRPr="00E50216" w:rsidRDefault="00385BAA" w:rsidP="00385BAA">
      <w:pPr>
        <w:rPr>
          <w:color w:val="7030A0"/>
        </w:rPr>
      </w:pPr>
      <w:r w:rsidRPr="00E50216">
        <w:rPr>
          <w:color w:val="7030A0"/>
        </w:rPr>
        <w:t xml:space="preserve">Les autorités de protection des données européennes définissent trois critères qui permettent de </w:t>
      </w:r>
      <w:r w:rsidR="00E50216">
        <w:rPr>
          <w:color w:val="7030A0"/>
        </w:rPr>
        <w:t>vérifier que le jeu de données est bel et bien anonymisé.</w:t>
      </w:r>
    </w:p>
    <w:p w14:paraId="049B4774" w14:textId="77777777" w:rsidR="00433F05" w:rsidRDefault="00385BAA" w:rsidP="00385BAA">
      <w:pPr>
        <w:rPr>
          <w:color w:val="7030A0"/>
        </w:rPr>
      </w:pPr>
      <w:r w:rsidRPr="00E50216">
        <w:rPr>
          <w:color w:val="7030A0"/>
        </w:rPr>
        <w:t xml:space="preserve">L’individualisation : </w:t>
      </w:r>
      <w:r w:rsidR="00E50216">
        <w:rPr>
          <w:color w:val="7030A0"/>
        </w:rPr>
        <w:t>Une personne en particulier ne doit pas pouvoir être identifiée.</w:t>
      </w:r>
      <w:r w:rsidRPr="00E50216">
        <w:rPr>
          <w:color w:val="7030A0"/>
        </w:rPr>
        <w:t xml:space="preserve"> </w:t>
      </w:r>
    </w:p>
    <w:p w14:paraId="09E49B4D" w14:textId="6DE4FBC3" w:rsidR="00385BAA" w:rsidRPr="00E50216" w:rsidRDefault="00385BAA" w:rsidP="00385BAA">
      <w:pPr>
        <w:rPr>
          <w:color w:val="7030A0"/>
        </w:rPr>
      </w:pPr>
      <w:r w:rsidRPr="00E50216">
        <w:rPr>
          <w:color w:val="7030A0"/>
        </w:rPr>
        <w:t>Exemple : une base de données de CV où seuls les nom et prénoms d’une personne auront été remplacés par un numéro (qui ne correspond qu’à elle) permet d’individualiser cette personne. Dans ce cas, cette base de données est considérée comme pseudonymisée et non comme anonymisée.</w:t>
      </w:r>
    </w:p>
    <w:p w14:paraId="5C8305E6" w14:textId="77777777" w:rsidR="0039430D" w:rsidRDefault="00385BAA" w:rsidP="00385BAA">
      <w:pPr>
        <w:rPr>
          <w:color w:val="7030A0"/>
        </w:rPr>
      </w:pPr>
      <w:r w:rsidRPr="00E50216">
        <w:rPr>
          <w:color w:val="7030A0"/>
        </w:rPr>
        <w:t xml:space="preserve">La corrélation : </w:t>
      </w:r>
      <w:r w:rsidR="00B11A27">
        <w:rPr>
          <w:color w:val="7030A0"/>
        </w:rPr>
        <w:t xml:space="preserve">On ne doit pas pouvoir relier des données de jeu différents </w:t>
      </w:r>
      <w:r w:rsidR="0039430D">
        <w:rPr>
          <w:color w:val="7030A0"/>
        </w:rPr>
        <w:t>par le fait qu’elles concernent la même personne.</w:t>
      </w:r>
    </w:p>
    <w:p w14:paraId="22267C57" w14:textId="1B566590" w:rsidR="00385BAA" w:rsidRPr="00E50216" w:rsidRDefault="00385BAA" w:rsidP="00385BAA">
      <w:pPr>
        <w:rPr>
          <w:color w:val="7030A0"/>
        </w:rPr>
      </w:pPr>
      <w:r w:rsidRPr="00E50216">
        <w:rPr>
          <w:color w:val="7030A0"/>
        </w:rPr>
        <w:t xml:space="preserve"> Exemple : une base de données cartographique renseignant les adresses de domiciles de particuliers ne peut être considérée comme anonyme si d’autres bases de données, existantes par ailleurs, contiennent ces mêmes adresses avec d’autres données permettant d’identifier les individus.</w:t>
      </w:r>
    </w:p>
    <w:p w14:paraId="4730F958" w14:textId="26874E21" w:rsidR="00930167" w:rsidRDefault="00385BAA" w:rsidP="00385BAA">
      <w:pPr>
        <w:rPr>
          <w:color w:val="7030A0"/>
        </w:rPr>
      </w:pPr>
      <w:r w:rsidRPr="00E50216">
        <w:rPr>
          <w:color w:val="7030A0"/>
        </w:rPr>
        <w:t xml:space="preserve">L’inférence : </w:t>
      </w:r>
      <w:r w:rsidR="00930167">
        <w:rPr>
          <w:color w:val="7030A0"/>
        </w:rPr>
        <w:t>On ne doit pas pouvoir déduire des informations supplémentaires sur des personnes identifiées dans la base de données.</w:t>
      </w:r>
    </w:p>
    <w:p w14:paraId="397CE541" w14:textId="6F8472B2" w:rsidR="00385BAA" w:rsidRPr="00E5173E" w:rsidRDefault="00385BAA" w:rsidP="00385BAA">
      <w:pPr>
        <w:rPr>
          <w:color w:val="7030A0"/>
          <w:highlight w:val="yellow"/>
        </w:rPr>
      </w:pPr>
      <w:r w:rsidRPr="00E50216">
        <w:rPr>
          <w:color w:val="7030A0"/>
        </w:rPr>
        <w:t xml:space="preserve"> Exemple : si un jeu de données supposément anonyme contient des informations sur le montant des impôts de personnes ayant répondu à un questionnaire, que tous les hommes ayant entre 20 et 25 ans qui ont répondu sont non imposables, il sera possible de déduire, si on sait que M. X, homme âgé de 24 ans, a répondu au questionnaire, que ce dernier est non imposable.</w:t>
      </w:r>
    </w:p>
    <w:p w14:paraId="0773CBAE" w14:textId="77777777" w:rsidR="00385BAA" w:rsidRPr="0006090B" w:rsidRDefault="00385BAA" w:rsidP="00385BAA"/>
    <w:p w14:paraId="00597641" w14:textId="77777777" w:rsidR="00385BAA" w:rsidRDefault="00385BAA" w:rsidP="00385BAA">
      <w:r>
        <w:t xml:space="preserve">Sources : </w:t>
      </w:r>
    </w:p>
    <w:p w14:paraId="031A5D41" w14:textId="77777777" w:rsidR="00385BAA" w:rsidRDefault="00F93EC1" w:rsidP="00385BAA">
      <w:pPr>
        <w:rPr>
          <w:rStyle w:val="Lienhypertexte"/>
        </w:rPr>
      </w:pPr>
      <w:hyperlink r:id="rId24" w:history="1">
        <w:r w:rsidR="00385BAA" w:rsidRPr="000430C0">
          <w:rPr>
            <w:rStyle w:val="Lienhypertexte"/>
          </w:rPr>
          <w:t>https://www.cnil.fr/fr/minimiser-les-donnees-collectees</w:t>
        </w:r>
      </w:hyperlink>
    </w:p>
    <w:p w14:paraId="25783E97" w14:textId="77777777" w:rsidR="00385BAA" w:rsidRDefault="00F93EC1" w:rsidP="00385BAA">
      <w:hyperlink r:id="rId25" w:history="1">
        <w:r w:rsidR="00385BAA" w:rsidRPr="000430C0">
          <w:rPr>
            <w:rStyle w:val="Lienhypertexte"/>
          </w:rPr>
          <w:t>https://www.cnil.fr/fr/les-durees-de-conservation-des-donnees</w:t>
        </w:r>
      </w:hyperlink>
    </w:p>
    <w:p w14:paraId="1105DCA5" w14:textId="77777777" w:rsidR="00385BAA" w:rsidRDefault="00F93EC1" w:rsidP="00385BAA">
      <w:hyperlink r:id="rId26" w:history="1">
        <w:r w:rsidR="00385BAA" w:rsidRPr="00632444">
          <w:rPr>
            <w:rStyle w:val="Lienhypertexte"/>
          </w:rPr>
          <w:t>https://www.cnil.fr/sites/default/files/atoms/files/cnil-pia-1-fr-methode.pdf</w:t>
        </w:r>
      </w:hyperlink>
      <w:r w:rsidR="00385BAA" w:rsidRPr="00632444">
        <w:t xml:space="preserve"> </w:t>
      </w:r>
      <w:hyperlink r:id="rId27" w:history="1">
        <w:r w:rsidR="00385BAA" w:rsidRPr="00632444">
          <w:rPr>
            <w:rStyle w:val="Lienhypertexte"/>
          </w:rPr>
          <w:t>https://www.cnil.fr/sites/default/files/atoms/files/cnil-pia-2-fr-modeles.pdf</w:t>
        </w:r>
      </w:hyperlink>
      <w:r w:rsidR="00385BAA" w:rsidRPr="00632444">
        <w:t xml:space="preserve"> </w:t>
      </w:r>
      <w:hyperlink r:id="rId28" w:history="1">
        <w:r w:rsidR="00385BAA" w:rsidRPr="00632444">
          <w:rPr>
            <w:rStyle w:val="Lienhypertexte"/>
          </w:rPr>
          <w:t>https://www.cnil.fr/fr/outil-pia-telechargez-et-installez-le-logiciel-de-la-cnil</w:t>
        </w:r>
      </w:hyperlink>
      <w:r w:rsidR="00385BAA">
        <w:t xml:space="preserve"> </w:t>
      </w:r>
      <w:hyperlink r:id="rId29" w:history="1">
        <w:r w:rsidR="00385BAA" w:rsidRPr="00632444">
          <w:rPr>
            <w:rStyle w:val="Lienhypertexte"/>
          </w:rPr>
          <w:t>https://www.cnil.fr/sites/default/files/atoms/files/cnil-pia-3-fr-basesdeconnaissances.pdf</w:t>
        </w:r>
      </w:hyperlink>
    </w:p>
    <w:p w14:paraId="28EE6991" w14:textId="77777777" w:rsidR="00385BAA" w:rsidRDefault="00F93EC1" w:rsidP="00385BAA">
      <w:hyperlink r:id="rId30" w:history="1">
        <w:r w:rsidR="00385BAA" w:rsidRPr="009161D9">
          <w:rPr>
            <w:rStyle w:val="Lienhypertexte"/>
          </w:rPr>
          <w:t>https://www.cnil.fr/sites/default/files/atoms/files/infographie_aipd.pdf</w:t>
        </w:r>
      </w:hyperlink>
      <w:r w:rsidR="00385BAA">
        <w:t xml:space="preserve"> </w:t>
      </w:r>
    </w:p>
    <w:p w14:paraId="5D54A3AC" w14:textId="77777777" w:rsidR="00385BAA" w:rsidRDefault="00F93EC1" w:rsidP="00385BAA">
      <w:hyperlink r:id="rId31" w:history="1">
        <w:r w:rsidR="00385BAA" w:rsidRPr="00CE325B">
          <w:rPr>
            <w:rStyle w:val="Lienhypertexte"/>
          </w:rPr>
          <w:t>https://www.cnil.fr/sites/default/files/atoms/files/liste-traitements-aipd-requise.pdf</w:t>
        </w:r>
      </w:hyperlink>
      <w:r w:rsidR="00385BAA">
        <w:t xml:space="preserve"> </w:t>
      </w:r>
    </w:p>
    <w:p w14:paraId="1317E454" w14:textId="77777777" w:rsidR="00385BAA" w:rsidRDefault="00F93EC1" w:rsidP="00385BAA">
      <w:pPr>
        <w:rPr>
          <w:rStyle w:val="Lienhypertexte"/>
        </w:rPr>
      </w:pPr>
      <w:hyperlink r:id="rId32" w:history="1">
        <w:r w:rsidR="00385BAA" w:rsidRPr="00CE325B">
          <w:rPr>
            <w:rStyle w:val="Lienhypertexte"/>
          </w:rPr>
          <w:t>https://www.cnil.fr/sites/default/files/atoms/files/liste-traitements-aipd-non-requise.pdf</w:t>
        </w:r>
      </w:hyperlink>
    </w:p>
    <w:p w14:paraId="169F166D" w14:textId="77777777" w:rsidR="00385BAA" w:rsidRPr="00600485" w:rsidRDefault="00F93EC1" w:rsidP="00385BAA">
      <w:pPr>
        <w:rPr>
          <w:sz w:val="16"/>
          <w:szCs w:val="16"/>
        </w:rPr>
      </w:pPr>
      <w:hyperlink r:id="rId33" w:history="1">
        <w:r w:rsidR="00385BAA" w:rsidRPr="001068D8">
          <w:rPr>
            <w:rStyle w:val="Lienhypertexte"/>
            <w:rFonts w:hAnsi="Calibri"/>
            <w:color w:val="000000" w:themeColor="text1"/>
            <w:kern w:val="24"/>
          </w:rPr>
          <w:t>https://www.cnil.fr/fr/informer-les-personnes</w:t>
        </w:r>
      </w:hyperlink>
      <w:r w:rsidR="00385BAA" w:rsidRPr="001068D8">
        <w:rPr>
          <w:rFonts w:hAnsi="Calibri"/>
          <w:color w:val="000000" w:themeColor="text1"/>
          <w:kern w:val="24"/>
        </w:rPr>
        <w:t xml:space="preserve"> </w:t>
      </w:r>
    </w:p>
    <w:p w14:paraId="702C1801" w14:textId="77777777" w:rsidR="00385BAA" w:rsidRDefault="00F93EC1" w:rsidP="00385BAA">
      <w:hyperlink r:id="rId34" w:history="1">
        <w:r w:rsidR="00385BAA" w:rsidRPr="001068D8">
          <w:rPr>
            <w:rStyle w:val="Lienhypertexte"/>
            <w:rFonts w:hAnsi="Calibri"/>
            <w:color w:val="000000" w:themeColor="text1"/>
            <w:kern w:val="24"/>
          </w:rPr>
          <w:t>https://www.cnil.fr/fr/preparer-lexercice-des-droits-des-personnes</w:t>
        </w:r>
      </w:hyperlink>
    </w:p>
    <w:p w14:paraId="66A1D858" w14:textId="77777777" w:rsidR="00385BAA" w:rsidRPr="003F5224" w:rsidRDefault="00385BAA" w:rsidP="00385BAA">
      <w:r w:rsidRPr="003F5224">
        <w:t>(</w:t>
      </w:r>
      <w:hyperlink r:id="rId35" w:history="1">
        <w:r w:rsidRPr="003F5224">
          <w:rPr>
            <w:rStyle w:val="Lienhypertexte"/>
          </w:rPr>
          <w:t>https://www.cnil.fr/sites/default/files/atoms/files/formulaire_de_demande_labels-gouvernance-re.docx</w:t>
        </w:r>
      </w:hyperlink>
      <w:r w:rsidRPr="003F5224">
        <w:t>)</w:t>
      </w:r>
    </w:p>
    <w:p w14:paraId="69F59D14" w14:textId="77777777" w:rsidR="00385BAA" w:rsidRDefault="00F93EC1" w:rsidP="00385BAA">
      <w:hyperlink r:id="rId36" w:history="1">
        <w:r w:rsidR="00385BAA" w:rsidRPr="0057144D">
          <w:rPr>
            <w:rStyle w:val="Lienhypertexte"/>
          </w:rPr>
          <w:t>https://www.cnil.fr/sites/default/files/atoms/files/cnil_guide_securite_personnelle.pdf</w:t>
        </w:r>
      </w:hyperlink>
      <w:r w:rsidR="00385BAA">
        <w:t xml:space="preserve"> </w:t>
      </w:r>
    </w:p>
    <w:p w14:paraId="0E9804CD" w14:textId="77777777" w:rsidR="00385BAA" w:rsidRPr="00E01FB7" w:rsidRDefault="00385BAA" w:rsidP="00385BAA">
      <w:r w:rsidRPr="00E01FB7">
        <w:t>(</w:t>
      </w:r>
      <w:hyperlink r:id="rId37" w:history="1">
        <w:r w:rsidRPr="00E01FB7">
          <w:rPr>
            <w:rStyle w:val="Lienhypertexte"/>
          </w:rPr>
          <w:t>https://www.cnil.fr/fr/securite-des-donnees-les-regles-essentielles-pour-demarrer</w:t>
        </w:r>
      </w:hyperlink>
      <w:r w:rsidRPr="00E01FB7">
        <w:t xml:space="preserve">) </w:t>
      </w:r>
    </w:p>
    <w:p w14:paraId="78FCDB99" w14:textId="77777777" w:rsidR="00385BAA" w:rsidRPr="00E01FB7" w:rsidRDefault="00385BAA" w:rsidP="00385BAA">
      <w:r w:rsidRPr="00E01FB7">
        <w:t>(</w:t>
      </w:r>
      <w:hyperlink r:id="rId38" w:history="1">
        <w:r w:rsidRPr="00E01FB7">
          <w:rPr>
            <w:rStyle w:val="Lienhypertexte"/>
          </w:rPr>
          <w:t>https://www.cnil.fr/fr/securite-des-donnees-les-mesures-dhygiene-pour-proteger-votre-systeme-dinformation</w:t>
        </w:r>
      </w:hyperlink>
      <w:r w:rsidRPr="00E01FB7">
        <w:t xml:space="preserve">) </w:t>
      </w:r>
    </w:p>
    <w:p w14:paraId="17818674" w14:textId="77777777" w:rsidR="00385BAA" w:rsidRPr="00475D0D" w:rsidRDefault="00385BAA" w:rsidP="00385BAA">
      <w:r w:rsidRPr="00475D0D">
        <w:t>(</w:t>
      </w:r>
      <w:hyperlink r:id="rId39" w:history="1">
        <w:r w:rsidRPr="00475D0D">
          <w:rPr>
            <w:rStyle w:val="Lienhypertexte"/>
          </w:rPr>
          <w:t>https://www.cnil.fr/fr/securite-des-donnees-proteger-le-plus-sensible-de-maniere-specifique</w:t>
        </w:r>
      </w:hyperlink>
      <w:r w:rsidRPr="00475D0D">
        <w:t xml:space="preserve">) </w:t>
      </w:r>
    </w:p>
    <w:p w14:paraId="5F0FCC02" w14:textId="77777777" w:rsidR="00385BAA" w:rsidRPr="001C3E95" w:rsidRDefault="00385BAA" w:rsidP="00385BAA">
      <w:r w:rsidRPr="00475D0D">
        <w:t>(</w:t>
      </w:r>
      <w:hyperlink r:id="rId40" w:history="1">
        <w:r w:rsidRPr="00475D0D">
          <w:rPr>
            <w:rStyle w:val="Lienhypertexte"/>
          </w:rPr>
          <w:t>https://www.cnil.fr/fr/principes-cles/guide-de-la-securite-des-donnees-personnelles</w:t>
        </w:r>
      </w:hyperlink>
      <w:r w:rsidRPr="00475D0D">
        <w:t>)</w:t>
      </w:r>
      <w:r w:rsidRPr="001C3E95">
        <w:t xml:space="preserve"> </w:t>
      </w:r>
    </w:p>
    <w:p w14:paraId="7C124795" w14:textId="77777777" w:rsidR="00385BAA" w:rsidRDefault="00385BAA" w:rsidP="00385BAA">
      <w:pPr>
        <w:rPr>
          <w:rStyle w:val="Lienhypertexte"/>
        </w:rPr>
      </w:pPr>
    </w:p>
    <w:p w14:paraId="64511DAE" w14:textId="77777777" w:rsidR="00385BAA" w:rsidRDefault="00385BAA" w:rsidP="00385BAA"/>
    <w:p w14:paraId="7010A76D" w14:textId="77777777" w:rsidR="00381027" w:rsidRDefault="00381027" w:rsidP="00B55715"/>
    <w:sectPr w:rsidR="0038102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88095F" w14:textId="77777777" w:rsidR="00F94078" w:rsidRDefault="00F94078" w:rsidP="00632444">
      <w:pPr>
        <w:spacing w:after="0" w:line="240" w:lineRule="auto"/>
      </w:pPr>
      <w:r>
        <w:separator/>
      </w:r>
    </w:p>
  </w:endnote>
  <w:endnote w:type="continuationSeparator" w:id="0">
    <w:p w14:paraId="6B1FE61A" w14:textId="77777777" w:rsidR="00F94078" w:rsidRDefault="00F94078" w:rsidP="00632444">
      <w:pPr>
        <w:spacing w:after="0" w:line="240" w:lineRule="auto"/>
      </w:pPr>
      <w:r>
        <w:continuationSeparator/>
      </w:r>
    </w:p>
  </w:endnote>
  <w:endnote w:type="continuationNotice" w:id="1">
    <w:p w14:paraId="3420A4A3" w14:textId="77777777" w:rsidR="00F94078" w:rsidRDefault="00F9407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C88190" w14:textId="77777777" w:rsidR="00F94078" w:rsidRDefault="00F94078" w:rsidP="00632444">
      <w:pPr>
        <w:spacing w:after="0" w:line="240" w:lineRule="auto"/>
      </w:pPr>
      <w:r>
        <w:separator/>
      </w:r>
    </w:p>
  </w:footnote>
  <w:footnote w:type="continuationSeparator" w:id="0">
    <w:p w14:paraId="71656D70" w14:textId="77777777" w:rsidR="00F94078" w:rsidRDefault="00F94078" w:rsidP="00632444">
      <w:pPr>
        <w:spacing w:after="0" w:line="240" w:lineRule="auto"/>
      </w:pPr>
      <w:r>
        <w:continuationSeparator/>
      </w:r>
    </w:p>
  </w:footnote>
  <w:footnote w:type="continuationNotice" w:id="1">
    <w:p w14:paraId="1A488222" w14:textId="77777777" w:rsidR="00F94078" w:rsidRDefault="00F9407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E414C"/>
    <w:multiLevelType w:val="hybridMultilevel"/>
    <w:tmpl w:val="76225E86"/>
    <w:lvl w:ilvl="0" w:tplc="AC886906">
      <w:start w:val="1"/>
      <w:numFmt w:val="bullet"/>
      <w:lvlText w:val="-"/>
      <w:lvlJc w:val="left"/>
      <w:pPr>
        <w:tabs>
          <w:tab w:val="num" w:pos="720"/>
        </w:tabs>
        <w:ind w:left="720" w:hanging="360"/>
      </w:pPr>
      <w:rPr>
        <w:rFonts w:ascii="Calibri" w:hAnsi="Calibri" w:hint="default"/>
      </w:rPr>
    </w:lvl>
    <w:lvl w:ilvl="1" w:tplc="734A735A" w:tentative="1">
      <w:start w:val="1"/>
      <w:numFmt w:val="bullet"/>
      <w:lvlText w:val="-"/>
      <w:lvlJc w:val="left"/>
      <w:pPr>
        <w:tabs>
          <w:tab w:val="num" w:pos="1440"/>
        </w:tabs>
        <w:ind w:left="1440" w:hanging="360"/>
      </w:pPr>
      <w:rPr>
        <w:rFonts w:ascii="Calibri" w:hAnsi="Calibri" w:hint="default"/>
      </w:rPr>
    </w:lvl>
    <w:lvl w:ilvl="2" w:tplc="9FE21322" w:tentative="1">
      <w:start w:val="1"/>
      <w:numFmt w:val="bullet"/>
      <w:lvlText w:val="-"/>
      <w:lvlJc w:val="left"/>
      <w:pPr>
        <w:tabs>
          <w:tab w:val="num" w:pos="2160"/>
        </w:tabs>
        <w:ind w:left="2160" w:hanging="360"/>
      </w:pPr>
      <w:rPr>
        <w:rFonts w:ascii="Calibri" w:hAnsi="Calibri" w:hint="default"/>
      </w:rPr>
    </w:lvl>
    <w:lvl w:ilvl="3" w:tplc="7B748E70" w:tentative="1">
      <w:start w:val="1"/>
      <w:numFmt w:val="bullet"/>
      <w:lvlText w:val="-"/>
      <w:lvlJc w:val="left"/>
      <w:pPr>
        <w:tabs>
          <w:tab w:val="num" w:pos="2880"/>
        </w:tabs>
        <w:ind w:left="2880" w:hanging="360"/>
      </w:pPr>
      <w:rPr>
        <w:rFonts w:ascii="Calibri" w:hAnsi="Calibri" w:hint="default"/>
      </w:rPr>
    </w:lvl>
    <w:lvl w:ilvl="4" w:tplc="CBE229C0" w:tentative="1">
      <w:start w:val="1"/>
      <w:numFmt w:val="bullet"/>
      <w:lvlText w:val="-"/>
      <w:lvlJc w:val="left"/>
      <w:pPr>
        <w:tabs>
          <w:tab w:val="num" w:pos="3600"/>
        </w:tabs>
        <w:ind w:left="3600" w:hanging="360"/>
      </w:pPr>
      <w:rPr>
        <w:rFonts w:ascii="Calibri" w:hAnsi="Calibri" w:hint="default"/>
      </w:rPr>
    </w:lvl>
    <w:lvl w:ilvl="5" w:tplc="F98CF13A" w:tentative="1">
      <w:start w:val="1"/>
      <w:numFmt w:val="bullet"/>
      <w:lvlText w:val="-"/>
      <w:lvlJc w:val="left"/>
      <w:pPr>
        <w:tabs>
          <w:tab w:val="num" w:pos="4320"/>
        </w:tabs>
        <w:ind w:left="4320" w:hanging="360"/>
      </w:pPr>
      <w:rPr>
        <w:rFonts w:ascii="Calibri" w:hAnsi="Calibri" w:hint="default"/>
      </w:rPr>
    </w:lvl>
    <w:lvl w:ilvl="6" w:tplc="CE30B838" w:tentative="1">
      <w:start w:val="1"/>
      <w:numFmt w:val="bullet"/>
      <w:lvlText w:val="-"/>
      <w:lvlJc w:val="left"/>
      <w:pPr>
        <w:tabs>
          <w:tab w:val="num" w:pos="5040"/>
        </w:tabs>
        <w:ind w:left="5040" w:hanging="360"/>
      </w:pPr>
      <w:rPr>
        <w:rFonts w:ascii="Calibri" w:hAnsi="Calibri" w:hint="default"/>
      </w:rPr>
    </w:lvl>
    <w:lvl w:ilvl="7" w:tplc="F3BADB42" w:tentative="1">
      <w:start w:val="1"/>
      <w:numFmt w:val="bullet"/>
      <w:lvlText w:val="-"/>
      <w:lvlJc w:val="left"/>
      <w:pPr>
        <w:tabs>
          <w:tab w:val="num" w:pos="5760"/>
        </w:tabs>
        <w:ind w:left="5760" w:hanging="360"/>
      </w:pPr>
      <w:rPr>
        <w:rFonts w:ascii="Calibri" w:hAnsi="Calibri" w:hint="default"/>
      </w:rPr>
    </w:lvl>
    <w:lvl w:ilvl="8" w:tplc="EBCA655C" w:tentative="1">
      <w:start w:val="1"/>
      <w:numFmt w:val="bullet"/>
      <w:lvlText w:val="-"/>
      <w:lvlJc w:val="left"/>
      <w:pPr>
        <w:tabs>
          <w:tab w:val="num" w:pos="6480"/>
        </w:tabs>
        <w:ind w:left="6480" w:hanging="360"/>
      </w:pPr>
      <w:rPr>
        <w:rFonts w:ascii="Calibri" w:hAnsi="Calibri" w:hint="default"/>
      </w:rPr>
    </w:lvl>
  </w:abstractNum>
  <w:abstractNum w:abstractNumId="1" w15:restartNumberingAfterBreak="0">
    <w:nsid w:val="04573059"/>
    <w:multiLevelType w:val="hybridMultilevel"/>
    <w:tmpl w:val="EE5493DC"/>
    <w:lvl w:ilvl="0" w:tplc="72C0B180">
      <w:start w:val="1"/>
      <w:numFmt w:val="lowerLetter"/>
      <w:lvlText w:val="%1)"/>
      <w:lvlJc w:val="left"/>
      <w:pPr>
        <w:ind w:left="1780" w:hanging="360"/>
      </w:pPr>
      <w:rPr>
        <w:rFonts w:hint="default"/>
      </w:rPr>
    </w:lvl>
    <w:lvl w:ilvl="1" w:tplc="040C0019" w:tentative="1">
      <w:start w:val="1"/>
      <w:numFmt w:val="lowerLetter"/>
      <w:lvlText w:val="%2."/>
      <w:lvlJc w:val="left"/>
      <w:pPr>
        <w:ind w:left="2500" w:hanging="360"/>
      </w:pPr>
    </w:lvl>
    <w:lvl w:ilvl="2" w:tplc="040C001B" w:tentative="1">
      <w:start w:val="1"/>
      <w:numFmt w:val="lowerRoman"/>
      <w:lvlText w:val="%3."/>
      <w:lvlJc w:val="right"/>
      <w:pPr>
        <w:ind w:left="3220" w:hanging="180"/>
      </w:pPr>
    </w:lvl>
    <w:lvl w:ilvl="3" w:tplc="040C000F" w:tentative="1">
      <w:start w:val="1"/>
      <w:numFmt w:val="decimal"/>
      <w:lvlText w:val="%4."/>
      <w:lvlJc w:val="left"/>
      <w:pPr>
        <w:ind w:left="3940" w:hanging="360"/>
      </w:pPr>
    </w:lvl>
    <w:lvl w:ilvl="4" w:tplc="040C0019" w:tentative="1">
      <w:start w:val="1"/>
      <w:numFmt w:val="lowerLetter"/>
      <w:lvlText w:val="%5."/>
      <w:lvlJc w:val="left"/>
      <w:pPr>
        <w:ind w:left="4660" w:hanging="360"/>
      </w:pPr>
    </w:lvl>
    <w:lvl w:ilvl="5" w:tplc="040C001B" w:tentative="1">
      <w:start w:val="1"/>
      <w:numFmt w:val="lowerRoman"/>
      <w:lvlText w:val="%6."/>
      <w:lvlJc w:val="right"/>
      <w:pPr>
        <w:ind w:left="5380" w:hanging="180"/>
      </w:pPr>
    </w:lvl>
    <w:lvl w:ilvl="6" w:tplc="040C000F" w:tentative="1">
      <w:start w:val="1"/>
      <w:numFmt w:val="decimal"/>
      <w:lvlText w:val="%7."/>
      <w:lvlJc w:val="left"/>
      <w:pPr>
        <w:ind w:left="6100" w:hanging="360"/>
      </w:pPr>
    </w:lvl>
    <w:lvl w:ilvl="7" w:tplc="040C0019" w:tentative="1">
      <w:start w:val="1"/>
      <w:numFmt w:val="lowerLetter"/>
      <w:lvlText w:val="%8."/>
      <w:lvlJc w:val="left"/>
      <w:pPr>
        <w:ind w:left="6820" w:hanging="360"/>
      </w:pPr>
    </w:lvl>
    <w:lvl w:ilvl="8" w:tplc="040C001B" w:tentative="1">
      <w:start w:val="1"/>
      <w:numFmt w:val="lowerRoman"/>
      <w:lvlText w:val="%9."/>
      <w:lvlJc w:val="right"/>
      <w:pPr>
        <w:ind w:left="7540" w:hanging="180"/>
      </w:pPr>
    </w:lvl>
  </w:abstractNum>
  <w:abstractNum w:abstractNumId="2" w15:restartNumberingAfterBreak="0">
    <w:nsid w:val="074E63E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B5D2496"/>
    <w:multiLevelType w:val="multilevel"/>
    <w:tmpl w:val="966AE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F650CD"/>
    <w:multiLevelType w:val="multilevel"/>
    <w:tmpl w:val="39BE8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501BEB"/>
    <w:multiLevelType w:val="hybridMultilevel"/>
    <w:tmpl w:val="6812ED82"/>
    <w:lvl w:ilvl="0" w:tplc="50A64228">
      <w:start w:val="1"/>
      <w:numFmt w:val="bullet"/>
      <w:lvlText w:val=""/>
      <w:lvlJc w:val="left"/>
      <w:pPr>
        <w:tabs>
          <w:tab w:val="num" w:pos="720"/>
        </w:tabs>
        <w:ind w:left="720" w:hanging="360"/>
      </w:pPr>
      <w:rPr>
        <w:rFonts w:ascii="Symbol" w:hAnsi="Symbol" w:hint="default"/>
      </w:rPr>
    </w:lvl>
    <w:lvl w:ilvl="1" w:tplc="5AE096CC" w:tentative="1">
      <w:start w:val="1"/>
      <w:numFmt w:val="bullet"/>
      <w:lvlText w:val=""/>
      <w:lvlJc w:val="left"/>
      <w:pPr>
        <w:tabs>
          <w:tab w:val="num" w:pos="1440"/>
        </w:tabs>
        <w:ind w:left="1440" w:hanging="360"/>
      </w:pPr>
      <w:rPr>
        <w:rFonts w:ascii="Symbol" w:hAnsi="Symbol" w:hint="default"/>
      </w:rPr>
    </w:lvl>
    <w:lvl w:ilvl="2" w:tplc="81088974" w:tentative="1">
      <w:start w:val="1"/>
      <w:numFmt w:val="bullet"/>
      <w:lvlText w:val=""/>
      <w:lvlJc w:val="left"/>
      <w:pPr>
        <w:tabs>
          <w:tab w:val="num" w:pos="2160"/>
        </w:tabs>
        <w:ind w:left="2160" w:hanging="360"/>
      </w:pPr>
      <w:rPr>
        <w:rFonts w:ascii="Symbol" w:hAnsi="Symbol" w:hint="default"/>
      </w:rPr>
    </w:lvl>
    <w:lvl w:ilvl="3" w:tplc="A642D784" w:tentative="1">
      <w:start w:val="1"/>
      <w:numFmt w:val="bullet"/>
      <w:lvlText w:val=""/>
      <w:lvlJc w:val="left"/>
      <w:pPr>
        <w:tabs>
          <w:tab w:val="num" w:pos="2880"/>
        </w:tabs>
        <w:ind w:left="2880" w:hanging="360"/>
      </w:pPr>
      <w:rPr>
        <w:rFonts w:ascii="Symbol" w:hAnsi="Symbol" w:hint="default"/>
      </w:rPr>
    </w:lvl>
    <w:lvl w:ilvl="4" w:tplc="922ADB3A" w:tentative="1">
      <w:start w:val="1"/>
      <w:numFmt w:val="bullet"/>
      <w:lvlText w:val=""/>
      <w:lvlJc w:val="left"/>
      <w:pPr>
        <w:tabs>
          <w:tab w:val="num" w:pos="3600"/>
        </w:tabs>
        <w:ind w:left="3600" w:hanging="360"/>
      </w:pPr>
      <w:rPr>
        <w:rFonts w:ascii="Symbol" w:hAnsi="Symbol" w:hint="default"/>
      </w:rPr>
    </w:lvl>
    <w:lvl w:ilvl="5" w:tplc="012AE8CA" w:tentative="1">
      <w:start w:val="1"/>
      <w:numFmt w:val="bullet"/>
      <w:lvlText w:val=""/>
      <w:lvlJc w:val="left"/>
      <w:pPr>
        <w:tabs>
          <w:tab w:val="num" w:pos="4320"/>
        </w:tabs>
        <w:ind w:left="4320" w:hanging="360"/>
      </w:pPr>
      <w:rPr>
        <w:rFonts w:ascii="Symbol" w:hAnsi="Symbol" w:hint="default"/>
      </w:rPr>
    </w:lvl>
    <w:lvl w:ilvl="6" w:tplc="28D4D9BE" w:tentative="1">
      <w:start w:val="1"/>
      <w:numFmt w:val="bullet"/>
      <w:lvlText w:val=""/>
      <w:lvlJc w:val="left"/>
      <w:pPr>
        <w:tabs>
          <w:tab w:val="num" w:pos="5040"/>
        </w:tabs>
        <w:ind w:left="5040" w:hanging="360"/>
      </w:pPr>
      <w:rPr>
        <w:rFonts w:ascii="Symbol" w:hAnsi="Symbol" w:hint="default"/>
      </w:rPr>
    </w:lvl>
    <w:lvl w:ilvl="7" w:tplc="084EE5B4" w:tentative="1">
      <w:start w:val="1"/>
      <w:numFmt w:val="bullet"/>
      <w:lvlText w:val=""/>
      <w:lvlJc w:val="left"/>
      <w:pPr>
        <w:tabs>
          <w:tab w:val="num" w:pos="5760"/>
        </w:tabs>
        <w:ind w:left="5760" w:hanging="360"/>
      </w:pPr>
      <w:rPr>
        <w:rFonts w:ascii="Symbol" w:hAnsi="Symbol" w:hint="default"/>
      </w:rPr>
    </w:lvl>
    <w:lvl w:ilvl="8" w:tplc="B4E4475C"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12D950E1"/>
    <w:multiLevelType w:val="multilevel"/>
    <w:tmpl w:val="FD78A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6E0CA8"/>
    <w:multiLevelType w:val="multilevel"/>
    <w:tmpl w:val="918C1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D8244E"/>
    <w:multiLevelType w:val="hybridMultilevel"/>
    <w:tmpl w:val="F4BEBBA4"/>
    <w:lvl w:ilvl="0" w:tplc="159670E0">
      <w:start w:val="1"/>
      <w:numFmt w:val="bullet"/>
      <w:lvlText w:val="-"/>
      <w:lvlJc w:val="left"/>
      <w:pPr>
        <w:tabs>
          <w:tab w:val="num" w:pos="720"/>
        </w:tabs>
        <w:ind w:left="720" w:hanging="360"/>
      </w:pPr>
      <w:rPr>
        <w:rFonts w:ascii="Calibri" w:hAnsi="Calibri" w:hint="default"/>
      </w:rPr>
    </w:lvl>
    <w:lvl w:ilvl="1" w:tplc="CD9C6924" w:tentative="1">
      <w:start w:val="1"/>
      <w:numFmt w:val="bullet"/>
      <w:lvlText w:val="-"/>
      <w:lvlJc w:val="left"/>
      <w:pPr>
        <w:tabs>
          <w:tab w:val="num" w:pos="1440"/>
        </w:tabs>
        <w:ind w:left="1440" w:hanging="360"/>
      </w:pPr>
      <w:rPr>
        <w:rFonts w:ascii="Calibri" w:hAnsi="Calibri" w:hint="default"/>
      </w:rPr>
    </w:lvl>
    <w:lvl w:ilvl="2" w:tplc="0D362126" w:tentative="1">
      <w:start w:val="1"/>
      <w:numFmt w:val="bullet"/>
      <w:lvlText w:val="-"/>
      <w:lvlJc w:val="left"/>
      <w:pPr>
        <w:tabs>
          <w:tab w:val="num" w:pos="2160"/>
        </w:tabs>
        <w:ind w:left="2160" w:hanging="360"/>
      </w:pPr>
      <w:rPr>
        <w:rFonts w:ascii="Calibri" w:hAnsi="Calibri" w:hint="default"/>
      </w:rPr>
    </w:lvl>
    <w:lvl w:ilvl="3" w:tplc="2E20F4FC" w:tentative="1">
      <w:start w:val="1"/>
      <w:numFmt w:val="bullet"/>
      <w:lvlText w:val="-"/>
      <w:lvlJc w:val="left"/>
      <w:pPr>
        <w:tabs>
          <w:tab w:val="num" w:pos="2880"/>
        </w:tabs>
        <w:ind w:left="2880" w:hanging="360"/>
      </w:pPr>
      <w:rPr>
        <w:rFonts w:ascii="Calibri" w:hAnsi="Calibri" w:hint="default"/>
      </w:rPr>
    </w:lvl>
    <w:lvl w:ilvl="4" w:tplc="FA369C7A" w:tentative="1">
      <w:start w:val="1"/>
      <w:numFmt w:val="bullet"/>
      <w:lvlText w:val="-"/>
      <w:lvlJc w:val="left"/>
      <w:pPr>
        <w:tabs>
          <w:tab w:val="num" w:pos="3600"/>
        </w:tabs>
        <w:ind w:left="3600" w:hanging="360"/>
      </w:pPr>
      <w:rPr>
        <w:rFonts w:ascii="Calibri" w:hAnsi="Calibri" w:hint="default"/>
      </w:rPr>
    </w:lvl>
    <w:lvl w:ilvl="5" w:tplc="7462458C" w:tentative="1">
      <w:start w:val="1"/>
      <w:numFmt w:val="bullet"/>
      <w:lvlText w:val="-"/>
      <w:lvlJc w:val="left"/>
      <w:pPr>
        <w:tabs>
          <w:tab w:val="num" w:pos="4320"/>
        </w:tabs>
        <w:ind w:left="4320" w:hanging="360"/>
      </w:pPr>
      <w:rPr>
        <w:rFonts w:ascii="Calibri" w:hAnsi="Calibri" w:hint="default"/>
      </w:rPr>
    </w:lvl>
    <w:lvl w:ilvl="6" w:tplc="9020A684" w:tentative="1">
      <w:start w:val="1"/>
      <w:numFmt w:val="bullet"/>
      <w:lvlText w:val="-"/>
      <w:lvlJc w:val="left"/>
      <w:pPr>
        <w:tabs>
          <w:tab w:val="num" w:pos="5040"/>
        </w:tabs>
        <w:ind w:left="5040" w:hanging="360"/>
      </w:pPr>
      <w:rPr>
        <w:rFonts w:ascii="Calibri" w:hAnsi="Calibri" w:hint="default"/>
      </w:rPr>
    </w:lvl>
    <w:lvl w:ilvl="7" w:tplc="C8808FDE" w:tentative="1">
      <w:start w:val="1"/>
      <w:numFmt w:val="bullet"/>
      <w:lvlText w:val="-"/>
      <w:lvlJc w:val="left"/>
      <w:pPr>
        <w:tabs>
          <w:tab w:val="num" w:pos="5760"/>
        </w:tabs>
        <w:ind w:left="5760" w:hanging="360"/>
      </w:pPr>
      <w:rPr>
        <w:rFonts w:ascii="Calibri" w:hAnsi="Calibri" w:hint="default"/>
      </w:rPr>
    </w:lvl>
    <w:lvl w:ilvl="8" w:tplc="E3282C02" w:tentative="1">
      <w:start w:val="1"/>
      <w:numFmt w:val="bullet"/>
      <w:lvlText w:val="-"/>
      <w:lvlJc w:val="left"/>
      <w:pPr>
        <w:tabs>
          <w:tab w:val="num" w:pos="6480"/>
        </w:tabs>
        <w:ind w:left="6480" w:hanging="360"/>
      </w:pPr>
      <w:rPr>
        <w:rFonts w:ascii="Calibri" w:hAnsi="Calibri" w:hint="default"/>
      </w:rPr>
    </w:lvl>
  </w:abstractNum>
  <w:abstractNum w:abstractNumId="9" w15:restartNumberingAfterBreak="0">
    <w:nsid w:val="16EA4B0D"/>
    <w:multiLevelType w:val="hybridMultilevel"/>
    <w:tmpl w:val="C81EAE38"/>
    <w:lvl w:ilvl="0" w:tplc="1D5EF6A0">
      <w:start w:val="1"/>
      <w:numFmt w:val="bullet"/>
      <w:lvlText w:val="-"/>
      <w:lvlJc w:val="left"/>
      <w:pPr>
        <w:tabs>
          <w:tab w:val="num" w:pos="720"/>
        </w:tabs>
        <w:ind w:left="720" w:hanging="360"/>
      </w:pPr>
      <w:rPr>
        <w:rFonts w:ascii="Calibri" w:hAnsi="Calibri" w:hint="default"/>
      </w:rPr>
    </w:lvl>
    <w:lvl w:ilvl="1" w:tplc="F4CCE736" w:tentative="1">
      <w:start w:val="1"/>
      <w:numFmt w:val="bullet"/>
      <w:lvlText w:val="-"/>
      <w:lvlJc w:val="left"/>
      <w:pPr>
        <w:tabs>
          <w:tab w:val="num" w:pos="1440"/>
        </w:tabs>
        <w:ind w:left="1440" w:hanging="360"/>
      </w:pPr>
      <w:rPr>
        <w:rFonts w:ascii="Calibri" w:hAnsi="Calibri" w:hint="default"/>
      </w:rPr>
    </w:lvl>
    <w:lvl w:ilvl="2" w:tplc="B5A29C86" w:tentative="1">
      <w:start w:val="1"/>
      <w:numFmt w:val="bullet"/>
      <w:lvlText w:val="-"/>
      <w:lvlJc w:val="left"/>
      <w:pPr>
        <w:tabs>
          <w:tab w:val="num" w:pos="2160"/>
        </w:tabs>
        <w:ind w:left="2160" w:hanging="360"/>
      </w:pPr>
      <w:rPr>
        <w:rFonts w:ascii="Calibri" w:hAnsi="Calibri" w:hint="default"/>
      </w:rPr>
    </w:lvl>
    <w:lvl w:ilvl="3" w:tplc="6D6C5FD0" w:tentative="1">
      <w:start w:val="1"/>
      <w:numFmt w:val="bullet"/>
      <w:lvlText w:val="-"/>
      <w:lvlJc w:val="left"/>
      <w:pPr>
        <w:tabs>
          <w:tab w:val="num" w:pos="2880"/>
        </w:tabs>
        <w:ind w:left="2880" w:hanging="360"/>
      </w:pPr>
      <w:rPr>
        <w:rFonts w:ascii="Calibri" w:hAnsi="Calibri" w:hint="default"/>
      </w:rPr>
    </w:lvl>
    <w:lvl w:ilvl="4" w:tplc="112C2A80" w:tentative="1">
      <w:start w:val="1"/>
      <w:numFmt w:val="bullet"/>
      <w:lvlText w:val="-"/>
      <w:lvlJc w:val="left"/>
      <w:pPr>
        <w:tabs>
          <w:tab w:val="num" w:pos="3600"/>
        </w:tabs>
        <w:ind w:left="3600" w:hanging="360"/>
      </w:pPr>
      <w:rPr>
        <w:rFonts w:ascii="Calibri" w:hAnsi="Calibri" w:hint="default"/>
      </w:rPr>
    </w:lvl>
    <w:lvl w:ilvl="5" w:tplc="C7463CD8" w:tentative="1">
      <w:start w:val="1"/>
      <w:numFmt w:val="bullet"/>
      <w:lvlText w:val="-"/>
      <w:lvlJc w:val="left"/>
      <w:pPr>
        <w:tabs>
          <w:tab w:val="num" w:pos="4320"/>
        </w:tabs>
        <w:ind w:left="4320" w:hanging="360"/>
      </w:pPr>
      <w:rPr>
        <w:rFonts w:ascii="Calibri" w:hAnsi="Calibri" w:hint="default"/>
      </w:rPr>
    </w:lvl>
    <w:lvl w:ilvl="6" w:tplc="9814E63A" w:tentative="1">
      <w:start w:val="1"/>
      <w:numFmt w:val="bullet"/>
      <w:lvlText w:val="-"/>
      <w:lvlJc w:val="left"/>
      <w:pPr>
        <w:tabs>
          <w:tab w:val="num" w:pos="5040"/>
        </w:tabs>
        <w:ind w:left="5040" w:hanging="360"/>
      </w:pPr>
      <w:rPr>
        <w:rFonts w:ascii="Calibri" w:hAnsi="Calibri" w:hint="default"/>
      </w:rPr>
    </w:lvl>
    <w:lvl w:ilvl="7" w:tplc="C76E5296" w:tentative="1">
      <w:start w:val="1"/>
      <w:numFmt w:val="bullet"/>
      <w:lvlText w:val="-"/>
      <w:lvlJc w:val="left"/>
      <w:pPr>
        <w:tabs>
          <w:tab w:val="num" w:pos="5760"/>
        </w:tabs>
        <w:ind w:left="5760" w:hanging="360"/>
      </w:pPr>
      <w:rPr>
        <w:rFonts w:ascii="Calibri" w:hAnsi="Calibri" w:hint="default"/>
      </w:rPr>
    </w:lvl>
    <w:lvl w:ilvl="8" w:tplc="B8B8DA0E" w:tentative="1">
      <w:start w:val="1"/>
      <w:numFmt w:val="bullet"/>
      <w:lvlText w:val="-"/>
      <w:lvlJc w:val="left"/>
      <w:pPr>
        <w:tabs>
          <w:tab w:val="num" w:pos="6480"/>
        </w:tabs>
        <w:ind w:left="6480" w:hanging="360"/>
      </w:pPr>
      <w:rPr>
        <w:rFonts w:ascii="Calibri" w:hAnsi="Calibri" w:hint="default"/>
      </w:rPr>
    </w:lvl>
  </w:abstractNum>
  <w:abstractNum w:abstractNumId="10" w15:restartNumberingAfterBreak="0">
    <w:nsid w:val="17B371DE"/>
    <w:multiLevelType w:val="hybridMultilevel"/>
    <w:tmpl w:val="5502B7F4"/>
    <w:lvl w:ilvl="0" w:tplc="BF1290C0">
      <w:start w:val="1"/>
      <w:numFmt w:val="upperRoman"/>
      <w:pStyle w:val="Titre1"/>
      <w:lvlText w:val="%1."/>
      <w:lvlJc w:val="left"/>
      <w:pPr>
        <w:ind w:left="2148" w:hanging="720"/>
      </w:pPr>
      <w:rPr>
        <w:rFonts w:hint="default"/>
      </w:rPr>
    </w:lvl>
    <w:lvl w:ilvl="1" w:tplc="040C0019" w:tentative="1">
      <w:start w:val="1"/>
      <w:numFmt w:val="lowerLetter"/>
      <w:lvlText w:val="%2."/>
      <w:lvlJc w:val="left"/>
      <w:pPr>
        <w:ind w:left="2508" w:hanging="360"/>
      </w:pPr>
    </w:lvl>
    <w:lvl w:ilvl="2" w:tplc="040C001B" w:tentative="1">
      <w:start w:val="1"/>
      <w:numFmt w:val="lowerRoman"/>
      <w:lvlText w:val="%3."/>
      <w:lvlJc w:val="right"/>
      <w:pPr>
        <w:ind w:left="3228" w:hanging="180"/>
      </w:pPr>
    </w:lvl>
    <w:lvl w:ilvl="3" w:tplc="040C000F" w:tentative="1">
      <w:start w:val="1"/>
      <w:numFmt w:val="decimal"/>
      <w:lvlText w:val="%4."/>
      <w:lvlJc w:val="left"/>
      <w:pPr>
        <w:ind w:left="3948" w:hanging="360"/>
      </w:pPr>
    </w:lvl>
    <w:lvl w:ilvl="4" w:tplc="040C0019" w:tentative="1">
      <w:start w:val="1"/>
      <w:numFmt w:val="lowerLetter"/>
      <w:lvlText w:val="%5."/>
      <w:lvlJc w:val="left"/>
      <w:pPr>
        <w:ind w:left="4668" w:hanging="360"/>
      </w:pPr>
    </w:lvl>
    <w:lvl w:ilvl="5" w:tplc="040C001B" w:tentative="1">
      <w:start w:val="1"/>
      <w:numFmt w:val="lowerRoman"/>
      <w:lvlText w:val="%6."/>
      <w:lvlJc w:val="right"/>
      <w:pPr>
        <w:ind w:left="5388" w:hanging="180"/>
      </w:pPr>
    </w:lvl>
    <w:lvl w:ilvl="6" w:tplc="040C000F" w:tentative="1">
      <w:start w:val="1"/>
      <w:numFmt w:val="decimal"/>
      <w:lvlText w:val="%7."/>
      <w:lvlJc w:val="left"/>
      <w:pPr>
        <w:ind w:left="6108" w:hanging="360"/>
      </w:pPr>
    </w:lvl>
    <w:lvl w:ilvl="7" w:tplc="040C0019" w:tentative="1">
      <w:start w:val="1"/>
      <w:numFmt w:val="lowerLetter"/>
      <w:lvlText w:val="%8."/>
      <w:lvlJc w:val="left"/>
      <w:pPr>
        <w:ind w:left="6828" w:hanging="360"/>
      </w:pPr>
    </w:lvl>
    <w:lvl w:ilvl="8" w:tplc="040C001B" w:tentative="1">
      <w:start w:val="1"/>
      <w:numFmt w:val="lowerRoman"/>
      <w:lvlText w:val="%9."/>
      <w:lvlJc w:val="right"/>
      <w:pPr>
        <w:ind w:left="7548" w:hanging="180"/>
      </w:pPr>
    </w:lvl>
  </w:abstractNum>
  <w:abstractNum w:abstractNumId="11" w15:restartNumberingAfterBreak="0">
    <w:nsid w:val="17D74E75"/>
    <w:multiLevelType w:val="hybridMultilevel"/>
    <w:tmpl w:val="6E8ED02C"/>
    <w:lvl w:ilvl="0" w:tplc="9DC89588">
      <w:start w:val="1"/>
      <w:numFmt w:val="bullet"/>
      <w:lvlText w:val="-"/>
      <w:lvlJc w:val="left"/>
      <w:pPr>
        <w:tabs>
          <w:tab w:val="num" w:pos="720"/>
        </w:tabs>
        <w:ind w:left="720" w:hanging="360"/>
      </w:pPr>
      <w:rPr>
        <w:rFonts w:ascii="Calibri" w:hAnsi="Calibri" w:hint="default"/>
      </w:rPr>
    </w:lvl>
    <w:lvl w:ilvl="1" w:tplc="026C6878" w:tentative="1">
      <w:start w:val="1"/>
      <w:numFmt w:val="bullet"/>
      <w:lvlText w:val="-"/>
      <w:lvlJc w:val="left"/>
      <w:pPr>
        <w:tabs>
          <w:tab w:val="num" w:pos="1440"/>
        </w:tabs>
        <w:ind w:left="1440" w:hanging="360"/>
      </w:pPr>
      <w:rPr>
        <w:rFonts w:ascii="Calibri" w:hAnsi="Calibri" w:hint="default"/>
      </w:rPr>
    </w:lvl>
    <w:lvl w:ilvl="2" w:tplc="25E2A7D8" w:tentative="1">
      <w:start w:val="1"/>
      <w:numFmt w:val="bullet"/>
      <w:lvlText w:val="-"/>
      <w:lvlJc w:val="left"/>
      <w:pPr>
        <w:tabs>
          <w:tab w:val="num" w:pos="2160"/>
        </w:tabs>
        <w:ind w:left="2160" w:hanging="360"/>
      </w:pPr>
      <w:rPr>
        <w:rFonts w:ascii="Calibri" w:hAnsi="Calibri" w:hint="default"/>
      </w:rPr>
    </w:lvl>
    <w:lvl w:ilvl="3" w:tplc="BE101FD8" w:tentative="1">
      <w:start w:val="1"/>
      <w:numFmt w:val="bullet"/>
      <w:lvlText w:val="-"/>
      <w:lvlJc w:val="left"/>
      <w:pPr>
        <w:tabs>
          <w:tab w:val="num" w:pos="2880"/>
        </w:tabs>
        <w:ind w:left="2880" w:hanging="360"/>
      </w:pPr>
      <w:rPr>
        <w:rFonts w:ascii="Calibri" w:hAnsi="Calibri" w:hint="default"/>
      </w:rPr>
    </w:lvl>
    <w:lvl w:ilvl="4" w:tplc="247AA0F0" w:tentative="1">
      <w:start w:val="1"/>
      <w:numFmt w:val="bullet"/>
      <w:lvlText w:val="-"/>
      <w:lvlJc w:val="left"/>
      <w:pPr>
        <w:tabs>
          <w:tab w:val="num" w:pos="3600"/>
        </w:tabs>
        <w:ind w:left="3600" w:hanging="360"/>
      </w:pPr>
      <w:rPr>
        <w:rFonts w:ascii="Calibri" w:hAnsi="Calibri" w:hint="default"/>
      </w:rPr>
    </w:lvl>
    <w:lvl w:ilvl="5" w:tplc="B3F65638" w:tentative="1">
      <w:start w:val="1"/>
      <w:numFmt w:val="bullet"/>
      <w:lvlText w:val="-"/>
      <w:lvlJc w:val="left"/>
      <w:pPr>
        <w:tabs>
          <w:tab w:val="num" w:pos="4320"/>
        </w:tabs>
        <w:ind w:left="4320" w:hanging="360"/>
      </w:pPr>
      <w:rPr>
        <w:rFonts w:ascii="Calibri" w:hAnsi="Calibri" w:hint="default"/>
      </w:rPr>
    </w:lvl>
    <w:lvl w:ilvl="6" w:tplc="1114B30A" w:tentative="1">
      <w:start w:val="1"/>
      <w:numFmt w:val="bullet"/>
      <w:lvlText w:val="-"/>
      <w:lvlJc w:val="left"/>
      <w:pPr>
        <w:tabs>
          <w:tab w:val="num" w:pos="5040"/>
        </w:tabs>
        <w:ind w:left="5040" w:hanging="360"/>
      </w:pPr>
      <w:rPr>
        <w:rFonts w:ascii="Calibri" w:hAnsi="Calibri" w:hint="default"/>
      </w:rPr>
    </w:lvl>
    <w:lvl w:ilvl="7" w:tplc="2114609E" w:tentative="1">
      <w:start w:val="1"/>
      <w:numFmt w:val="bullet"/>
      <w:lvlText w:val="-"/>
      <w:lvlJc w:val="left"/>
      <w:pPr>
        <w:tabs>
          <w:tab w:val="num" w:pos="5760"/>
        </w:tabs>
        <w:ind w:left="5760" w:hanging="360"/>
      </w:pPr>
      <w:rPr>
        <w:rFonts w:ascii="Calibri" w:hAnsi="Calibri" w:hint="default"/>
      </w:rPr>
    </w:lvl>
    <w:lvl w:ilvl="8" w:tplc="07AA792A" w:tentative="1">
      <w:start w:val="1"/>
      <w:numFmt w:val="bullet"/>
      <w:lvlText w:val="-"/>
      <w:lvlJc w:val="left"/>
      <w:pPr>
        <w:tabs>
          <w:tab w:val="num" w:pos="6480"/>
        </w:tabs>
        <w:ind w:left="6480" w:hanging="360"/>
      </w:pPr>
      <w:rPr>
        <w:rFonts w:ascii="Calibri" w:hAnsi="Calibri" w:hint="default"/>
      </w:rPr>
    </w:lvl>
  </w:abstractNum>
  <w:abstractNum w:abstractNumId="12" w15:restartNumberingAfterBreak="0">
    <w:nsid w:val="22932218"/>
    <w:multiLevelType w:val="hybridMultilevel"/>
    <w:tmpl w:val="35C67230"/>
    <w:lvl w:ilvl="0" w:tplc="EEB2B76C">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3" w15:restartNumberingAfterBreak="0">
    <w:nsid w:val="253D3C88"/>
    <w:multiLevelType w:val="multilevel"/>
    <w:tmpl w:val="E76E2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553FF3"/>
    <w:multiLevelType w:val="hybridMultilevel"/>
    <w:tmpl w:val="240C6D4E"/>
    <w:lvl w:ilvl="0" w:tplc="E01C2A06">
      <w:start w:val="1"/>
      <w:numFmt w:val="bullet"/>
      <w:lvlText w:val="-"/>
      <w:lvlJc w:val="left"/>
      <w:pPr>
        <w:tabs>
          <w:tab w:val="num" w:pos="720"/>
        </w:tabs>
        <w:ind w:left="720" w:hanging="360"/>
      </w:pPr>
      <w:rPr>
        <w:rFonts w:ascii="Calibri" w:hAnsi="Calibri" w:hint="default"/>
      </w:rPr>
    </w:lvl>
    <w:lvl w:ilvl="1" w:tplc="8A3A407E" w:tentative="1">
      <w:start w:val="1"/>
      <w:numFmt w:val="bullet"/>
      <w:lvlText w:val="-"/>
      <w:lvlJc w:val="left"/>
      <w:pPr>
        <w:tabs>
          <w:tab w:val="num" w:pos="1440"/>
        </w:tabs>
        <w:ind w:left="1440" w:hanging="360"/>
      </w:pPr>
      <w:rPr>
        <w:rFonts w:ascii="Calibri" w:hAnsi="Calibri" w:hint="default"/>
      </w:rPr>
    </w:lvl>
    <w:lvl w:ilvl="2" w:tplc="9C82B72A" w:tentative="1">
      <w:start w:val="1"/>
      <w:numFmt w:val="bullet"/>
      <w:lvlText w:val="-"/>
      <w:lvlJc w:val="left"/>
      <w:pPr>
        <w:tabs>
          <w:tab w:val="num" w:pos="2160"/>
        </w:tabs>
        <w:ind w:left="2160" w:hanging="360"/>
      </w:pPr>
      <w:rPr>
        <w:rFonts w:ascii="Calibri" w:hAnsi="Calibri" w:hint="default"/>
      </w:rPr>
    </w:lvl>
    <w:lvl w:ilvl="3" w:tplc="33D4BD2C" w:tentative="1">
      <w:start w:val="1"/>
      <w:numFmt w:val="bullet"/>
      <w:lvlText w:val="-"/>
      <w:lvlJc w:val="left"/>
      <w:pPr>
        <w:tabs>
          <w:tab w:val="num" w:pos="2880"/>
        </w:tabs>
        <w:ind w:left="2880" w:hanging="360"/>
      </w:pPr>
      <w:rPr>
        <w:rFonts w:ascii="Calibri" w:hAnsi="Calibri" w:hint="default"/>
      </w:rPr>
    </w:lvl>
    <w:lvl w:ilvl="4" w:tplc="E7AA19F4" w:tentative="1">
      <w:start w:val="1"/>
      <w:numFmt w:val="bullet"/>
      <w:lvlText w:val="-"/>
      <w:lvlJc w:val="left"/>
      <w:pPr>
        <w:tabs>
          <w:tab w:val="num" w:pos="3600"/>
        </w:tabs>
        <w:ind w:left="3600" w:hanging="360"/>
      </w:pPr>
      <w:rPr>
        <w:rFonts w:ascii="Calibri" w:hAnsi="Calibri" w:hint="default"/>
      </w:rPr>
    </w:lvl>
    <w:lvl w:ilvl="5" w:tplc="0E7A9C80" w:tentative="1">
      <w:start w:val="1"/>
      <w:numFmt w:val="bullet"/>
      <w:lvlText w:val="-"/>
      <w:lvlJc w:val="left"/>
      <w:pPr>
        <w:tabs>
          <w:tab w:val="num" w:pos="4320"/>
        </w:tabs>
        <w:ind w:left="4320" w:hanging="360"/>
      </w:pPr>
      <w:rPr>
        <w:rFonts w:ascii="Calibri" w:hAnsi="Calibri" w:hint="default"/>
      </w:rPr>
    </w:lvl>
    <w:lvl w:ilvl="6" w:tplc="4F503E3A" w:tentative="1">
      <w:start w:val="1"/>
      <w:numFmt w:val="bullet"/>
      <w:lvlText w:val="-"/>
      <w:lvlJc w:val="left"/>
      <w:pPr>
        <w:tabs>
          <w:tab w:val="num" w:pos="5040"/>
        </w:tabs>
        <w:ind w:left="5040" w:hanging="360"/>
      </w:pPr>
      <w:rPr>
        <w:rFonts w:ascii="Calibri" w:hAnsi="Calibri" w:hint="default"/>
      </w:rPr>
    </w:lvl>
    <w:lvl w:ilvl="7" w:tplc="ABE03F52" w:tentative="1">
      <w:start w:val="1"/>
      <w:numFmt w:val="bullet"/>
      <w:lvlText w:val="-"/>
      <w:lvlJc w:val="left"/>
      <w:pPr>
        <w:tabs>
          <w:tab w:val="num" w:pos="5760"/>
        </w:tabs>
        <w:ind w:left="5760" w:hanging="360"/>
      </w:pPr>
      <w:rPr>
        <w:rFonts w:ascii="Calibri" w:hAnsi="Calibri" w:hint="default"/>
      </w:rPr>
    </w:lvl>
    <w:lvl w:ilvl="8" w:tplc="780CF9D2" w:tentative="1">
      <w:start w:val="1"/>
      <w:numFmt w:val="bullet"/>
      <w:lvlText w:val="-"/>
      <w:lvlJc w:val="left"/>
      <w:pPr>
        <w:tabs>
          <w:tab w:val="num" w:pos="6480"/>
        </w:tabs>
        <w:ind w:left="6480" w:hanging="360"/>
      </w:pPr>
      <w:rPr>
        <w:rFonts w:ascii="Calibri" w:hAnsi="Calibri" w:hint="default"/>
      </w:rPr>
    </w:lvl>
  </w:abstractNum>
  <w:abstractNum w:abstractNumId="15" w15:restartNumberingAfterBreak="0">
    <w:nsid w:val="380B35AB"/>
    <w:multiLevelType w:val="multilevel"/>
    <w:tmpl w:val="56BE4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1F4EC2"/>
    <w:multiLevelType w:val="multilevel"/>
    <w:tmpl w:val="61C8C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8132FC"/>
    <w:multiLevelType w:val="hybridMultilevel"/>
    <w:tmpl w:val="4432A0DC"/>
    <w:lvl w:ilvl="0" w:tplc="BABEB892">
      <w:start w:val="1"/>
      <w:numFmt w:val="bullet"/>
      <w:lvlText w:val="-"/>
      <w:lvlJc w:val="left"/>
      <w:pPr>
        <w:tabs>
          <w:tab w:val="num" w:pos="720"/>
        </w:tabs>
        <w:ind w:left="720" w:hanging="360"/>
      </w:pPr>
      <w:rPr>
        <w:rFonts w:ascii="Calibri" w:hAnsi="Calibri" w:hint="default"/>
      </w:rPr>
    </w:lvl>
    <w:lvl w:ilvl="1" w:tplc="4386FF88" w:tentative="1">
      <w:start w:val="1"/>
      <w:numFmt w:val="bullet"/>
      <w:lvlText w:val="-"/>
      <w:lvlJc w:val="left"/>
      <w:pPr>
        <w:tabs>
          <w:tab w:val="num" w:pos="1440"/>
        </w:tabs>
        <w:ind w:left="1440" w:hanging="360"/>
      </w:pPr>
      <w:rPr>
        <w:rFonts w:ascii="Calibri" w:hAnsi="Calibri" w:hint="default"/>
      </w:rPr>
    </w:lvl>
    <w:lvl w:ilvl="2" w:tplc="CC86D0FA" w:tentative="1">
      <w:start w:val="1"/>
      <w:numFmt w:val="bullet"/>
      <w:lvlText w:val="-"/>
      <w:lvlJc w:val="left"/>
      <w:pPr>
        <w:tabs>
          <w:tab w:val="num" w:pos="2160"/>
        </w:tabs>
        <w:ind w:left="2160" w:hanging="360"/>
      </w:pPr>
      <w:rPr>
        <w:rFonts w:ascii="Calibri" w:hAnsi="Calibri" w:hint="default"/>
      </w:rPr>
    </w:lvl>
    <w:lvl w:ilvl="3" w:tplc="8968D8D4" w:tentative="1">
      <w:start w:val="1"/>
      <w:numFmt w:val="bullet"/>
      <w:lvlText w:val="-"/>
      <w:lvlJc w:val="left"/>
      <w:pPr>
        <w:tabs>
          <w:tab w:val="num" w:pos="2880"/>
        </w:tabs>
        <w:ind w:left="2880" w:hanging="360"/>
      </w:pPr>
      <w:rPr>
        <w:rFonts w:ascii="Calibri" w:hAnsi="Calibri" w:hint="default"/>
      </w:rPr>
    </w:lvl>
    <w:lvl w:ilvl="4" w:tplc="EFCAB760" w:tentative="1">
      <w:start w:val="1"/>
      <w:numFmt w:val="bullet"/>
      <w:lvlText w:val="-"/>
      <w:lvlJc w:val="left"/>
      <w:pPr>
        <w:tabs>
          <w:tab w:val="num" w:pos="3600"/>
        </w:tabs>
        <w:ind w:left="3600" w:hanging="360"/>
      </w:pPr>
      <w:rPr>
        <w:rFonts w:ascii="Calibri" w:hAnsi="Calibri" w:hint="default"/>
      </w:rPr>
    </w:lvl>
    <w:lvl w:ilvl="5" w:tplc="96002542" w:tentative="1">
      <w:start w:val="1"/>
      <w:numFmt w:val="bullet"/>
      <w:lvlText w:val="-"/>
      <w:lvlJc w:val="left"/>
      <w:pPr>
        <w:tabs>
          <w:tab w:val="num" w:pos="4320"/>
        </w:tabs>
        <w:ind w:left="4320" w:hanging="360"/>
      </w:pPr>
      <w:rPr>
        <w:rFonts w:ascii="Calibri" w:hAnsi="Calibri" w:hint="default"/>
      </w:rPr>
    </w:lvl>
    <w:lvl w:ilvl="6" w:tplc="CA8A927E" w:tentative="1">
      <w:start w:val="1"/>
      <w:numFmt w:val="bullet"/>
      <w:lvlText w:val="-"/>
      <w:lvlJc w:val="left"/>
      <w:pPr>
        <w:tabs>
          <w:tab w:val="num" w:pos="5040"/>
        </w:tabs>
        <w:ind w:left="5040" w:hanging="360"/>
      </w:pPr>
      <w:rPr>
        <w:rFonts w:ascii="Calibri" w:hAnsi="Calibri" w:hint="default"/>
      </w:rPr>
    </w:lvl>
    <w:lvl w:ilvl="7" w:tplc="65F49F54" w:tentative="1">
      <w:start w:val="1"/>
      <w:numFmt w:val="bullet"/>
      <w:lvlText w:val="-"/>
      <w:lvlJc w:val="left"/>
      <w:pPr>
        <w:tabs>
          <w:tab w:val="num" w:pos="5760"/>
        </w:tabs>
        <w:ind w:left="5760" w:hanging="360"/>
      </w:pPr>
      <w:rPr>
        <w:rFonts w:ascii="Calibri" w:hAnsi="Calibri" w:hint="default"/>
      </w:rPr>
    </w:lvl>
    <w:lvl w:ilvl="8" w:tplc="FAF2A876" w:tentative="1">
      <w:start w:val="1"/>
      <w:numFmt w:val="bullet"/>
      <w:lvlText w:val="-"/>
      <w:lvlJc w:val="left"/>
      <w:pPr>
        <w:tabs>
          <w:tab w:val="num" w:pos="6480"/>
        </w:tabs>
        <w:ind w:left="6480" w:hanging="360"/>
      </w:pPr>
      <w:rPr>
        <w:rFonts w:ascii="Calibri" w:hAnsi="Calibri" w:hint="default"/>
      </w:rPr>
    </w:lvl>
  </w:abstractNum>
  <w:abstractNum w:abstractNumId="18" w15:restartNumberingAfterBreak="0">
    <w:nsid w:val="4B054C25"/>
    <w:multiLevelType w:val="hybridMultilevel"/>
    <w:tmpl w:val="B62C2CF4"/>
    <w:lvl w:ilvl="0" w:tplc="124E844C">
      <w:start w:val="1"/>
      <w:numFmt w:val="bullet"/>
      <w:lvlText w:val="-"/>
      <w:lvlJc w:val="left"/>
      <w:pPr>
        <w:tabs>
          <w:tab w:val="num" w:pos="720"/>
        </w:tabs>
        <w:ind w:left="720" w:hanging="360"/>
      </w:pPr>
      <w:rPr>
        <w:rFonts w:ascii="Calibri" w:hAnsi="Calibri" w:hint="default"/>
      </w:rPr>
    </w:lvl>
    <w:lvl w:ilvl="1" w:tplc="E460D154" w:tentative="1">
      <w:start w:val="1"/>
      <w:numFmt w:val="bullet"/>
      <w:lvlText w:val="-"/>
      <w:lvlJc w:val="left"/>
      <w:pPr>
        <w:tabs>
          <w:tab w:val="num" w:pos="1440"/>
        </w:tabs>
        <w:ind w:left="1440" w:hanging="360"/>
      </w:pPr>
      <w:rPr>
        <w:rFonts w:ascii="Calibri" w:hAnsi="Calibri" w:hint="default"/>
      </w:rPr>
    </w:lvl>
    <w:lvl w:ilvl="2" w:tplc="110651DA" w:tentative="1">
      <w:start w:val="1"/>
      <w:numFmt w:val="bullet"/>
      <w:lvlText w:val="-"/>
      <w:lvlJc w:val="left"/>
      <w:pPr>
        <w:tabs>
          <w:tab w:val="num" w:pos="2160"/>
        </w:tabs>
        <w:ind w:left="2160" w:hanging="360"/>
      </w:pPr>
      <w:rPr>
        <w:rFonts w:ascii="Calibri" w:hAnsi="Calibri" w:hint="default"/>
      </w:rPr>
    </w:lvl>
    <w:lvl w:ilvl="3" w:tplc="99D04CC0" w:tentative="1">
      <w:start w:val="1"/>
      <w:numFmt w:val="bullet"/>
      <w:lvlText w:val="-"/>
      <w:lvlJc w:val="left"/>
      <w:pPr>
        <w:tabs>
          <w:tab w:val="num" w:pos="2880"/>
        </w:tabs>
        <w:ind w:left="2880" w:hanging="360"/>
      </w:pPr>
      <w:rPr>
        <w:rFonts w:ascii="Calibri" w:hAnsi="Calibri" w:hint="default"/>
      </w:rPr>
    </w:lvl>
    <w:lvl w:ilvl="4" w:tplc="E1261F62" w:tentative="1">
      <w:start w:val="1"/>
      <w:numFmt w:val="bullet"/>
      <w:lvlText w:val="-"/>
      <w:lvlJc w:val="left"/>
      <w:pPr>
        <w:tabs>
          <w:tab w:val="num" w:pos="3600"/>
        </w:tabs>
        <w:ind w:left="3600" w:hanging="360"/>
      </w:pPr>
      <w:rPr>
        <w:rFonts w:ascii="Calibri" w:hAnsi="Calibri" w:hint="default"/>
      </w:rPr>
    </w:lvl>
    <w:lvl w:ilvl="5" w:tplc="7AC0BE2A" w:tentative="1">
      <w:start w:val="1"/>
      <w:numFmt w:val="bullet"/>
      <w:lvlText w:val="-"/>
      <w:lvlJc w:val="left"/>
      <w:pPr>
        <w:tabs>
          <w:tab w:val="num" w:pos="4320"/>
        </w:tabs>
        <w:ind w:left="4320" w:hanging="360"/>
      </w:pPr>
      <w:rPr>
        <w:rFonts w:ascii="Calibri" w:hAnsi="Calibri" w:hint="default"/>
      </w:rPr>
    </w:lvl>
    <w:lvl w:ilvl="6" w:tplc="0882B9D8" w:tentative="1">
      <w:start w:val="1"/>
      <w:numFmt w:val="bullet"/>
      <w:lvlText w:val="-"/>
      <w:lvlJc w:val="left"/>
      <w:pPr>
        <w:tabs>
          <w:tab w:val="num" w:pos="5040"/>
        </w:tabs>
        <w:ind w:left="5040" w:hanging="360"/>
      </w:pPr>
      <w:rPr>
        <w:rFonts w:ascii="Calibri" w:hAnsi="Calibri" w:hint="default"/>
      </w:rPr>
    </w:lvl>
    <w:lvl w:ilvl="7" w:tplc="25D81E16" w:tentative="1">
      <w:start w:val="1"/>
      <w:numFmt w:val="bullet"/>
      <w:lvlText w:val="-"/>
      <w:lvlJc w:val="left"/>
      <w:pPr>
        <w:tabs>
          <w:tab w:val="num" w:pos="5760"/>
        </w:tabs>
        <w:ind w:left="5760" w:hanging="360"/>
      </w:pPr>
      <w:rPr>
        <w:rFonts w:ascii="Calibri" w:hAnsi="Calibri" w:hint="default"/>
      </w:rPr>
    </w:lvl>
    <w:lvl w:ilvl="8" w:tplc="A7D06370" w:tentative="1">
      <w:start w:val="1"/>
      <w:numFmt w:val="bullet"/>
      <w:lvlText w:val="-"/>
      <w:lvlJc w:val="left"/>
      <w:pPr>
        <w:tabs>
          <w:tab w:val="num" w:pos="6480"/>
        </w:tabs>
        <w:ind w:left="6480" w:hanging="360"/>
      </w:pPr>
      <w:rPr>
        <w:rFonts w:ascii="Calibri" w:hAnsi="Calibri" w:hint="default"/>
      </w:rPr>
    </w:lvl>
  </w:abstractNum>
  <w:abstractNum w:abstractNumId="19" w15:restartNumberingAfterBreak="0">
    <w:nsid w:val="4C231BA0"/>
    <w:multiLevelType w:val="hybridMultilevel"/>
    <w:tmpl w:val="DA1A94F4"/>
    <w:lvl w:ilvl="0" w:tplc="40F2DA0E">
      <w:start w:val="1"/>
      <w:numFmt w:val="lowerLetter"/>
      <w:lvlText w:val="%1)"/>
      <w:lvlJc w:val="left"/>
      <w:pPr>
        <w:ind w:left="1780" w:hanging="360"/>
      </w:pPr>
      <w:rPr>
        <w:rFonts w:hint="default"/>
      </w:rPr>
    </w:lvl>
    <w:lvl w:ilvl="1" w:tplc="040C0019" w:tentative="1">
      <w:start w:val="1"/>
      <w:numFmt w:val="lowerLetter"/>
      <w:lvlText w:val="%2."/>
      <w:lvlJc w:val="left"/>
      <w:pPr>
        <w:ind w:left="2500" w:hanging="360"/>
      </w:pPr>
    </w:lvl>
    <w:lvl w:ilvl="2" w:tplc="040C001B" w:tentative="1">
      <w:start w:val="1"/>
      <w:numFmt w:val="lowerRoman"/>
      <w:lvlText w:val="%3."/>
      <w:lvlJc w:val="right"/>
      <w:pPr>
        <w:ind w:left="3220" w:hanging="180"/>
      </w:pPr>
    </w:lvl>
    <w:lvl w:ilvl="3" w:tplc="040C000F" w:tentative="1">
      <w:start w:val="1"/>
      <w:numFmt w:val="decimal"/>
      <w:lvlText w:val="%4."/>
      <w:lvlJc w:val="left"/>
      <w:pPr>
        <w:ind w:left="3940" w:hanging="360"/>
      </w:pPr>
    </w:lvl>
    <w:lvl w:ilvl="4" w:tplc="040C0019" w:tentative="1">
      <w:start w:val="1"/>
      <w:numFmt w:val="lowerLetter"/>
      <w:lvlText w:val="%5."/>
      <w:lvlJc w:val="left"/>
      <w:pPr>
        <w:ind w:left="4660" w:hanging="360"/>
      </w:pPr>
    </w:lvl>
    <w:lvl w:ilvl="5" w:tplc="040C001B" w:tentative="1">
      <w:start w:val="1"/>
      <w:numFmt w:val="lowerRoman"/>
      <w:lvlText w:val="%6."/>
      <w:lvlJc w:val="right"/>
      <w:pPr>
        <w:ind w:left="5380" w:hanging="180"/>
      </w:pPr>
    </w:lvl>
    <w:lvl w:ilvl="6" w:tplc="040C000F" w:tentative="1">
      <w:start w:val="1"/>
      <w:numFmt w:val="decimal"/>
      <w:lvlText w:val="%7."/>
      <w:lvlJc w:val="left"/>
      <w:pPr>
        <w:ind w:left="6100" w:hanging="360"/>
      </w:pPr>
    </w:lvl>
    <w:lvl w:ilvl="7" w:tplc="040C0019" w:tentative="1">
      <w:start w:val="1"/>
      <w:numFmt w:val="lowerLetter"/>
      <w:lvlText w:val="%8."/>
      <w:lvlJc w:val="left"/>
      <w:pPr>
        <w:ind w:left="6820" w:hanging="360"/>
      </w:pPr>
    </w:lvl>
    <w:lvl w:ilvl="8" w:tplc="040C001B" w:tentative="1">
      <w:start w:val="1"/>
      <w:numFmt w:val="lowerRoman"/>
      <w:lvlText w:val="%9."/>
      <w:lvlJc w:val="right"/>
      <w:pPr>
        <w:ind w:left="7540" w:hanging="180"/>
      </w:pPr>
    </w:lvl>
  </w:abstractNum>
  <w:abstractNum w:abstractNumId="20" w15:restartNumberingAfterBreak="0">
    <w:nsid w:val="4D2D0829"/>
    <w:multiLevelType w:val="multilevel"/>
    <w:tmpl w:val="5E706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5659A0"/>
    <w:multiLevelType w:val="hybridMultilevel"/>
    <w:tmpl w:val="09AE9666"/>
    <w:lvl w:ilvl="0" w:tplc="45AA1572">
      <w:start w:val="1"/>
      <w:numFmt w:val="lowerLetter"/>
      <w:lvlText w:val="%1)"/>
      <w:lvlJc w:val="left"/>
      <w:pPr>
        <w:ind w:left="1780" w:hanging="360"/>
      </w:pPr>
      <w:rPr>
        <w:rFonts w:hint="default"/>
      </w:rPr>
    </w:lvl>
    <w:lvl w:ilvl="1" w:tplc="040C0019" w:tentative="1">
      <w:start w:val="1"/>
      <w:numFmt w:val="lowerLetter"/>
      <w:lvlText w:val="%2."/>
      <w:lvlJc w:val="left"/>
      <w:pPr>
        <w:ind w:left="2500" w:hanging="360"/>
      </w:pPr>
    </w:lvl>
    <w:lvl w:ilvl="2" w:tplc="040C001B" w:tentative="1">
      <w:start w:val="1"/>
      <w:numFmt w:val="lowerRoman"/>
      <w:lvlText w:val="%3."/>
      <w:lvlJc w:val="right"/>
      <w:pPr>
        <w:ind w:left="3220" w:hanging="180"/>
      </w:pPr>
    </w:lvl>
    <w:lvl w:ilvl="3" w:tplc="040C000F" w:tentative="1">
      <w:start w:val="1"/>
      <w:numFmt w:val="decimal"/>
      <w:lvlText w:val="%4."/>
      <w:lvlJc w:val="left"/>
      <w:pPr>
        <w:ind w:left="3940" w:hanging="360"/>
      </w:pPr>
    </w:lvl>
    <w:lvl w:ilvl="4" w:tplc="040C0019" w:tentative="1">
      <w:start w:val="1"/>
      <w:numFmt w:val="lowerLetter"/>
      <w:lvlText w:val="%5."/>
      <w:lvlJc w:val="left"/>
      <w:pPr>
        <w:ind w:left="4660" w:hanging="360"/>
      </w:pPr>
    </w:lvl>
    <w:lvl w:ilvl="5" w:tplc="040C001B" w:tentative="1">
      <w:start w:val="1"/>
      <w:numFmt w:val="lowerRoman"/>
      <w:lvlText w:val="%6."/>
      <w:lvlJc w:val="right"/>
      <w:pPr>
        <w:ind w:left="5380" w:hanging="180"/>
      </w:pPr>
    </w:lvl>
    <w:lvl w:ilvl="6" w:tplc="040C000F" w:tentative="1">
      <w:start w:val="1"/>
      <w:numFmt w:val="decimal"/>
      <w:lvlText w:val="%7."/>
      <w:lvlJc w:val="left"/>
      <w:pPr>
        <w:ind w:left="6100" w:hanging="360"/>
      </w:pPr>
    </w:lvl>
    <w:lvl w:ilvl="7" w:tplc="040C0019" w:tentative="1">
      <w:start w:val="1"/>
      <w:numFmt w:val="lowerLetter"/>
      <w:lvlText w:val="%8."/>
      <w:lvlJc w:val="left"/>
      <w:pPr>
        <w:ind w:left="6820" w:hanging="360"/>
      </w:pPr>
    </w:lvl>
    <w:lvl w:ilvl="8" w:tplc="040C001B" w:tentative="1">
      <w:start w:val="1"/>
      <w:numFmt w:val="lowerRoman"/>
      <w:lvlText w:val="%9."/>
      <w:lvlJc w:val="right"/>
      <w:pPr>
        <w:ind w:left="7540" w:hanging="180"/>
      </w:pPr>
    </w:lvl>
  </w:abstractNum>
  <w:abstractNum w:abstractNumId="22" w15:restartNumberingAfterBreak="0">
    <w:nsid w:val="55B831A2"/>
    <w:multiLevelType w:val="hybridMultilevel"/>
    <w:tmpl w:val="AD6226B4"/>
    <w:lvl w:ilvl="0" w:tplc="A8E846E8">
      <w:start w:val="1"/>
      <w:numFmt w:val="lowerLetter"/>
      <w:lvlText w:val="%1)"/>
      <w:lvlJc w:val="left"/>
      <w:pPr>
        <w:ind w:left="1780" w:hanging="360"/>
      </w:pPr>
      <w:rPr>
        <w:rFonts w:hint="default"/>
      </w:rPr>
    </w:lvl>
    <w:lvl w:ilvl="1" w:tplc="040C0019" w:tentative="1">
      <w:start w:val="1"/>
      <w:numFmt w:val="lowerLetter"/>
      <w:lvlText w:val="%2."/>
      <w:lvlJc w:val="left"/>
      <w:pPr>
        <w:ind w:left="2500" w:hanging="360"/>
      </w:pPr>
    </w:lvl>
    <w:lvl w:ilvl="2" w:tplc="040C001B" w:tentative="1">
      <w:start w:val="1"/>
      <w:numFmt w:val="lowerRoman"/>
      <w:lvlText w:val="%3."/>
      <w:lvlJc w:val="right"/>
      <w:pPr>
        <w:ind w:left="3220" w:hanging="180"/>
      </w:pPr>
    </w:lvl>
    <w:lvl w:ilvl="3" w:tplc="040C000F" w:tentative="1">
      <w:start w:val="1"/>
      <w:numFmt w:val="decimal"/>
      <w:lvlText w:val="%4."/>
      <w:lvlJc w:val="left"/>
      <w:pPr>
        <w:ind w:left="3940" w:hanging="360"/>
      </w:pPr>
    </w:lvl>
    <w:lvl w:ilvl="4" w:tplc="040C0019" w:tentative="1">
      <w:start w:val="1"/>
      <w:numFmt w:val="lowerLetter"/>
      <w:lvlText w:val="%5."/>
      <w:lvlJc w:val="left"/>
      <w:pPr>
        <w:ind w:left="4660" w:hanging="360"/>
      </w:pPr>
    </w:lvl>
    <w:lvl w:ilvl="5" w:tplc="040C001B" w:tentative="1">
      <w:start w:val="1"/>
      <w:numFmt w:val="lowerRoman"/>
      <w:lvlText w:val="%6."/>
      <w:lvlJc w:val="right"/>
      <w:pPr>
        <w:ind w:left="5380" w:hanging="180"/>
      </w:pPr>
    </w:lvl>
    <w:lvl w:ilvl="6" w:tplc="040C000F" w:tentative="1">
      <w:start w:val="1"/>
      <w:numFmt w:val="decimal"/>
      <w:lvlText w:val="%7."/>
      <w:lvlJc w:val="left"/>
      <w:pPr>
        <w:ind w:left="6100" w:hanging="360"/>
      </w:pPr>
    </w:lvl>
    <w:lvl w:ilvl="7" w:tplc="040C0019" w:tentative="1">
      <w:start w:val="1"/>
      <w:numFmt w:val="lowerLetter"/>
      <w:lvlText w:val="%8."/>
      <w:lvlJc w:val="left"/>
      <w:pPr>
        <w:ind w:left="6820" w:hanging="360"/>
      </w:pPr>
    </w:lvl>
    <w:lvl w:ilvl="8" w:tplc="040C001B" w:tentative="1">
      <w:start w:val="1"/>
      <w:numFmt w:val="lowerRoman"/>
      <w:lvlText w:val="%9."/>
      <w:lvlJc w:val="right"/>
      <w:pPr>
        <w:ind w:left="7540" w:hanging="180"/>
      </w:pPr>
    </w:lvl>
  </w:abstractNum>
  <w:abstractNum w:abstractNumId="23" w15:restartNumberingAfterBreak="0">
    <w:nsid w:val="5A9608DB"/>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5E095267"/>
    <w:multiLevelType w:val="hybridMultilevel"/>
    <w:tmpl w:val="C95E9C20"/>
    <w:lvl w:ilvl="0" w:tplc="B4DE201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653E3541"/>
    <w:multiLevelType w:val="hybridMultilevel"/>
    <w:tmpl w:val="6FE64FE8"/>
    <w:lvl w:ilvl="0" w:tplc="D898F374">
      <w:start w:val="1"/>
      <w:numFmt w:val="bullet"/>
      <w:lvlText w:val="-"/>
      <w:lvlJc w:val="left"/>
      <w:pPr>
        <w:tabs>
          <w:tab w:val="num" w:pos="720"/>
        </w:tabs>
        <w:ind w:left="720" w:hanging="360"/>
      </w:pPr>
      <w:rPr>
        <w:rFonts w:ascii="Calibri" w:hAnsi="Calibri" w:hint="default"/>
      </w:rPr>
    </w:lvl>
    <w:lvl w:ilvl="1" w:tplc="4C32ADAE" w:tentative="1">
      <w:start w:val="1"/>
      <w:numFmt w:val="bullet"/>
      <w:lvlText w:val="-"/>
      <w:lvlJc w:val="left"/>
      <w:pPr>
        <w:tabs>
          <w:tab w:val="num" w:pos="1440"/>
        </w:tabs>
        <w:ind w:left="1440" w:hanging="360"/>
      </w:pPr>
      <w:rPr>
        <w:rFonts w:ascii="Calibri" w:hAnsi="Calibri" w:hint="default"/>
      </w:rPr>
    </w:lvl>
    <w:lvl w:ilvl="2" w:tplc="97C29640" w:tentative="1">
      <w:start w:val="1"/>
      <w:numFmt w:val="bullet"/>
      <w:lvlText w:val="-"/>
      <w:lvlJc w:val="left"/>
      <w:pPr>
        <w:tabs>
          <w:tab w:val="num" w:pos="2160"/>
        </w:tabs>
        <w:ind w:left="2160" w:hanging="360"/>
      </w:pPr>
      <w:rPr>
        <w:rFonts w:ascii="Calibri" w:hAnsi="Calibri" w:hint="default"/>
      </w:rPr>
    </w:lvl>
    <w:lvl w:ilvl="3" w:tplc="99A6E082" w:tentative="1">
      <w:start w:val="1"/>
      <w:numFmt w:val="bullet"/>
      <w:lvlText w:val="-"/>
      <w:lvlJc w:val="left"/>
      <w:pPr>
        <w:tabs>
          <w:tab w:val="num" w:pos="2880"/>
        </w:tabs>
        <w:ind w:left="2880" w:hanging="360"/>
      </w:pPr>
      <w:rPr>
        <w:rFonts w:ascii="Calibri" w:hAnsi="Calibri" w:hint="default"/>
      </w:rPr>
    </w:lvl>
    <w:lvl w:ilvl="4" w:tplc="671C13F2" w:tentative="1">
      <w:start w:val="1"/>
      <w:numFmt w:val="bullet"/>
      <w:lvlText w:val="-"/>
      <w:lvlJc w:val="left"/>
      <w:pPr>
        <w:tabs>
          <w:tab w:val="num" w:pos="3600"/>
        </w:tabs>
        <w:ind w:left="3600" w:hanging="360"/>
      </w:pPr>
      <w:rPr>
        <w:rFonts w:ascii="Calibri" w:hAnsi="Calibri" w:hint="default"/>
      </w:rPr>
    </w:lvl>
    <w:lvl w:ilvl="5" w:tplc="69069900" w:tentative="1">
      <w:start w:val="1"/>
      <w:numFmt w:val="bullet"/>
      <w:lvlText w:val="-"/>
      <w:lvlJc w:val="left"/>
      <w:pPr>
        <w:tabs>
          <w:tab w:val="num" w:pos="4320"/>
        </w:tabs>
        <w:ind w:left="4320" w:hanging="360"/>
      </w:pPr>
      <w:rPr>
        <w:rFonts w:ascii="Calibri" w:hAnsi="Calibri" w:hint="default"/>
      </w:rPr>
    </w:lvl>
    <w:lvl w:ilvl="6" w:tplc="FA9CCDEE" w:tentative="1">
      <w:start w:val="1"/>
      <w:numFmt w:val="bullet"/>
      <w:lvlText w:val="-"/>
      <w:lvlJc w:val="left"/>
      <w:pPr>
        <w:tabs>
          <w:tab w:val="num" w:pos="5040"/>
        </w:tabs>
        <w:ind w:left="5040" w:hanging="360"/>
      </w:pPr>
      <w:rPr>
        <w:rFonts w:ascii="Calibri" w:hAnsi="Calibri" w:hint="default"/>
      </w:rPr>
    </w:lvl>
    <w:lvl w:ilvl="7" w:tplc="C7A0C416" w:tentative="1">
      <w:start w:val="1"/>
      <w:numFmt w:val="bullet"/>
      <w:lvlText w:val="-"/>
      <w:lvlJc w:val="left"/>
      <w:pPr>
        <w:tabs>
          <w:tab w:val="num" w:pos="5760"/>
        </w:tabs>
        <w:ind w:left="5760" w:hanging="360"/>
      </w:pPr>
      <w:rPr>
        <w:rFonts w:ascii="Calibri" w:hAnsi="Calibri" w:hint="default"/>
      </w:rPr>
    </w:lvl>
    <w:lvl w:ilvl="8" w:tplc="34D05938" w:tentative="1">
      <w:start w:val="1"/>
      <w:numFmt w:val="bullet"/>
      <w:lvlText w:val="-"/>
      <w:lvlJc w:val="left"/>
      <w:pPr>
        <w:tabs>
          <w:tab w:val="num" w:pos="6480"/>
        </w:tabs>
        <w:ind w:left="6480" w:hanging="360"/>
      </w:pPr>
      <w:rPr>
        <w:rFonts w:ascii="Calibri" w:hAnsi="Calibri" w:hint="default"/>
      </w:rPr>
    </w:lvl>
  </w:abstractNum>
  <w:abstractNum w:abstractNumId="26" w15:restartNumberingAfterBreak="0">
    <w:nsid w:val="6AE05EE3"/>
    <w:multiLevelType w:val="multilevel"/>
    <w:tmpl w:val="DA72E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FF5C35"/>
    <w:multiLevelType w:val="multilevel"/>
    <w:tmpl w:val="4A60D31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8" w15:restartNumberingAfterBreak="0">
    <w:nsid w:val="6D8B409C"/>
    <w:multiLevelType w:val="hybridMultilevel"/>
    <w:tmpl w:val="4DCCF220"/>
    <w:lvl w:ilvl="0" w:tplc="F6FA6006">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9" w15:restartNumberingAfterBreak="0">
    <w:nsid w:val="70C622A7"/>
    <w:multiLevelType w:val="hybridMultilevel"/>
    <w:tmpl w:val="382C4EB0"/>
    <w:lvl w:ilvl="0" w:tplc="1A3E2862">
      <w:start w:val="1"/>
      <w:numFmt w:val="bullet"/>
      <w:lvlText w:val="-"/>
      <w:lvlJc w:val="left"/>
      <w:pPr>
        <w:tabs>
          <w:tab w:val="num" w:pos="720"/>
        </w:tabs>
        <w:ind w:left="720" w:hanging="360"/>
      </w:pPr>
      <w:rPr>
        <w:rFonts w:ascii="Times New Roman" w:hAnsi="Times New Roman" w:hint="default"/>
      </w:rPr>
    </w:lvl>
    <w:lvl w:ilvl="1" w:tplc="C368EE86" w:tentative="1">
      <w:start w:val="1"/>
      <w:numFmt w:val="bullet"/>
      <w:lvlText w:val="-"/>
      <w:lvlJc w:val="left"/>
      <w:pPr>
        <w:tabs>
          <w:tab w:val="num" w:pos="1440"/>
        </w:tabs>
        <w:ind w:left="1440" w:hanging="360"/>
      </w:pPr>
      <w:rPr>
        <w:rFonts w:ascii="Times New Roman" w:hAnsi="Times New Roman" w:hint="default"/>
      </w:rPr>
    </w:lvl>
    <w:lvl w:ilvl="2" w:tplc="4676AABA" w:tentative="1">
      <w:start w:val="1"/>
      <w:numFmt w:val="bullet"/>
      <w:lvlText w:val="-"/>
      <w:lvlJc w:val="left"/>
      <w:pPr>
        <w:tabs>
          <w:tab w:val="num" w:pos="2160"/>
        </w:tabs>
        <w:ind w:left="2160" w:hanging="360"/>
      </w:pPr>
      <w:rPr>
        <w:rFonts w:ascii="Times New Roman" w:hAnsi="Times New Roman" w:hint="default"/>
      </w:rPr>
    </w:lvl>
    <w:lvl w:ilvl="3" w:tplc="1B6C463C" w:tentative="1">
      <w:start w:val="1"/>
      <w:numFmt w:val="bullet"/>
      <w:lvlText w:val="-"/>
      <w:lvlJc w:val="left"/>
      <w:pPr>
        <w:tabs>
          <w:tab w:val="num" w:pos="2880"/>
        </w:tabs>
        <w:ind w:left="2880" w:hanging="360"/>
      </w:pPr>
      <w:rPr>
        <w:rFonts w:ascii="Times New Roman" w:hAnsi="Times New Roman" w:hint="default"/>
      </w:rPr>
    </w:lvl>
    <w:lvl w:ilvl="4" w:tplc="02164AF6" w:tentative="1">
      <w:start w:val="1"/>
      <w:numFmt w:val="bullet"/>
      <w:lvlText w:val="-"/>
      <w:lvlJc w:val="left"/>
      <w:pPr>
        <w:tabs>
          <w:tab w:val="num" w:pos="3600"/>
        </w:tabs>
        <w:ind w:left="3600" w:hanging="360"/>
      </w:pPr>
      <w:rPr>
        <w:rFonts w:ascii="Times New Roman" w:hAnsi="Times New Roman" w:hint="default"/>
      </w:rPr>
    </w:lvl>
    <w:lvl w:ilvl="5" w:tplc="17EAF044" w:tentative="1">
      <w:start w:val="1"/>
      <w:numFmt w:val="bullet"/>
      <w:lvlText w:val="-"/>
      <w:lvlJc w:val="left"/>
      <w:pPr>
        <w:tabs>
          <w:tab w:val="num" w:pos="4320"/>
        </w:tabs>
        <w:ind w:left="4320" w:hanging="360"/>
      </w:pPr>
      <w:rPr>
        <w:rFonts w:ascii="Times New Roman" w:hAnsi="Times New Roman" w:hint="default"/>
      </w:rPr>
    </w:lvl>
    <w:lvl w:ilvl="6" w:tplc="FF3AE7B2" w:tentative="1">
      <w:start w:val="1"/>
      <w:numFmt w:val="bullet"/>
      <w:lvlText w:val="-"/>
      <w:lvlJc w:val="left"/>
      <w:pPr>
        <w:tabs>
          <w:tab w:val="num" w:pos="5040"/>
        </w:tabs>
        <w:ind w:left="5040" w:hanging="360"/>
      </w:pPr>
      <w:rPr>
        <w:rFonts w:ascii="Times New Roman" w:hAnsi="Times New Roman" w:hint="default"/>
      </w:rPr>
    </w:lvl>
    <w:lvl w:ilvl="7" w:tplc="1DCC71A6" w:tentative="1">
      <w:start w:val="1"/>
      <w:numFmt w:val="bullet"/>
      <w:lvlText w:val="-"/>
      <w:lvlJc w:val="left"/>
      <w:pPr>
        <w:tabs>
          <w:tab w:val="num" w:pos="5760"/>
        </w:tabs>
        <w:ind w:left="5760" w:hanging="360"/>
      </w:pPr>
      <w:rPr>
        <w:rFonts w:ascii="Times New Roman" w:hAnsi="Times New Roman" w:hint="default"/>
      </w:rPr>
    </w:lvl>
    <w:lvl w:ilvl="8" w:tplc="5FD004FE" w:tentative="1">
      <w:start w:val="1"/>
      <w:numFmt w:val="bullet"/>
      <w:lvlText w:val="-"/>
      <w:lvlJc w:val="left"/>
      <w:pPr>
        <w:tabs>
          <w:tab w:val="num" w:pos="6480"/>
        </w:tabs>
        <w:ind w:left="6480" w:hanging="360"/>
      </w:pPr>
      <w:rPr>
        <w:rFonts w:ascii="Times New Roman" w:hAnsi="Times New Roman" w:hint="default"/>
      </w:rPr>
    </w:lvl>
  </w:abstractNum>
  <w:abstractNum w:abstractNumId="30" w15:restartNumberingAfterBreak="0">
    <w:nsid w:val="70D27D10"/>
    <w:multiLevelType w:val="multilevel"/>
    <w:tmpl w:val="3490E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1E1000"/>
    <w:multiLevelType w:val="multilevel"/>
    <w:tmpl w:val="F0C2E3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A67604"/>
    <w:multiLevelType w:val="hybridMultilevel"/>
    <w:tmpl w:val="FC481540"/>
    <w:lvl w:ilvl="0" w:tplc="15F83EA0">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3" w15:restartNumberingAfterBreak="0">
    <w:nsid w:val="79F45CCE"/>
    <w:multiLevelType w:val="hybridMultilevel"/>
    <w:tmpl w:val="50A2DDA4"/>
    <w:lvl w:ilvl="0" w:tplc="89B21CA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7A0B3C5E"/>
    <w:multiLevelType w:val="multilevel"/>
    <w:tmpl w:val="2430C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D500C9"/>
    <w:multiLevelType w:val="hybridMultilevel"/>
    <w:tmpl w:val="A25C2B48"/>
    <w:lvl w:ilvl="0" w:tplc="EEAE1BC0">
      <w:start w:val="1"/>
      <w:numFmt w:val="bullet"/>
      <w:lvlText w:val=""/>
      <w:lvlJc w:val="left"/>
      <w:pPr>
        <w:tabs>
          <w:tab w:val="num" w:pos="720"/>
        </w:tabs>
        <w:ind w:left="720" w:hanging="360"/>
      </w:pPr>
      <w:rPr>
        <w:rFonts w:ascii="Symbol" w:hAnsi="Symbol" w:hint="default"/>
      </w:rPr>
    </w:lvl>
    <w:lvl w:ilvl="1" w:tplc="12F6EB48" w:tentative="1">
      <w:start w:val="1"/>
      <w:numFmt w:val="bullet"/>
      <w:lvlText w:val=""/>
      <w:lvlJc w:val="left"/>
      <w:pPr>
        <w:tabs>
          <w:tab w:val="num" w:pos="1440"/>
        </w:tabs>
        <w:ind w:left="1440" w:hanging="360"/>
      </w:pPr>
      <w:rPr>
        <w:rFonts w:ascii="Symbol" w:hAnsi="Symbol" w:hint="default"/>
      </w:rPr>
    </w:lvl>
    <w:lvl w:ilvl="2" w:tplc="CC9E682A" w:tentative="1">
      <w:start w:val="1"/>
      <w:numFmt w:val="bullet"/>
      <w:lvlText w:val=""/>
      <w:lvlJc w:val="left"/>
      <w:pPr>
        <w:tabs>
          <w:tab w:val="num" w:pos="2160"/>
        </w:tabs>
        <w:ind w:left="2160" w:hanging="360"/>
      </w:pPr>
      <w:rPr>
        <w:rFonts w:ascii="Symbol" w:hAnsi="Symbol" w:hint="default"/>
      </w:rPr>
    </w:lvl>
    <w:lvl w:ilvl="3" w:tplc="9814DB46" w:tentative="1">
      <w:start w:val="1"/>
      <w:numFmt w:val="bullet"/>
      <w:lvlText w:val=""/>
      <w:lvlJc w:val="left"/>
      <w:pPr>
        <w:tabs>
          <w:tab w:val="num" w:pos="2880"/>
        </w:tabs>
        <w:ind w:left="2880" w:hanging="360"/>
      </w:pPr>
      <w:rPr>
        <w:rFonts w:ascii="Symbol" w:hAnsi="Symbol" w:hint="default"/>
      </w:rPr>
    </w:lvl>
    <w:lvl w:ilvl="4" w:tplc="ACE6966E" w:tentative="1">
      <w:start w:val="1"/>
      <w:numFmt w:val="bullet"/>
      <w:lvlText w:val=""/>
      <w:lvlJc w:val="left"/>
      <w:pPr>
        <w:tabs>
          <w:tab w:val="num" w:pos="3600"/>
        </w:tabs>
        <w:ind w:left="3600" w:hanging="360"/>
      </w:pPr>
      <w:rPr>
        <w:rFonts w:ascii="Symbol" w:hAnsi="Symbol" w:hint="default"/>
      </w:rPr>
    </w:lvl>
    <w:lvl w:ilvl="5" w:tplc="7270BC2A" w:tentative="1">
      <w:start w:val="1"/>
      <w:numFmt w:val="bullet"/>
      <w:lvlText w:val=""/>
      <w:lvlJc w:val="left"/>
      <w:pPr>
        <w:tabs>
          <w:tab w:val="num" w:pos="4320"/>
        </w:tabs>
        <w:ind w:left="4320" w:hanging="360"/>
      </w:pPr>
      <w:rPr>
        <w:rFonts w:ascii="Symbol" w:hAnsi="Symbol" w:hint="default"/>
      </w:rPr>
    </w:lvl>
    <w:lvl w:ilvl="6" w:tplc="318E60B2" w:tentative="1">
      <w:start w:val="1"/>
      <w:numFmt w:val="bullet"/>
      <w:lvlText w:val=""/>
      <w:lvlJc w:val="left"/>
      <w:pPr>
        <w:tabs>
          <w:tab w:val="num" w:pos="5040"/>
        </w:tabs>
        <w:ind w:left="5040" w:hanging="360"/>
      </w:pPr>
      <w:rPr>
        <w:rFonts w:ascii="Symbol" w:hAnsi="Symbol" w:hint="default"/>
      </w:rPr>
    </w:lvl>
    <w:lvl w:ilvl="7" w:tplc="F102583A" w:tentative="1">
      <w:start w:val="1"/>
      <w:numFmt w:val="bullet"/>
      <w:lvlText w:val=""/>
      <w:lvlJc w:val="left"/>
      <w:pPr>
        <w:tabs>
          <w:tab w:val="num" w:pos="5760"/>
        </w:tabs>
        <w:ind w:left="5760" w:hanging="360"/>
      </w:pPr>
      <w:rPr>
        <w:rFonts w:ascii="Symbol" w:hAnsi="Symbol" w:hint="default"/>
      </w:rPr>
    </w:lvl>
    <w:lvl w:ilvl="8" w:tplc="2782FDDE" w:tentative="1">
      <w:start w:val="1"/>
      <w:numFmt w:val="bullet"/>
      <w:lvlText w:val=""/>
      <w:lvlJc w:val="left"/>
      <w:pPr>
        <w:tabs>
          <w:tab w:val="num" w:pos="6480"/>
        </w:tabs>
        <w:ind w:left="6480" w:hanging="360"/>
      </w:pPr>
      <w:rPr>
        <w:rFonts w:ascii="Symbol" w:hAnsi="Symbol" w:hint="default"/>
      </w:rPr>
    </w:lvl>
  </w:abstractNum>
  <w:num w:numId="1">
    <w:abstractNumId w:val="28"/>
  </w:num>
  <w:num w:numId="2">
    <w:abstractNumId w:val="9"/>
  </w:num>
  <w:num w:numId="3">
    <w:abstractNumId w:val="32"/>
  </w:num>
  <w:num w:numId="4">
    <w:abstractNumId w:val="10"/>
  </w:num>
  <w:num w:numId="5">
    <w:abstractNumId w:val="33"/>
  </w:num>
  <w:num w:numId="6">
    <w:abstractNumId w:val="27"/>
  </w:num>
  <w:num w:numId="7">
    <w:abstractNumId w:val="2"/>
  </w:num>
  <w:num w:numId="8">
    <w:abstractNumId w:val="23"/>
  </w:num>
  <w:num w:numId="9">
    <w:abstractNumId w:val="24"/>
  </w:num>
  <w:num w:numId="10">
    <w:abstractNumId w:val="30"/>
  </w:num>
  <w:num w:numId="11">
    <w:abstractNumId w:val="18"/>
  </w:num>
  <w:num w:numId="12">
    <w:abstractNumId w:val="5"/>
  </w:num>
  <w:num w:numId="13">
    <w:abstractNumId w:val="14"/>
  </w:num>
  <w:num w:numId="14">
    <w:abstractNumId w:val="17"/>
  </w:num>
  <w:num w:numId="15">
    <w:abstractNumId w:val="25"/>
  </w:num>
  <w:num w:numId="16">
    <w:abstractNumId w:val="0"/>
  </w:num>
  <w:num w:numId="17">
    <w:abstractNumId w:val="11"/>
  </w:num>
  <w:num w:numId="18">
    <w:abstractNumId w:val="35"/>
  </w:num>
  <w:num w:numId="19">
    <w:abstractNumId w:val="8"/>
  </w:num>
  <w:num w:numId="20">
    <w:abstractNumId w:val="29"/>
  </w:num>
  <w:num w:numId="21">
    <w:abstractNumId w:val="12"/>
  </w:num>
  <w:num w:numId="22">
    <w:abstractNumId w:val="21"/>
  </w:num>
  <w:num w:numId="23">
    <w:abstractNumId w:val="22"/>
  </w:num>
  <w:num w:numId="24">
    <w:abstractNumId w:val="1"/>
  </w:num>
  <w:num w:numId="25">
    <w:abstractNumId w:val="19"/>
  </w:num>
  <w:num w:numId="26">
    <w:abstractNumId w:val="26"/>
  </w:num>
  <w:num w:numId="27">
    <w:abstractNumId w:val="13"/>
  </w:num>
  <w:num w:numId="28">
    <w:abstractNumId w:val="34"/>
  </w:num>
  <w:num w:numId="29">
    <w:abstractNumId w:val="3"/>
  </w:num>
  <w:num w:numId="30">
    <w:abstractNumId w:val="4"/>
  </w:num>
  <w:num w:numId="31">
    <w:abstractNumId w:val="16"/>
  </w:num>
  <w:num w:numId="32">
    <w:abstractNumId w:val="15"/>
  </w:num>
  <w:num w:numId="33">
    <w:abstractNumId w:val="20"/>
  </w:num>
  <w:num w:numId="34">
    <w:abstractNumId w:val="31"/>
  </w:num>
  <w:num w:numId="35">
    <w:abstractNumId w:val="7"/>
  </w:num>
  <w:num w:numId="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529"/>
    <w:rsid w:val="000007E2"/>
    <w:rsid w:val="00012699"/>
    <w:rsid w:val="00023DD7"/>
    <w:rsid w:val="00035529"/>
    <w:rsid w:val="000430C0"/>
    <w:rsid w:val="0004655F"/>
    <w:rsid w:val="0006090B"/>
    <w:rsid w:val="00064B7A"/>
    <w:rsid w:val="00072E8A"/>
    <w:rsid w:val="0007398E"/>
    <w:rsid w:val="00074997"/>
    <w:rsid w:val="0008232F"/>
    <w:rsid w:val="000874C1"/>
    <w:rsid w:val="00087EB0"/>
    <w:rsid w:val="000B5E17"/>
    <w:rsid w:val="000F0863"/>
    <w:rsid w:val="001068D8"/>
    <w:rsid w:val="00111D74"/>
    <w:rsid w:val="001248A0"/>
    <w:rsid w:val="0012685E"/>
    <w:rsid w:val="00143DF6"/>
    <w:rsid w:val="001510E2"/>
    <w:rsid w:val="001519DE"/>
    <w:rsid w:val="001540BE"/>
    <w:rsid w:val="00174166"/>
    <w:rsid w:val="001A6DCF"/>
    <w:rsid w:val="001B1CB5"/>
    <w:rsid w:val="001B1F3B"/>
    <w:rsid w:val="001B2905"/>
    <w:rsid w:val="001B6828"/>
    <w:rsid w:val="001C3E95"/>
    <w:rsid w:val="001D2556"/>
    <w:rsid w:val="001F0C1C"/>
    <w:rsid w:val="001F2F7D"/>
    <w:rsid w:val="001F3EC9"/>
    <w:rsid w:val="00213760"/>
    <w:rsid w:val="002255F8"/>
    <w:rsid w:val="002353EF"/>
    <w:rsid w:val="0025630F"/>
    <w:rsid w:val="002614DF"/>
    <w:rsid w:val="00262C99"/>
    <w:rsid w:val="002633AB"/>
    <w:rsid w:val="00272978"/>
    <w:rsid w:val="00281BEC"/>
    <w:rsid w:val="00291423"/>
    <w:rsid w:val="002A693D"/>
    <w:rsid w:val="002B13F0"/>
    <w:rsid w:val="002D79F6"/>
    <w:rsid w:val="002E1DFA"/>
    <w:rsid w:val="00305430"/>
    <w:rsid w:val="003153F6"/>
    <w:rsid w:val="0031704C"/>
    <w:rsid w:val="00323DBA"/>
    <w:rsid w:val="00324E09"/>
    <w:rsid w:val="00351581"/>
    <w:rsid w:val="00381027"/>
    <w:rsid w:val="003831CA"/>
    <w:rsid w:val="00385BAA"/>
    <w:rsid w:val="0039430D"/>
    <w:rsid w:val="003A6FF5"/>
    <w:rsid w:val="003B7D56"/>
    <w:rsid w:val="003D131E"/>
    <w:rsid w:val="003D15C5"/>
    <w:rsid w:val="003D2E9E"/>
    <w:rsid w:val="003D43F0"/>
    <w:rsid w:val="003D672A"/>
    <w:rsid w:val="003F27B6"/>
    <w:rsid w:val="003F3438"/>
    <w:rsid w:val="003F5224"/>
    <w:rsid w:val="004015E4"/>
    <w:rsid w:val="00423F17"/>
    <w:rsid w:val="00433F05"/>
    <w:rsid w:val="00446C74"/>
    <w:rsid w:val="00475BCC"/>
    <w:rsid w:val="00475D0D"/>
    <w:rsid w:val="00476CE9"/>
    <w:rsid w:val="00476E0A"/>
    <w:rsid w:val="00486BA2"/>
    <w:rsid w:val="0049781C"/>
    <w:rsid w:val="004A01FF"/>
    <w:rsid w:val="004C0857"/>
    <w:rsid w:val="004D6296"/>
    <w:rsid w:val="004E39FF"/>
    <w:rsid w:val="004E5856"/>
    <w:rsid w:val="004E7231"/>
    <w:rsid w:val="00516C80"/>
    <w:rsid w:val="00522E42"/>
    <w:rsid w:val="005424B4"/>
    <w:rsid w:val="00546F90"/>
    <w:rsid w:val="00563789"/>
    <w:rsid w:val="005931C7"/>
    <w:rsid w:val="005B416D"/>
    <w:rsid w:val="005C6D0E"/>
    <w:rsid w:val="005D52E2"/>
    <w:rsid w:val="005D7549"/>
    <w:rsid w:val="00600485"/>
    <w:rsid w:val="00606B5D"/>
    <w:rsid w:val="006132F1"/>
    <w:rsid w:val="006135D6"/>
    <w:rsid w:val="00620574"/>
    <w:rsid w:val="00632444"/>
    <w:rsid w:val="00633603"/>
    <w:rsid w:val="00633E36"/>
    <w:rsid w:val="0065777E"/>
    <w:rsid w:val="00671B7B"/>
    <w:rsid w:val="006956B8"/>
    <w:rsid w:val="006A728A"/>
    <w:rsid w:val="006C3F52"/>
    <w:rsid w:val="006D5B09"/>
    <w:rsid w:val="0070535E"/>
    <w:rsid w:val="007163CB"/>
    <w:rsid w:val="007166DE"/>
    <w:rsid w:val="007340CF"/>
    <w:rsid w:val="007678BF"/>
    <w:rsid w:val="00791A4A"/>
    <w:rsid w:val="00795EA7"/>
    <w:rsid w:val="007E03EF"/>
    <w:rsid w:val="008123E2"/>
    <w:rsid w:val="00821A28"/>
    <w:rsid w:val="00822853"/>
    <w:rsid w:val="008317D9"/>
    <w:rsid w:val="00842190"/>
    <w:rsid w:val="00850DCC"/>
    <w:rsid w:val="0085694A"/>
    <w:rsid w:val="00865061"/>
    <w:rsid w:val="00870942"/>
    <w:rsid w:val="008808B2"/>
    <w:rsid w:val="008878FD"/>
    <w:rsid w:val="00890C6F"/>
    <w:rsid w:val="008A1BB6"/>
    <w:rsid w:val="008C5AD4"/>
    <w:rsid w:val="008C7FFA"/>
    <w:rsid w:val="008E1255"/>
    <w:rsid w:val="008E7A3E"/>
    <w:rsid w:val="008F69FE"/>
    <w:rsid w:val="00920BA1"/>
    <w:rsid w:val="00930167"/>
    <w:rsid w:val="00935906"/>
    <w:rsid w:val="00951847"/>
    <w:rsid w:val="00955236"/>
    <w:rsid w:val="00955CBA"/>
    <w:rsid w:val="009649B9"/>
    <w:rsid w:val="009656FE"/>
    <w:rsid w:val="009716D9"/>
    <w:rsid w:val="00976697"/>
    <w:rsid w:val="009A0649"/>
    <w:rsid w:val="009B4810"/>
    <w:rsid w:val="009D11FC"/>
    <w:rsid w:val="00A1515C"/>
    <w:rsid w:val="00A20C9C"/>
    <w:rsid w:val="00A26290"/>
    <w:rsid w:val="00A30C21"/>
    <w:rsid w:val="00A361F0"/>
    <w:rsid w:val="00A44EE9"/>
    <w:rsid w:val="00A8002A"/>
    <w:rsid w:val="00A8462A"/>
    <w:rsid w:val="00AB35C0"/>
    <w:rsid w:val="00AE1A28"/>
    <w:rsid w:val="00B01FF4"/>
    <w:rsid w:val="00B058A1"/>
    <w:rsid w:val="00B11A27"/>
    <w:rsid w:val="00B13B38"/>
    <w:rsid w:val="00B2160C"/>
    <w:rsid w:val="00B30739"/>
    <w:rsid w:val="00B31D31"/>
    <w:rsid w:val="00B55715"/>
    <w:rsid w:val="00B679F1"/>
    <w:rsid w:val="00B82A53"/>
    <w:rsid w:val="00B83D1B"/>
    <w:rsid w:val="00B942D4"/>
    <w:rsid w:val="00BA0B5D"/>
    <w:rsid w:val="00BA5BA2"/>
    <w:rsid w:val="00BD0959"/>
    <w:rsid w:val="00BE72A9"/>
    <w:rsid w:val="00BF0D08"/>
    <w:rsid w:val="00BF6FA5"/>
    <w:rsid w:val="00C039F6"/>
    <w:rsid w:val="00C3643A"/>
    <w:rsid w:val="00C51A18"/>
    <w:rsid w:val="00C51D82"/>
    <w:rsid w:val="00C5236E"/>
    <w:rsid w:val="00C52CDD"/>
    <w:rsid w:val="00C77431"/>
    <w:rsid w:val="00CC56FD"/>
    <w:rsid w:val="00CE3154"/>
    <w:rsid w:val="00CF070F"/>
    <w:rsid w:val="00D101B6"/>
    <w:rsid w:val="00D1299A"/>
    <w:rsid w:val="00D133DB"/>
    <w:rsid w:val="00D23F5F"/>
    <w:rsid w:val="00D27A25"/>
    <w:rsid w:val="00D36D3F"/>
    <w:rsid w:val="00D43E54"/>
    <w:rsid w:val="00D56B14"/>
    <w:rsid w:val="00DB04D4"/>
    <w:rsid w:val="00DB4196"/>
    <w:rsid w:val="00DB5721"/>
    <w:rsid w:val="00DC0F0F"/>
    <w:rsid w:val="00DC20E9"/>
    <w:rsid w:val="00DC4CC9"/>
    <w:rsid w:val="00DC5F27"/>
    <w:rsid w:val="00DE1D8C"/>
    <w:rsid w:val="00DE67CB"/>
    <w:rsid w:val="00DF529E"/>
    <w:rsid w:val="00E0092C"/>
    <w:rsid w:val="00E01FB7"/>
    <w:rsid w:val="00E02811"/>
    <w:rsid w:val="00E049E7"/>
    <w:rsid w:val="00E119D1"/>
    <w:rsid w:val="00E14D6A"/>
    <w:rsid w:val="00E1505F"/>
    <w:rsid w:val="00E15368"/>
    <w:rsid w:val="00E1546D"/>
    <w:rsid w:val="00E405A3"/>
    <w:rsid w:val="00E50216"/>
    <w:rsid w:val="00E54EC5"/>
    <w:rsid w:val="00E677C4"/>
    <w:rsid w:val="00E86085"/>
    <w:rsid w:val="00E86333"/>
    <w:rsid w:val="00E91F7A"/>
    <w:rsid w:val="00E96D19"/>
    <w:rsid w:val="00EA08EF"/>
    <w:rsid w:val="00EB5D52"/>
    <w:rsid w:val="00EC0474"/>
    <w:rsid w:val="00EE2803"/>
    <w:rsid w:val="00F01CC2"/>
    <w:rsid w:val="00F04D4B"/>
    <w:rsid w:val="00F1029B"/>
    <w:rsid w:val="00F43E33"/>
    <w:rsid w:val="00F55B0A"/>
    <w:rsid w:val="00F93EC1"/>
    <w:rsid w:val="00F94078"/>
    <w:rsid w:val="00FA04A9"/>
    <w:rsid w:val="00FB269C"/>
    <w:rsid w:val="00FB6DF9"/>
    <w:rsid w:val="00FC3322"/>
    <w:rsid w:val="00FE131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BB973"/>
  <w15:chartTrackingRefBased/>
  <w15:docId w15:val="{4CCB55AA-E9CE-4D39-9ADD-892CE91D6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BAA"/>
    <w:pPr>
      <w:jc w:val="both"/>
    </w:pPr>
  </w:style>
  <w:style w:type="paragraph" w:styleId="Titre1">
    <w:name w:val="heading 1"/>
    <w:aliases w:val="TTitre mineur"/>
    <w:basedOn w:val="Normal"/>
    <w:next w:val="Normal"/>
    <w:link w:val="Titre1Car"/>
    <w:autoRedefine/>
    <w:uiPriority w:val="9"/>
    <w:qFormat/>
    <w:rsid w:val="00E0092C"/>
    <w:pPr>
      <w:keepNext/>
      <w:keepLines/>
      <w:numPr>
        <w:numId w:val="4"/>
      </w:numPr>
      <w:spacing w:before="360" w:after="240"/>
      <w:ind w:left="720"/>
      <w:jc w:val="left"/>
      <w:outlineLvl w:val="0"/>
    </w:pPr>
    <w:rPr>
      <w:rFonts w:eastAsiaTheme="majorEastAsia" w:cstheme="majorBidi"/>
      <w:color w:val="4472C4" w:themeColor="accent1"/>
      <w:sz w:val="24"/>
      <w:szCs w:val="32"/>
      <w:u w:val="single"/>
    </w:rPr>
  </w:style>
  <w:style w:type="paragraph" w:styleId="Titre2">
    <w:name w:val="heading 2"/>
    <w:basedOn w:val="Normal"/>
    <w:next w:val="Normal"/>
    <w:link w:val="Titre2Car"/>
    <w:uiPriority w:val="9"/>
    <w:semiHidden/>
    <w:unhideWhenUsed/>
    <w:qFormat/>
    <w:rsid w:val="00E009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aliases w:val="Titre majeur"/>
    <w:autoRedefine/>
    <w:uiPriority w:val="1"/>
    <w:qFormat/>
    <w:rsid w:val="00A20C9C"/>
    <w:pPr>
      <w:spacing w:after="0" w:line="240" w:lineRule="auto"/>
      <w:jc w:val="center"/>
    </w:pPr>
    <w:rPr>
      <w:b/>
      <w:color w:val="4472C4" w:themeColor="accent1"/>
      <w:sz w:val="32"/>
      <w:u w:val="single"/>
    </w:rPr>
  </w:style>
  <w:style w:type="character" w:customStyle="1" w:styleId="Titre1Car">
    <w:name w:val="Titre 1 Car"/>
    <w:aliases w:val="TTitre mineur Car"/>
    <w:basedOn w:val="Policepardfaut"/>
    <w:link w:val="Titre1"/>
    <w:uiPriority w:val="9"/>
    <w:rsid w:val="00E0092C"/>
    <w:rPr>
      <w:rFonts w:eastAsiaTheme="majorEastAsia" w:cstheme="majorBidi"/>
      <w:color w:val="4472C4" w:themeColor="accent1"/>
      <w:sz w:val="24"/>
      <w:szCs w:val="32"/>
      <w:u w:val="single"/>
    </w:rPr>
  </w:style>
  <w:style w:type="paragraph" w:styleId="NormalWeb">
    <w:name w:val="Normal (Web)"/>
    <w:basedOn w:val="Normal"/>
    <w:uiPriority w:val="99"/>
    <w:semiHidden/>
    <w:unhideWhenUsed/>
    <w:rsid w:val="00035529"/>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E0092C"/>
    <w:pPr>
      <w:ind w:left="720"/>
      <w:contextualSpacing/>
    </w:pPr>
  </w:style>
  <w:style w:type="character" w:customStyle="1" w:styleId="Titre2Car">
    <w:name w:val="Titre 2 Car"/>
    <w:basedOn w:val="Policepardfaut"/>
    <w:link w:val="Titre2"/>
    <w:uiPriority w:val="9"/>
    <w:semiHidden/>
    <w:rsid w:val="00E0092C"/>
    <w:rPr>
      <w:rFonts w:asciiTheme="majorHAnsi" w:eastAsiaTheme="majorEastAsia" w:hAnsiTheme="majorHAnsi" w:cstheme="majorBidi"/>
      <w:color w:val="2F5496" w:themeColor="accent1" w:themeShade="BF"/>
      <w:sz w:val="26"/>
      <w:szCs w:val="26"/>
    </w:rPr>
  </w:style>
  <w:style w:type="character" w:styleId="lev">
    <w:name w:val="Strong"/>
    <w:basedOn w:val="Policepardfaut"/>
    <w:uiPriority w:val="22"/>
    <w:qFormat/>
    <w:rsid w:val="00E0092C"/>
    <w:rPr>
      <w:b/>
      <w:bCs/>
    </w:rPr>
  </w:style>
  <w:style w:type="character" w:styleId="Lienhypertexte">
    <w:name w:val="Hyperlink"/>
    <w:basedOn w:val="Policepardfaut"/>
    <w:uiPriority w:val="99"/>
    <w:unhideWhenUsed/>
    <w:rsid w:val="00E0092C"/>
    <w:rPr>
      <w:color w:val="0000FF"/>
      <w:u w:val="single"/>
    </w:rPr>
  </w:style>
  <w:style w:type="character" w:styleId="Mentionnonrsolue">
    <w:name w:val="Unresolved Mention"/>
    <w:basedOn w:val="Policepardfaut"/>
    <w:uiPriority w:val="99"/>
    <w:semiHidden/>
    <w:unhideWhenUsed/>
    <w:rsid w:val="000430C0"/>
    <w:rPr>
      <w:color w:val="605E5C"/>
      <w:shd w:val="clear" w:color="auto" w:fill="E1DFDD"/>
    </w:rPr>
  </w:style>
  <w:style w:type="paragraph" w:styleId="En-tte">
    <w:name w:val="header"/>
    <w:basedOn w:val="Normal"/>
    <w:link w:val="En-tteCar"/>
    <w:uiPriority w:val="99"/>
    <w:unhideWhenUsed/>
    <w:rsid w:val="00632444"/>
    <w:pPr>
      <w:tabs>
        <w:tab w:val="center" w:pos="4536"/>
        <w:tab w:val="right" w:pos="9072"/>
      </w:tabs>
      <w:spacing w:after="0" w:line="240" w:lineRule="auto"/>
    </w:pPr>
  </w:style>
  <w:style w:type="character" w:customStyle="1" w:styleId="En-tteCar">
    <w:name w:val="En-tête Car"/>
    <w:basedOn w:val="Policepardfaut"/>
    <w:link w:val="En-tte"/>
    <w:uiPriority w:val="99"/>
    <w:rsid w:val="00632444"/>
  </w:style>
  <w:style w:type="paragraph" w:styleId="Pieddepage">
    <w:name w:val="footer"/>
    <w:basedOn w:val="Normal"/>
    <w:link w:val="PieddepageCar"/>
    <w:uiPriority w:val="99"/>
    <w:unhideWhenUsed/>
    <w:rsid w:val="0063244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32444"/>
  </w:style>
  <w:style w:type="character" w:styleId="Lienhypertextesuivivisit">
    <w:name w:val="FollowedHyperlink"/>
    <w:basedOn w:val="Policepardfaut"/>
    <w:uiPriority w:val="99"/>
    <w:semiHidden/>
    <w:unhideWhenUsed/>
    <w:rsid w:val="008317D9"/>
    <w:rPr>
      <w:color w:val="954F72" w:themeColor="followedHyperlink"/>
      <w:u w:val="single"/>
    </w:rPr>
  </w:style>
  <w:style w:type="character" w:customStyle="1" w:styleId="custom-tw">
    <w:name w:val="custom-tw"/>
    <w:basedOn w:val="Policepardfaut"/>
    <w:rsid w:val="001B6828"/>
  </w:style>
  <w:style w:type="character" w:styleId="Accentuation">
    <w:name w:val="Emphasis"/>
    <w:basedOn w:val="Policepardfaut"/>
    <w:uiPriority w:val="20"/>
    <w:qFormat/>
    <w:rsid w:val="001B682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02617">
      <w:bodyDiv w:val="1"/>
      <w:marLeft w:val="0"/>
      <w:marRight w:val="0"/>
      <w:marTop w:val="0"/>
      <w:marBottom w:val="0"/>
      <w:divBdr>
        <w:top w:val="none" w:sz="0" w:space="0" w:color="auto"/>
        <w:left w:val="none" w:sz="0" w:space="0" w:color="auto"/>
        <w:bottom w:val="none" w:sz="0" w:space="0" w:color="auto"/>
        <w:right w:val="none" w:sz="0" w:space="0" w:color="auto"/>
      </w:divBdr>
    </w:div>
    <w:div w:id="40523134">
      <w:bodyDiv w:val="1"/>
      <w:marLeft w:val="0"/>
      <w:marRight w:val="0"/>
      <w:marTop w:val="0"/>
      <w:marBottom w:val="0"/>
      <w:divBdr>
        <w:top w:val="none" w:sz="0" w:space="0" w:color="auto"/>
        <w:left w:val="none" w:sz="0" w:space="0" w:color="auto"/>
        <w:bottom w:val="none" w:sz="0" w:space="0" w:color="auto"/>
        <w:right w:val="none" w:sz="0" w:space="0" w:color="auto"/>
      </w:divBdr>
    </w:div>
    <w:div w:id="41828139">
      <w:bodyDiv w:val="1"/>
      <w:marLeft w:val="0"/>
      <w:marRight w:val="0"/>
      <w:marTop w:val="0"/>
      <w:marBottom w:val="0"/>
      <w:divBdr>
        <w:top w:val="none" w:sz="0" w:space="0" w:color="auto"/>
        <w:left w:val="none" w:sz="0" w:space="0" w:color="auto"/>
        <w:bottom w:val="none" w:sz="0" w:space="0" w:color="auto"/>
        <w:right w:val="none" w:sz="0" w:space="0" w:color="auto"/>
      </w:divBdr>
    </w:div>
    <w:div w:id="44524089">
      <w:bodyDiv w:val="1"/>
      <w:marLeft w:val="0"/>
      <w:marRight w:val="0"/>
      <w:marTop w:val="0"/>
      <w:marBottom w:val="0"/>
      <w:divBdr>
        <w:top w:val="none" w:sz="0" w:space="0" w:color="auto"/>
        <w:left w:val="none" w:sz="0" w:space="0" w:color="auto"/>
        <w:bottom w:val="none" w:sz="0" w:space="0" w:color="auto"/>
        <w:right w:val="none" w:sz="0" w:space="0" w:color="auto"/>
      </w:divBdr>
    </w:div>
    <w:div w:id="108284617">
      <w:bodyDiv w:val="1"/>
      <w:marLeft w:val="0"/>
      <w:marRight w:val="0"/>
      <w:marTop w:val="0"/>
      <w:marBottom w:val="0"/>
      <w:divBdr>
        <w:top w:val="none" w:sz="0" w:space="0" w:color="auto"/>
        <w:left w:val="none" w:sz="0" w:space="0" w:color="auto"/>
        <w:bottom w:val="none" w:sz="0" w:space="0" w:color="auto"/>
        <w:right w:val="none" w:sz="0" w:space="0" w:color="auto"/>
      </w:divBdr>
    </w:div>
    <w:div w:id="125781255">
      <w:bodyDiv w:val="1"/>
      <w:marLeft w:val="0"/>
      <w:marRight w:val="0"/>
      <w:marTop w:val="0"/>
      <w:marBottom w:val="0"/>
      <w:divBdr>
        <w:top w:val="none" w:sz="0" w:space="0" w:color="auto"/>
        <w:left w:val="none" w:sz="0" w:space="0" w:color="auto"/>
        <w:bottom w:val="none" w:sz="0" w:space="0" w:color="auto"/>
        <w:right w:val="none" w:sz="0" w:space="0" w:color="auto"/>
      </w:divBdr>
    </w:div>
    <w:div w:id="210961038">
      <w:bodyDiv w:val="1"/>
      <w:marLeft w:val="0"/>
      <w:marRight w:val="0"/>
      <w:marTop w:val="0"/>
      <w:marBottom w:val="0"/>
      <w:divBdr>
        <w:top w:val="none" w:sz="0" w:space="0" w:color="auto"/>
        <w:left w:val="none" w:sz="0" w:space="0" w:color="auto"/>
        <w:bottom w:val="none" w:sz="0" w:space="0" w:color="auto"/>
        <w:right w:val="none" w:sz="0" w:space="0" w:color="auto"/>
      </w:divBdr>
    </w:div>
    <w:div w:id="234050663">
      <w:bodyDiv w:val="1"/>
      <w:marLeft w:val="0"/>
      <w:marRight w:val="0"/>
      <w:marTop w:val="0"/>
      <w:marBottom w:val="0"/>
      <w:divBdr>
        <w:top w:val="none" w:sz="0" w:space="0" w:color="auto"/>
        <w:left w:val="none" w:sz="0" w:space="0" w:color="auto"/>
        <w:bottom w:val="none" w:sz="0" w:space="0" w:color="auto"/>
        <w:right w:val="none" w:sz="0" w:space="0" w:color="auto"/>
      </w:divBdr>
    </w:div>
    <w:div w:id="280193342">
      <w:bodyDiv w:val="1"/>
      <w:marLeft w:val="0"/>
      <w:marRight w:val="0"/>
      <w:marTop w:val="0"/>
      <w:marBottom w:val="0"/>
      <w:divBdr>
        <w:top w:val="none" w:sz="0" w:space="0" w:color="auto"/>
        <w:left w:val="none" w:sz="0" w:space="0" w:color="auto"/>
        <w:bottom w:val="none" w:sz="0" w:space="0" w:color="auto"/>
        <w:right w:val="none" w:sz="0" w:space="0" w:color="auto"/>
      </w:divBdr>
    </w:div>
    <w:div w:id="296229866">
      <w:bodyDiv w:val="1"/>
      <w:marLeft w:val="0"/>
      <w:marRight w:val="0"/>
      <w:marTop w:val="0"/>
      <w:marBottom w:val="0"/>
      <w:divBdr>
        <w:top w:val="none" w:sz="0" w:space="0" w:color="auto"/>
        <w:left w:val="none" w:sz="0" w:space="0" w:color="auto"/>
        <w:bottom w:val="none" w:sz="0" w:space="0" w:color="auto"/>
        <w:right w:val="none" w:sz="0" w:space="0" w:color="auto"/>
      </w:divBdr>
      <w:divsChild>
        <w:div w:id="1135293941">
          <w:marLeft w:val="547"/>
          <w:marRight w:val="0"/>
          <w:marTop w:val="0"/>
          <w:marBottom w:val="160"/>
          <w:divBdr>
            <w:top w:val="none" w:sz="0" w:space="0" w:color="auto"/>
            <w:left w:val="none" w:sz="0" w:space="0" w:color="auto"/>
            <w:bottom w:val="none" w:sz="0" w:space="0" w:color="auto"/>
            <w:right w:val="none" w:sz="0" w:space="0" w:color="auto"/>
          </w:divBdr>
        </w:div>
        <w:div w:id="1729912192">
          <w:marLeft w:val="547"/>
          <w:marRight w:val="0"/>
          <w:marTop w:val="0"/>
          <w:marBottom w:val="160"/>
          <w:divBdr>
            <w:top w:val="none" w:sz="0" w:space="0" w:color="auto"/>
            <w:left w:val="none" w:sz="0" w:space="0" w:color="auto"/>
            <w:bottom w:val="none" w:sz="0" w:space="0" w:color="auto"/>
            <w:right w:val="none" w:sz="0" w:space="0" w:color="auto"/>
          </w:divBdr>
        </w:div>
        <w:div w:id="2042002944">
          <w:marLeft w:val="547"/>
          <w:marRight w:val="0"/>
          <w:marTop w:val="0"/>
          <w:marBottom w:val="160"/>
          <w:divBdr>
            <w:top w:val="none" w:sz="0" w:space="0" w:color="auto"/>
            <w:left w:val="none" w:sz="0" w:space="0" w:color="auto"/>
            <w:bottom w:val="none" w:sz="0" w:space="0" w:color="auto"/>
            <w:right w:val="none" w:sz="0" w:space="0" w:color="auto"/>
          </w:divBdr>
        </w:div>
        <w:div w:id="281151319">
          <w:marLeft w:val="547"/>
          <w:marRight w:val="0"/>
          <w:marTop w:val="0"/>
          <w:marBottom w:val="160"/>
          <w:divBdr>
            <w:top w:val="none" w:sz="0" w:space="0" w:color="auto"/>
            <w:left w:val="none" w:sz="0" w:space="0" w:color="auto"/>
            <w:bottom w:val="none" w:sz="0" w:space="0" w:color="auto"/>
            <w:right w:val="none" w:sz="0" w:space="0" w:color="auto"/>
          </w:divBdr>
        </w:div>
      </w:divsChild>
    </w:div>
    <w:div w:id="326518671">
      <w:bodyDiv w:val="1"/>
      <w:marLeft w:val="0"/>
      <w:marRight w:val="0"/>
      <w:marTop w:val="0"/>
      <w:marBottom w:val="0"/>
      <w:divBdr>
        <w:top w:val="none" w:sz="0" w:space="0" w:color="auto"/>
        <w:left w:val="none" w:sz="0" w:space="0" w:color="auto"/>
        <w:bottom w:val="none" w:sz="0" w:space="0" w:color="auto"/>
        <w:right w:val="none" w:sz="0" w:space="0" w:color="auto"/>
      </w:divBdr>
    </w:div>
    <w:div w:id="375937057">
      <w:bodyDiv w:val="1"/>
      <w:marLeft w:val="0"/>
      <w:marRight w:val="0"/>
      <w:marTop w:val="0"/>
      <w:marBottom w:val="0"/>
      <w:divBdr>
        <w:top w:val="none" w:sz="0" w:space="0" w:color="auto"/>
        <w:left w:val="none" w:sz="0" w:space="0" w:color="auto"/>
        <w:bottom w:val="none" w:sz="0" w:space="0" w:color="auto"/>
        <w:right w:val="none" w:sz="0" w:space="0" w:color="auto"/>
      </w:divBdr>
    </w:div>
    <w:div w:id="506482336">
      <w:bodyDiv w:val="1"/>
      <w:marLeft w:val="0"/>
      <w:marRight w:val="0"/>
      <w:marTop w:val="0"/>
      <w:marBottom w:val="0"/>
      <w:divBdr>
        <w:top w:val="none" w:sz="0" w:space="0" w:color="auto"/>
        <w:left w:val="none" w:sz="0" w:space="0" w:color="auto"/>
        <w:bottom w:val="none" w:sz="0" w:space="0" w:color="auto"/>
        <w:right w:val="none" w:sz="0" w:space="0" w:color="auto"/>
      </w:divBdr>
    </w:div>
    <w:div w:id="509754818">
      <w:bodyDiv w:val="1"/>
      <w:marLeft w:val="0"/>
      <w:marRight w:val="0"/>
      <w:marTop w:val="0"/>
      <w:marBottom w:val="0"/>
      <w:divBdr>
        <w:top w:val="none" w:sz="0" w:space="0" w:color="auto"/>
        <w:left w:val="none" w:sz="0" w:space="0" w:color="auto"/>
        <w:bottom w:val="none" w:sz="0" w:space="0" w:color="auto"/>
        <w:right w:val="none" w:sz="0" w:space="0" w:color="auto"/>
      </w:divBdr>
    </w:div>
    <w:div w:id="514153397">
      <w:bodyDiv w:val="1"/>
      <w:marLeft w:val="0"/>
      <w:marRight w:val="0"/>
      <w:marTop w:val="0"/>
      <w:marBottom w:val="0"/>
      <w:divBdr>
        <w:top w:val="none" w:sz="0" w:space="0" w:color="auto"/>
        <w:left w:val="none" w:sz="0" w:space="0" w:color="auto"/>
        <w:bottom w:val="none" w:sz="0" w:space="0" w:color="auto"/>
        <w:right w:val="none" w:sz="0" w:space="0" w:color="auto"/>
      </w:divBdr>
      <w:divsChild>
        <w:div w:id="434715872">
          <w:marLeft w:val="0"/>
          <w:marRight w:val="0"/>
          <w:marTop w:val="450"/>
          <w:marBottom w:val="450"/>
          <w:divBdr>
            <w:top w:val="none" w:sz="0" w:space="0" w:color="auto"/>
            <w:left w:val="none" w:sz="0" w:space="0" w:color="auto"/>
            <w:bottom w:val="none" w:sz="0" w:space="0" w:color="auto"/>
            <w:right w:val="none" w:sz="0" w:space="0" w:color="auto"/>
          </w:divBdr>
        </w:div>
        <w:div w:id="45378082">
          <w:marLeft w:val="0"/>
          <w:marRight w:val="0"/>
          <w:marTop w:val="0"/>
          <w:marBottom w:val="0"/>
          <w:divBdr>
            <w:top w:val="none" w:sz="0" w:space="0" w:color="auto"/>
            <w:left w:val="none" w:sz="0" w:space="0" w:color="auto"/>
            <w:bottom w:val="none" w:sz="0" w:space="0" w:color="auto"/>
            <w:right w:val="none" w:sz="0" w:space="0" w:color="auto"/>
          </w:divBdr>
          <w:divsChild>
            <w:div w:id="1598906144">
              <w:marLeft w:val="0"/>
              <w:marRight w:val="0"/>
              <w:marTop w:val="0"/>
              <w:marBottom w:val="0"/>
              <w:divBdr>
                <w:top w:val="none" w:sz="0" w:space="0" w:color="auto"/>
                <w:left w:val="none" w:sz="0" w:space="0" w:color="auto"/>
                <w:bottom w:val="none" w:sz="0" w:space="0" w:color="auto"/>
                <w:right w:val="none" w:sz="0" w:space="0" w:color="auto"/>
              </w:divBdr>
              <w:divsChild>
                <w:div w:id="90599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8485">
          <w:marLeft w:val="0"/>
          <w:marRight w:val="0"/>
          <w:marTop w:val="375"/>
          <w:marBottom w:val="0"/>
          <w:divBdr>
            <w:top w:val="none" w:sz="0" w:space="0" w:color="auto"/>
            <w:left w:val="none" w:sz="0" w:space="0" w:color="auto"/>
            <w:bottom w:val="none" w:sz="0" w:space="0" w:color="auto"/>
            <w:right w:val="none" w:sz="0" w:space="0" w:color="auto"/>
          </w:divBdr>
          <w:divsChild>
            <w:div w:id="100212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499821">
      <w:bodyDiv w:val="1"/>
      <w:marLeft w:val="0"/>
      <w:marRight w:val="0"/>
      <w:marTop w:val="0"/>
      <w:marBottom w:val="0"/>
      <w:divBdr>
        <w:top w:val="none" w:sz="0" w:space="0" w:color="auto"/>
        <w:left w:val="none" w:sz="0" w:space="0" w:color="auto"/>
        <w:bottom w:val="none" w:sz="0" w:space="0" w:color="auto"/>
        <w:right w:val="none" w:sz="0" w:space="0" w:color="auto"/>
      </w:divBdr>
      <w:divsChild>
        <w:div w:id="1987852727">
          <w:marLeft w:val="547"/>
          <w:marRight w:val="0"/>
          <w:marTop w:val="0"/>
          <w:marBottom w:val="160"/>
          <w:divBdr>
            <w:top w:val="none" w:sz="0" w:space="0" w:color="auto"/>
            <w:left w:val="none" w:sz="0" w:space="0" w:color="auto"/>
            <w:bottom w:val="none" w:sz="0" w:space="0" w:color="auto"/>
            <w:right w:val="none" w:sz="0" w:space="0" w:color="auto"/>
          </w:divBdr>
        </w:div>
      </w:divsChild>
    </w:div>
    <w:div w:id="1041783500">
      <w:bodyDiv w:val="1"/>
      <w:marLeft w:val="0"/>
      <w:marRight w:val="0"/>
      <w:marTop w:val="0"/>
      <w:marBottom w:val="0"/>
      <w:divBdr>
        <w:top w:val="none" w:sz="0" w:space="0" w:color="auto"/>
        <w:left w:val="none" w:sz="0" w:space="0" w:color="auto"/>
        <w:bottom w:val="none" w:sz="0" w:space="0" w:color="auto"/>
        <w:right w:val="none" w:sz="0" w:space="0" w:color="auto"/>
      </w:divBdr>
      <w:divsChild>
        <w:div w:id="743651821">
          <w:marLeft w:val="360"/>
          <w:marRight w:val="0"/>
          <w:marTop w:val="200"/>
          <w:marBottom w:val="160"/>
          <w:divBdr>
            <w:top w:val="none" w:sz="0" w:space="0" w:color="auto"/>
            <w:left w:val="none" w:sz="0" w:space="0" w:color="auto"/>
            <w:bottom w:val="none" w:sz="0" w:space="0" w:color="auto"/>
            <w:right w:val="none" w:sz="0" w:space="0" w:color="auto"/>
          </w:divBdr>
        </w:div>
        <w:div w:id="668800100">
          <w:marLeft w:val="360"/>
          <w:marRight w:val="0"/>
          <w:marTop w:val="200"/>
          <w:marBottom w:val="160"/>
          <w:divBdr>
            <w:top w:val="none" w:sz="0" w:space="0" w:color="auto"/>
            <w:left w:val="none" w:sz="0" w:space="0" w:color="auto"/>
            <w:bottom w:val="none" w:sz="0" w:space="0" w:color="auto"/>
            <w:right w:val="none" w:sz="0" w:space="0" w:color="auto"/>
          </w:divBdr>
        </w:div>
      </w:divsChild>
    </w:div>
    <w:div w:id="1319768772">
      <w:bodyDiv w:val="1"/>
      <w:marLeft w:val="0"/>
      <w:marRight w:val="0"/>
      <w:marTop w:val="0"/>
      <w:marBottom w:val="0"/>
      <w:divBdr>
        <w:top w:val="none" w:sz="0" w:space="0" w:color="auto"/>
        <w:left w:val="none" w:sz="0" w:space="0" w:color="auto"/>
        <w:bottom w:val="none" w:sz="0" w:space="0" w:color="auto"/>
        <w:right w:val="none" w:sz="0" w:space="0" w:color="auto"/>
      </w:divBdr>
    </w:div>
    <w:div w:id="1412695622">
      <w:bodyDiv w:val="1"/>
      <w:marLeft w:val="0"/>
      <w:marRight w:val="0"/>
      <w:marTop w:val="0"/>
      <w:marBottom w:val="0"/>
      <w:divBdr>
        <w:top w:val="none" w:sz="0" w:space="0" w:color="auto"/>
        <w:left w:val="none" w:sz="0" w:space="0" w:color="auto"/>
        <w:bottom w:val="none" w:sz="0" w:space="0" w:color="auto"/>
        <w:right w:val="none" w:sz="0" w:space="0" w:color="auto"/>
      </w:divBdr>
    </w:div>
    <w:div w:id="1443769202">
      <w:bodyDiv w:val="1"/>
      <w:marLeft w:val="0"/>
      <w:marRight w:val="0"/>
      <w:marTop w:val="0"/>
      <w:marBottom w:val="0"/>
      <w:divBdr>
        <w:top w:val="none" w:sz="0" w:space="0" w:color="auto"/>
        <w:left w:val="none" w:sz="0" w:space="0" w:color="auto"/>
        <w:bottom w:val="none" w:sz="0" w:space="0" w:color="auto"/>
        <w:right w:val="none" w:sz="0" w:space="0" w:color="auto"/>
      </w:divBdr>
    </w:div>
    <w:div w:id="1453329335">
      <w:bodyDiv w:val="1"/>
      <w:marLeft w:val="0"/>
      <w:marRight w:val="0"/>
      <w:marTop w:val="0"/>
      <w:marBottom w:val="0"/>
      <w:divBdr>
        <w:top w:val="none" w:sz="0" w:space="0" w:color="auto"/>
        <w:left w:val="none" w:sz="0" w:space="0" w:color="auto"/>
        <w:bottom w:val="none" w:sz="0" w:space="0" w:color="auto"/>
        <w:right w:val="none" w:sz="0" w:space="0" w:color="auto"/>
      </w:divBdr>
    </w:div>
    <w:div w:id="1457017424">
      <w:bodyDiv w:val="1"/>
      <w:marLeft w:val="0"/>
      <w:marRight w:val="0"/>
      <w:marTop w:val="0"/>
      <w:marBottom w:val="0"/>
      <w:divBdr>
        <w:top w:val="none" w:sz="0" w:space="0" w:color="auto"/>
        <w:left w:val="none" w:sz="0" w:space="0" w:color="auto"/>
        <w:bottom w:val="none" w:sz="0" w:space="0" w:color="auto"/>
        <w:right w:val="none" w:sz="0" w:space="0" w:color="auto"/>
      </w:divBdr>
    </w:div>
    <w:div w:id="1471705601">
      <w:bodyDiv w:val="1"/>
      <w:marLeft w:val="0"/>
      <w:marRight w:val="0"/>
      <w:marTop w:val="0"/>
      <w:marBottom w:val="0"/>
      <w:divBdr>
        <w:top w:val="none" w:sz="0" w:space="0" w:color="auto"/>
        <w:left w:val="none" w:sz="0" w:space="0" w:color="auto"/>
        <w:bottom w:val="none" w:sz="0" w:space="0" w:color="auto"/>
        <w:right w:val="none" w:sz="0" w:space="0" w:color="auto"/>
      </w:divBdr>
    </w:div>
    <w:div w:id="1489517933">
      <w:bodyDiv w:val="1"/>
      <w:marLeft w:val="0"/>
      <w:marRight w:val="0"/>
      <w:marTop w:val="0"/>
      <w:marBottom w:val="0"/>
      <w:divBdr>
        <w:top w:val="none" w:sz="0" w:space="0" w:color="auto"/>
        <w:left w:val="none" w:sz="0" w:space="0" w:color="auto"/>
        <w:bottom w:val="none" w:sz="0" w:space="0" w:color="auto"/>
        <w:right w:val="none" w:sz="0" w:space="0" w:color="auto"/>
      </w:divBdr>
      <w:divsChild>
        <w:div w:id="1701659342">
          <w:marLeft w:val="547"/>
          <w:marRight w:val="0"/>
          <w:marTop w:val="0"/>
          <w:marBottom w:val="160"/>
          <w:divBdr>
            <w:top w:val="none" w:sz="0" w:space="0" w:color="auto"/>
            <w:left w:val="none" w:sz="0" w:space="0" w:color="auto"/>
            <w:bottom w:val="none" w:sz="0" w:space="0" w:color="auto"/>
            <w:right w:val="none" w:sz="0" w:space="0" w:color="auto"/>
          </w:divBdr>
        </w:div>
        <w:div w:id="688071727">
          <w:marLeft w:val="547"/>
          <w:marRight w:val="0"/>
          <w:marTop w:val="0"/>
          <w:marBottom w:val="160"/>
          <w:divBdr>
            <w:top w:val="none" w:sz="0" w:space="0" w:color="auto"/>
            <w:left w:val="none" w:sz="0" w:space="0" w:color="auto"/>
            <w:bottom w:val="none" w:sz="0" w:space="0" w:color="auto"/>
            <w:right w:val="none" w:sz="0" w:space="0" w:color="auto"/>
          </w:divBdr>
        </w:div>
        <w:div w:id="1616521843">
          <w:marLeft w:val="547"/>
          <w:marRight w:val="0"/>
          <w:marTop w:val="0"/>
          <w:marBottom w:val="160"/>
          <w:divBdr>
            <w:top w:val="none" w:sz="0" w:space="0" w:color="auto"/>
            <w:left w:val="none" w:sz="0" w:space="0" w:color="auto"/>
            <w:bottom w:val="none" w:sz="0" w:space="0" w:color="auto"/>
            <w:right w:val="none" w:sz="0" w:space="0" w:color="auto"/>
          </w:divBdr>
        </w:div>
        <w:div w:id="84040976">
          <w:marLeft w:val="547"/>
          <w:marRight w:val="0"/>
          <w:marTop w:val="0"/>
          <w:marBottom w:val="160"/>
          <w:divBdr>
            <w:top w:val="none" w:sz="0" w:space="0" w:color="auto"/>
            <w:left w:val="none" w:sz="0" w:space="0" w:color="auto"/>
            <w:bottom w:val="none" w:sz="0" w:space="0" w:color="auto"/>
            <w:right w:val="none" w:sz="0" w:space="0" w:color="auto"/>
          </w:divBdr>
        </w:div>
      </w:divsChild>
    </w:div>
    <w:div w:id="1512841972">
      <w:bodyDiv w:val="1"/>
      <w:marLeft w:val="0"/>
      <w:marRight w:val="0"/>
      <w:marTop w:val="0"/>
      <w:marBottom w:val="0"/>
      <w:divBdr>
        <w:top w:val="none" w:sz="0" w:space="0" w:color="auto"/>
        <w:left w:val="none" w:sz="0" w:space="0" w:color="auto"/>
        <w:bottom w:val="none" w:sz="0" w:space="0" w:color="auto"/>
        <w:right w:val="none" w:sz="0" w:space="0" w:color="auto"/>
      </w:divBdr>
    </w:div>
    <w:div w:id="1576278201">
      <w:bodyDiv w:val="1"/>
      <w:marLeft w:val="0"/>
      <w:marRight w:val="0"/>
      <w:marTop w:val="0"/>
      <w:marBottom w:val="0"/>
      <w:divBdr>
        <w:top w:val="none" w:sz="0" w:space="0" w:color="auto"/>
        <w:left w:val="none" w:sz="0" w:space="0" w:color="auto"/>
        <w:bottom w:val="none" w:sz="0" w:space="0" w:color="auto"/>
        <w:right w:val="none" w:sz="0" w:space="0" w:color="auto"/>
      </w:divBdr>
    </w:div>
    <w:div w:id="1902013275">
      <w:bodyDiv w:val="1"/>
      <w:marLeft w:val="0"/>
      <w:marRight w:val="0"/>
      <w:marTop w:val="0"/>
      <w:marBottom w:val="0"/>
      <w:divBdr>
        <w:top w:val="none" w:sz="0" w:space="0" w:color="auto"/>
        <w:left w:val="none" w:sz="0" w:space="0" w:color="auto"/>
        <w:bottom w:val="none" w:sz="0" w:space="0" w:color="auto"/>
        <w:right w:val="none" w:sz="0" w:space="0" w:color="auto"/>
      </w:divBdr>
      <w:divsChild>
        <w:div w:id="464781497">
          <w:marLeft w:val="547"/>
          <w:marRight w:val="0"/>
          <w:marTop w:val="0"/>
          <w:marBottom w:val="160"/>
          <w:divBdr>
            <w:top w:val="none" w:sz="0" w:space="0" w:color="auto"/>
            <w:left w:val="none" w:sz="0" w:space="0" w:color="auto"/>
            <w:bottom w:val="none" w:sz="0" w:space="0" w:color="auto"/>
            <w:right w:val="none" w:sz="0" w:space="0" w:color="auto"/>
          </w:divBdr>
        </w:div>
        <w:div w:id="412240110">
          <w:marLeft w:val="547"/>
          <w:marRight w:val="0"/>
          <w:marTop w:val="0"/>
          <w:marBottom w:val="160"/>
          <w:divBdr>
            <w:top w:val="none" w:sz="0" w:space="0" w:color="auto"/>
            <w:left w:val="none" w:sz="0" w:space="0" w:color="auto"/>
            <w:bottom w:val="none" w:sz="0" w:space="0" w:color="auto"/>
            <w:right w:val="none" w:sz="0" w:space="0" w:color="auto"/>
          </w:divBdr>
        </w:div>
        <w:div w:id="1401295533">
          <w:marLeft w:val="547"/>
          <w:marRight w:val="0"/>
          <w:marTop w:val="0"/>
          <w:marBottom w:val="0"/>
          <w:divBdr>
            <w:top w:val="none" w:sz="0" w:space="0" w:color="auto"/>
            <w:left w:val="none" w:sz="0" w:space="0" w:color="auto"/>
            <w:bottom w:val="none" w:sz="0" w:space="0" w:color="auto"/>
            <w:right w:val="none" w:sz="0" w:space="0" w:color="auto"/>
          </w:divBdr>
        </w:div>
        <w:div w:id="1345861114">
          <w:marLeft w:val="547"/>
          <w:marRight w:val="0"/>
          <w:marTop w:val="0"/>
          <w:marBottom w:val="0"/>
          <w:divBdr>
            <w:top w:val="none" w:sz="0" w:space="0" w:color="auto"/>
            <w:left w:val="none" w:sz="0" w:space="0" w:color="auto"/>
            <w:bottom w:val="none" w:sz="0" w:space="0" w:color="auto"/>
            <w:right w:val="none" w:sz="0" w:space="0" w:color="auto"/>
          </w:divBdr>
        </w:div>
        <w:div w:id="1732655309">
          <w:marLeft w:val="547"/>
          <w:marRight w:val="0"/>
          <w:marTop w:val="0"/>
          <w:marBottom w:val="0"/>
          <w:divBdr>
            <w:top w:val="none" w:sz="0" w:space="0" w:color="auto"/>
            <w:left w:val="none" w:sz="0" w:space="0" w:color="auto"/>
            <w:bottom w:val="none" w:sz="0" w:space="0" w:color="auto"/>
            <w:right w:val="none" w:sz="0" w:space="0" w:color="auto"/>
          </w:divBdr>
        </w:div>
        <w:div w:id="2030257163">
          <w:marLeft w:val="547"/>
          <w:marRight w:val="0"/>
          <w:marTop w:val="0"/>
          <w:marBottom w:val="160"/>
          <w:divBdr>
            <w:top w:val="none" w:sz="0" w:space="0" w:color="auto"/>
            <w:left w:val="none" w:sz="0" w:space="0" w:color="auto"/>
            <w:bottom w:val="none" w:sz="0" w:space="0" w:color="auto"/>
            <w:right w:val="none" w:sz="0" w:space="0" w:color="auto"/>
          </w:divBdr>
        </w:div>
        <w:div w:id="1401055167">
          <w:marLeft w:val="547"/>
          <w:marRight w:val="0"/>
          <w:marTop w:val="0"/>
          <w:marBottom w:val="0"/>
          <w:divBdr>
            <w:top w:val="none" w:sz="0" w:space="0" w:color="auto"/>
            <w:left w:val="none" w:sz="0" w:space="0" w:color="auto"/>
            <w:bottom w:val="none" w:sz="0" w:space="0" w:color="auto"/>
            <w:right w:val="none" w:sz="0" w:space="0" w:color="auto"/>
          </w:divBdr>
        </w:div>
        <w:div w:id="195699787">
          <w:marLeft w:val="547"/>
          <w:marRight w:val="0"/>
          <w:marTop w:val="0"/>
          <w:marBottom w:val="0"/>
          <w:divBdr>
            <w:top w:val="none" w:sz="0" w:space="0" w:color="auto"/>
            <w:left w:val="none" w:sz="0" w:space="0" w:color="auto"/>
            <w:bottom w:val="none" w:sz="0" w:space="0" w:color="auto"/>
            <w:right w:val="none" w:sz="0" w:space="0" w:color="auto"/>
          </w:divBdr>
        </w:div>
        <w:div w:id="876236073">
          <w:marLeft w:val="547"/>
          <w:marRight w:val="0"/>
          <w:marTop w:val="0"/>
          <w:marBottom w:val="0"/>
          <w:divBdr>
            <w:top w:val="none" w:sz="0" w:space="0" w:color="auto"/>
            <w:left w:val="none" w:sz="0" w:space="0" w:color="auto"/>
            <w:bottom w:val="none" w:sz="0" w:space="0" w:color="auto"/>
            <w:right w:val="none" w:sz="0" w:space="0" w:color="auto"/>
          </w:divBdr>
        </w:div>
        <w:div w:id="1301228811">
          <w:marLeft w:val="547"/>
          <w:marRight w:val="0"/>
          <w:marTop w:val="0"/>
          <w:marBottom w:val="0"/>
          <w:divBdr>
            <w:top w:val="none" w:sz="0" w:space="0" w:color="auto"/>
            <w:left w:val="none" w:sz="0" w:space="0" w:color="auto"/>
            <w:bottom w:val="none" w:sz="0" w:space="0" w:color="auto"/>
            <w:right w:val="none" w:sz="0" w:space="0" w:color="auto"/>
          </w:divBdr>
        </w:div>
        <w:div w:id="1027559266">
          <w:marLeft w:val="547"/>
          <w:marRight w:val="0"/>
          <w:marTop w:val="0"/>
          <w:marBottom w:val="160"/>
          <w:divBdr>
            <w:top w:val="none" w:sz="0" w:space="0" w:color="auto"/>
            <w:left w:val="none" w:sz="0" w:space="0" w:color="auto"/>
            <w:bottom w:val="none" w:sz="0" w:space="0" w:color="auto"/>
            <w:right w:val="none" w:sz="0" w:space="0" w:color="auto"/>
          </w:divBdr>
        </w:div>
      </w:divsChild>
    </w:div>
    <w:div w:id="2000383440">
      <w:bodyDiv w:val="1"/>
      <w:marLeft w:val="0"/>
      <w:marRight w:val="0"/>
      <w:marTop w:val="0"/>
      <w:marBottom w:val="0"/>
      <w:divBdr>
        <w:top w:val="none" w:sz="0" w:space="0" w:color="auto"/>
        <w:left w:val="none" w:sz="0" w:space="0" w:color="auto"/>
        <w:bottom w:val="none" w:sz="0" w:space="0" w:color="auto"/>
        <w:right w:val="none" w:sz="0" w:space="0" w:color="auto"/>
      </w:divBdr>
    </w:div>
    <w:div w:id="2050108786">
      <w:bodyDiv w:val="1"/>
      <w:marLeft w:val="0"/>
      <w:marRight w:val="0"/>
      <w:marTop w:val="0"/>
      <w:marBottom w:val="0"/>
      <w:divBdr>
        <w:top w:val="none" w:sz="0" w:space="0" w:color="auto"/>
        <w:left w:val="none" w:sz="0" w:space="0" w:color="auto"/>
        <w:bottom w:val="none" w:sz="0" w:space="0" w:color="auto"/>
        <w:right w:val="none" w:sz="0" w:space="0" w:color="auto"/>
      </w:divBdr>
    </w:div>
    <w:div w:id="2060930257">
      <w:bodyDiv w:val="1"/>
      <w:marLeft w:val="0"/>
      <w:marRight w:val="0"/>
      <w:marTop w:val="0"/>
      <w:marBottom w:val="0"/>
      <w:divBdr>
        <w:top w:val="none" w:sz="0" w:space="0" w:color="auto"/>
        <w:left w:val="none" w:sz="0" w:space="0" w:color="auto"/>
        <w:bottom w:val="none" w:sz="0" w:space="0" w:color="auto"/>
        <w:right w:val="none" w:sz="0" w:space="0" w:color="auto"/>
      </w:divBdr>
      <w:divsChild>
        <w:div w:id="1531990401">
          <w:marLeft w:val="547"/>
          <w:marRight w:val="0"/>
          <w:marTop w:val="0"/>
          <w:marBottom w:val="0"/>
          <w:divBdr>
            <w:top w:val="none" w:sz="0" w:space="0" w:color="auto"/>
            <w:left w:val="none" w:sz="0" w:space="0" w:color="auto"/>
            <w:bottom w:val="none" w:sz="0" w:space="0" w:color="auto"/>
            <w:right w:val="none" w:sz="0" w:space="0" w:color="auto"/>
          </w:divBdr>
        </w:div>
        <w:div w:id="751127253">
          <w:marLeft w:val="547"/>
          <w:marRight w:val="0"/>
          <w:marTop w:val="0"/>
          <w:marBottom w:val="160"/>
          <w:divBdr>
            <w:top w:val="none" w:sz="0" w:space="0" w:color="auto"/>
            <w:left w:val="none" w:sz="0" w:space="0" w:color="auto"/>
            <w:bottom w:val="none" w:sz="0" w:space="0" w:color="auto"/>
            <w:right w:val="none" w:sz="0" w:space="0" w:color="auto"/>
          </w:divBdr>
        </w:div>
      </w:divsChild>
    </w:div>
    <w:div w:id="2129158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nil.fr/sites/default/files/atoms/files/infographie_aipd.pdf" TargetMode="External"/><Relationship Id="rId18" Type="http://schemas.openxmlformats.org/officeDocument/2006/relationships/hyperlink" Target="https://www.cnil.fr/sites/default/files/atoms/files/cnil_guide_securite_personnelle.pdf" TargetMode="External"/><Relationship Id="rId26" Type="http://schemas.openxmlformats.org/officeDocument/2006/relationships/hyperlink" Target="https://www.cnil.fr/sites/default/files/atoms/files/cnil-pia-1-fr-methode.pdf" TargetMode="External"/><Relationship Id="rId39" Type="http://schemas.openxmlformats.org/officeDocument/2006/relationships/hyperlink" Target="https://www.cnil.fr/fr/securite-des-donnees-proteger-le-plus-sensible-de-maniere-specifique" TargetMode="External"/><Relationship Id="rId21" Type="http://schemas.openxmlformats.org/officeDocument/2006/relationships/image" Target="media/image1.png"/><Relationship Id="rId34" Type="http://schemas.openxmlformats.org/officeDocument/2006/relationships/hyperlink" Target="https://www.cnil.fr/fr/preparer-lexercice-des-droits-des-personnes" TargetMode="External"/><Relationship Id="rId42" Type="http://schemas.openxmlformats.org/officeDocument/2006/relationships/theme" Target="theme/theme1.xml"/><Relationship Id="rId7" Type="http://schemas.openxmlformats.org/officeDocument/2006/relationships/hyperlink" Target="https://www.cnil.fr/fr/minimiser-les-donnees-collectees" TargetMode="External"/><Relationship Id="rId2" Type="http://schemas.openxmlformats.org/officeDocument/2006/relationships/styles" Target="styles.xml"/><Relationship Id="rId16" Type="http://schemas.openxmlformats.org/officeDocument/2006/relationships/hyperlink" Target="https://www.cnil.fr/fr/informer-les-personnes" TargetMode="External"/><Relationship Id="rId20" Type="http://schemas.openxmlformats.org/officeDocument/2006/relationships/hyperlink" Target="https://www.cnil.fr/fr/securite-des-donnees-les-mesures-dhygiene-pour-proteger-votre-systeme-dinformation" TargetMode="External"/><Relationship Id="rId29" Type="http://schemas.openxmlformats.org/officeDocument/2006/relationships/hyperlink" Target="https://www.cnil.fr/sites/default/files/atoms/files/cnil-pia-3-fr-basesdeconnaissances.pdf"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nil.fr/fr/outil-pia-telechargez-et-installez-le-logiciel-de-la-cnil" TargetMode="External"/><Relationship Id="rId24" Type="http://schemas.openxmlformats.org/officeDocument/2006/relationships/hyperlink" Target="https://www.cnil.fr/fr/minimiser-les-donnees-collectees" TargetMode="External"/><Relationship Id="rId32" Type="http://schemas.openxmlformats.org/officeDocument/2006/relationships/hyperlink" Target="https://www.cnil.fr/sites/default/files/atoms/files/liste-traitements-aipd-non-requise.pdf" TargetMode="External"/><Relationship Id="rId37" Type="http://schemas.openxmlformats.org/officeDocument/2006/relationships/hyperlink" Target="https://www.cnil.fr/fr/securite-des-donnees-les-regles-essentielles-pour-demarrer" TargetMode="External"/><Relationship Id="rId40" Type="http://schemas.openxmlformats.org/officeDocument/2006/relationships/hyperlink" Target="https://www.cnil.fr/fr/principes-cles/guide-de-la-securite-des-donnees-personnelles" TargetMode="External"/><Relationship Id="rId5" Type="http://schemas.openxmlformats.org/officeDocument/2006/relationships/footnotes" Target="footnotes.xml"/><Relationship Id="rId15" Type="http://schemas.openxmlformats.org/officeDocument/2006/relationships/hyperlink" Target="https://www.cnil.fr/sites/default/files/atoms/files/liste-traitements-aipd-non-requise.pdf" TargetMode="External"/><Relationship Id="rId23" Type="http://schemas.openxmlformats.org/officeDocument/2006/relationships/hyperlink" Target="https://www.cnil.fr/fr/principes-cles/guide-de-la-securite-des-donnees-personnelles" TargetMode="External"/><Relationship Id="rId28" Type="http://schemas.openxmlformats.org/officeDocument/2006/relationships/hyperlink" Target="https://www.cnil.fr/fr/outil-pia-telechargez-et-installez-le-logiciel-de-la-cnil" TargetMode="External"/><Relationship Id="rId36" Type="http://schemas.openxmlformats.org/officeDocument/2006/relationships/hyperlink" Target="https://www.cnil.fr/sites/default/files/atoms/files/cnil_guide_securite_personnelle.pdf" TargetMode="External"/><Relationship Id="rId10" Type="http://schemas.openxmlformats.org/officeDocument/2006/relationships/hyperlink" Target="https://www.cnil.fr/sites/default/files/atoms/files/cnil-pia-2-fr-modeles.pdf" TargetMode="External"/><Relationship Id="rId19" Type="http://schemas.openxmlformats.org/officeDocument/2006/relationships/hyperlink" Target="https://www.cnil.fr/fr/securite-des-donnees-les-regles-essentielles-pour-demarrer" TargetMode="External"/><Relationship Id="rId31" Type="http://schemas.openxmlformats.org/officeDocument/2006/relationships/hyperlink" Target="https://www.cnil.fr/sites/default/files/atoms/files/liste-traitements-aipd-requise.pdf" TargetMode="External"/><Relationship Id="rId4" Type="http://schemas.openxmlformats.org/officeDocument/2006/relationships/webSettings" Target="webSettings.xml"/><Relationship Id="rId9" Type="http://schemas.openxmlformats.org/officeDocument/2006/relationships/hyperlink" Target="https://www.cnil.fr/sites/default/files/atoms/files/cnil-pia-1-fr-methode.pdf" TargetMode="External"/><Relationship Id="rId14" Type="http://schemas.openxmlformats.org/officeDocument/2006/relationships/hyperlink" Target="https://www.cnil.fr/sites/default/files/atoms/files/liste-traitements-aipd-requise.pdf" TargetMode="External"/><Relationship Id="rId22" Type="http://schemas.openxmlformats.org/officeDocument/2006/relationships/hyperlink" Target="https://www.cnil.fr/fr/securite-des-donnees-proteger-le-plus-sensible-de-maniere-specifique" TargetMode="External"/><Relationship Id="rId27" Type="http://schemas.openxmlformats.org/officeDocument/2006/relationships/hyperlink" Target="https://www.cnil.fr/sites/default/files/atoms/files/cnil-pia-2-fr-modeles.pdf" TargetMode="External"/><Relationship Id="rId30" Type="http://schemas.openxmlformats.org/officeDocument/2006/relationships/hyperlink" Target="https://www.cnil.fr/sites/default/files/atoms/files/infographie_aipd.pdf" TargetMode="External"/><Relationship Id="rId35" Type="http://schemas.openxmlformats.org/officeDocument/2006/relationships/hyperlink" Target="https://www.cnil.fr/sites/default/files/atoms/files/formulaire_de_demande_labels-gouvernance-re.docx" TargetMode="External"/><Relationship Id="rId8" Type="http://schemas.openxmlformats.org/officeDocument/2006/relationships/hyperlink" Target="https://www.cnil.fr/fr/les-durees-de-conservation-des-donnees" TargetMode="External"/><Relationship Id="rId3" Type="http://schemas.openxmlformats.org/officeDocument/2006/relationships/settings" Target="settings.xml"/><Relationship Id="rId12" Type="http://schemas.openxmlformats.org/officeDocument/2006/relationships/hyperlink" Target="https://www.cnil.fr/sites/default/files/atoms/files/cnil-pia-3-fr-basesdeconnaissances.pdf" TargetMode="External"/><Relationship Id="rId17" Type="http://schemas.openxmlformats.org/officeDocument/2006/relationships/hyperlink" Target="https://www.cnil.fr/fr/preparer-lexercice-des-droits-des-personnes" TargetMode="External"/><Relationship Id="rId25" Type="http://schemas.openxmlformats.org/officeDocument/2006/relationships/hyperlink" Target="https://www.cnil.fr/fr/les-durees-de-conservation-des-donnees" TargetMode="External"/><Relationship Id="rId33" Type="http://schemas.openxmlformats.org/officeDocument/2006/relationships/hyperlink" Target="https://www.cnil.fr/fr/informer-les-personnes" TargetMode="External"/><Relationship Id="rId38" Type="http://schemas.openxmlformats.org/officeDocument/2006/relationships/hyperlink" Target="https://www.cnil.fr/fr/securite-des-donnees-les-mesures-dhygiene-pour-proteger-votre-systeme-dinformatio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4443</TotalTime>
  <Pages>10</Pages>
  <Words>4405</Words>
  <Characters>24228</Characters>
  <Application>Microsoft Office Word</Application>
  <DocSecurity>0</DocSecurity>
  <Lines>201</Lines>
  <Paragraphs>57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28576</CharactersWithSpaces>
  <SharedDoc>false</SharedDoc>
  <HLinks>
    <vt:vector size="204" baseType="variant">
      <vt:variant>
        <vt:i4>2359413</vt:i4>
      </vt:variant>
      <vt:variant>
        <vt:i4>99</vt:i4>
      </vt:variant>
      <vt:variant>
        <vt:i4>0</vt:i4>
      </vt:variant>
      <vt:variant>
        <vt:i4>5</vt:i4>
      </vt:variant>
      <vt:variant>
        <vt:lpwstr>https://www.cnil.fr/fr/principes-cles/guide-de-la-securite-des-donnees-personnelles</vt:lpwstr>
      </vt:variant>
      <vt:variant>
        <vt:lpwstr/>
      </vt:variant>
      <vt:variant>
        <vt:i4>3539004</vt:i4>
      </vt:variant>
      <vt:variant>
        <vt:i4>96</vt:i4>
      </vt:variant>
      <vt:variant>
        <vt:i4>0</vt:i4>
      </vt:variant>
      <vt:variant>
        <vt:i4>5</vt:i4>
      </vt:variant>
      <vt:variant>
        <vt:lpwstr>https://www.cnil.fr/fr/securite-des-donnees-proteger-le-plus-sensible-de-maniere-specifique</vt:lpwstr>
      </vt:variant>
      <vt:variant>
        <vt:lpwstr/>
      </vt:variant>
      <vt:variant>
        <vt:i4>1769560</vt:i4>
      </vt:variant>
      <vt:variant>
        <vt:i4>93</vt:i4>
      </vt:variant>
      <vt:variant>
        <vt:i4>0</vt:i4>
      </vt:variant>
      <vt:variant>
        <vt:i4>5</vt:i4>
      </vt:variant>
      <vt:variant>
        <vt:lpwstr>https://www.cnil.fr/fr/securite-des-donnees-les-mesures-dhygiene-pour-proteger-votre-systeme-dinformation</vt:lpwstr>
      </vt:variant>
      <vt:variant>
        <vt:lpwstr/>
      </vt:variant>
      <vt:variant>
        <vt:i4>5177420</vt:i4>
      </vt:variant>
      <vt:variant>
        <vt:i4>90</vt:i4>
      </vt:variant>
      <vt:variant>
        <vt:i4>0</vt:i4>
      </vt:variant>
      <vt:variant>
        <vt:i4>5</vt:i4>
      </vt:variant>
      <vt:variant>
        <vt:lpwstr>https://www.cnil.fr/fr/securite-des-donnees-les-regles-essentielles-pour-demarrer</vt:lpwstr>
      </vt:variant>
      <vt:variant>
        <vt:lpwstr/>
      </vt:variant>
      <vt:variant>
        <vt:i4>4849761</vt:i4>
      </vt:variant>
      <vt:variant>
        <vt:i4>87</vt:i4>
      </vt:variant>
      <vt:variant>
        <vt:i4>0</vt:i4>
      </vt:variant>
      <vt:variant>
        <vt:i4>5</vt:i4>
      </vt:variant>
      <vt:variant>
        <vt:lpwstr>https://www.cnil.fr/sites/default/files/atoms/files/cnil_guide_securite_personnelle.pdf</vt:lpwstr>
      </vt:variant>
      <vt:variant>
        <vt:lpwstr/>
      </vt:variant>
      <vt:variant>
        <vt:i4>1638463</vt:i4>
      </vt:variant>
      <vt:variant>
        <vt:i4>84</vt:i4>
      </vt:variant>
      <vt:variant>
        <vt:i4>0</vt:i4>
      </vt:variant>
      <vt:variant>
        <vt:i4>5</vt:i4>
      </vt:variant>
      <vt:variant>
        <vt:lpwstr>https://www.cnil.fr/sites/default/files/atoms/files/formulaire_de_demande_labels-gouvernance-re.docx</vt:lpwstr>
      </vt:variant>
      <vt:variant>
        <vt:lpwstr/>
      </vt:variant>
      <vt:variant>
        <vt:i4>2555943</vt:i4>
      </vt:variant>
      <vt:variant>
        <vt:i4>81</vt:i4>
      </vt:variant>
      <vt:variant>
        <vt:i4>0</vt:i4>
      </vt:variant>
      <vt:variant>
        <vt:i4>5</vt:i4>
      </vt:variant>
      <vt:variant>
        <vt:lpwstr>https://www.cnil.fr/fr/preparer-lexercice-des-droits-des-personnes</vt:lpwstr>
      </vt:variant>
      <vt:variant>
        <vt:lpwstr/>
      </vt:variant>
      <vt:variant>
        <vt:i4>1114205</vt:i4>
      </vt:variant>
      <vt:variant>
        <vt:i4>78</vt:i4>
      </vt:variant>
      <vt:variant>
        <vt:i4>0</vt:i4>
      </vt:variant>
      <vt:variant>
        <vt:i4>5</vt:i4>
      </vt:variant>
      <vt:variant>
        <vt:lpwstr>https://www.cnil.fr/fr/informer-les-personnes</vt:lpwstr>
      </vt:variant>
      <vt:variant>
        <vt:lpwstr/>
      </vt:variant>
      <vt:variant>
        <vt:i4>3604512</vt:i4>
      </vt:variant>
      <vt:variant>
        <vt:i4>75</vt:i4>
      </vt:variant>
      <vt:variant>
        <vt:i4>0</vt:i4>
      </vt:variant>
      <vt:variant>
        <vt:i4>5</vt:i4>
      </vt:variant>
      <vt:variant>
        <vt:lpwstr>https://www.cnil.fr/sites/default/files/atoms/files/liste-traitements-aipd-non-requise.pdf</vt:lpwstr>
      </vt:variant>
      <vt:variant>
        <vt:lpwstr/>
      </vt:variant>
      <vt:variant>
        <vt:i4>3604578</vt:i4>
      </vt:variant>
      <vt:variant>
        <vt:i4>72</vt:i4>
      </vt:variant>
      <vt:variant>
        <vt:i4>0</vt:i4>
      </vt:variant>
      <vt:variant>
        <vt:i4>5</vt:i4>
      </vt:variant>
      <vt:variant>
        <vt:lpwstr>https://www.cnil.fr/sites/default/files/atoms/files/liste-traitements-aipd-requise.pdf</vt:lpwstr>
      </vt:variant>
      <vt:variant>
        <vt:lpwstr/>
      </vt:variant>
      <vt:variant>
        <vt:i4>8323139</vt:i4>
      </vt:variant>
      <vt:variant>
        <vt:i4>69</vt:i4>
      </vt:variant>
      <vt:variant>
        <vt:i4>0</vt:i4>
      </vt:variant>
      <vt:variant>
        <vt:i4>5</vt:i4>
      </vt:variant>
      <vt:variant>
        <vt:lpwstr>https://www.cnil.fr/sites/default/files/atoms/files/infographie_aipd.pdf</vt:lpwstr>
      </vt:variant>
      <vt:variant>
        <vt:lpwstr/>
      </vt:variant>
      <vt:variant>
        <vt:i4>2228349</vt:i4>
      </vt:variant>
      <vt:variant>
        <vt:i4>66</vt:i4>
      </vt:variant>
      <vt:variant>
        <vt:i4>0</vt:i4>
      </vt:variant>
      <vt:variant>
        <vt:i4>5</vt:i4>
      </vt:variant>
      <vt:variant>
        <vt:lpwstr>https://www.cnil.fr/sites/default/files/atoms/files/cnil-pia-3-fr-basesdeconnaissances.pdf</vt:lpwstr>
      </vt:variant>
      <vt:variant>
        <vt:lpwstr/>
      </vt:variant>
      <vt:variant>
        <vt:i4>327681</vt:i4>
      </vt:variant>
      <vt:variant>
        <vt:i4>63</vt:i4>
      </vt:variant>
      <vt:variant>
        <vt:i4>0</vt:i4>
      </vt:variant>
      <vt:variant>
        <vt:i4>5</vt:i4>
      </vt:variant>
      <vt:variant>
        <vt:lpwstr>https://www.cnil.fr/fr/outil-pia-telechargez-et-installez-le-logiciel-de-la-cnil</vt:lpwstr>
      </vt:variant>
      <vt:variant>
        <vt:lpwstr/>
      </vt:variant>
      <vt:variant>
        <vt:i4>1966150</vt:i4>
      </vt:variant>
      <vt:variant>
        <vt:i4>60</vt:i4>
      </vt:variant>
      <vt:variant>
        <vt:i4>0</vt:i4>
      </vt:variant>
      <vt:variant>
        <vt:i4>5</vt:i4>
      </vt:variant>
      <vt:variant>
        <vt:lpwstr>https://www.cnil.fr/sites/default/files/atoms/files/cnil-pia-2-fr-modeles.pdf</vt:lpwstr>
      </vt:variant>
      <vt:variant>
        <vt:lpwstr/>
      </vt:variant>
      <vt:variant>
        <vt:i4>1769539</vt:i4>
      </vt:variant>
      <vt:variant>
        <vt:i4>57</vt:i4>
      </vt:variant>
      <vt:variant>
        <vt:i4>0</vt:i4>
      </vt:variant>
      <vt:variant>
        <vt:i4>5</vt:i4>
      </vt:variant>
      <vt:variant>
        <vt:lpwstr>https://www.cnil.fr/sites/default/files/atoms/files/cnil-pia-1-fr-methode.pdf</vt:lpwstr>
      </vt:variant>
      <vt:variant>
        <vt:lpwstr/>
      </vt:variant>
      <vt:variant>
        <vt:i4>5308493</vt:i4>
      </vt:variant>
      <vt:variant>
        <vt:i4>54</vt:i4>
      </vt:variant>
      <vt:variant>
        <vt:i4>0</vt:i4>
      </vt:variant>
      <vt:variant>
        <vt:i4>5</vt:i4>
      </vt:variant>
      <vt:variant>
        <vt:lpwstr>https://www.cnil.fr/fr/les-durees-de-conservation-des-donnees</vt:lpwstr>
      </vt:variant>
      <vt:variant>
        <vt:lpwstr/>
      </vt:variant>
      <vt:variant>
        <vt:i4>6684794</vt:i4>
      </vt:variant>
      <vt:variant>
        <vt:i4>51</vt:i4>
      </vt:variant>
      <vt:variant>
        <vt:i4>0</vt:i4>
      </vt:variant>
      <vt:variant>
        <vt:i4>5</vt:i4>
      </vt:variant>
      <vt:variant>
        <vt:lpwstr>https://www.cnil.fr/fr/minimiser-les-donnees-collectees</vt:lpwstr>
      </vt:variant>
      <vt:variant>
        <vt:lpwstr/>
      </vt:variant>
      <vt:variant>
        <vt:i4>2359413</vt:i4>
      </vt:variant>
      <vt:variant>
        <vt:i4>48</vt:i4>
      </vt:variant>
      <vt:variant>
        <vt:i4>0</vt:i4>
      </vt:variant>
      <vt:variant>
        <vt:i4>5</vt:i4>
      </vt:variant>
      <vt:variant>
        <vt:lpwstr>https://www.cnil.fr/fr/principes-cles/guide-de-la-securite-des-donnees-personnelles</vt:lpwstr>
      </vt:variant>
      <vt:variant>
        <vt:lpwstr/>
      </vt:variant>
      <vt:variant>
        <vt:i4>3539004</vt:i4>
      </vt:variant>
      <vt:variant>
        <vt:i4>45</vt:i4>
      </vt:variant>
      <vt:variant>
        <vt:i4>0</vt:i4>
      </vt:variant>
      <vt:variant>
        <vt:i4>5</vt:i4>
      </vt:variant>
      <vt:variant>
        <vt:lpwstr>https://www.cnil.fr/fr/securite-des-donnees-proteger-le-plus-sensible-de-maniere-specifique</vt:lpwstr>
      </vt:variant>
      <vt:variant>
        <vt:lpwstr/>
      </vt:variant>
      <vt:variant>
        <vt:i4>1769560</vt:i4>
      </vt:variant>
      <vt:variant>
        <vt:i4>42</vt:i4>
      </vt:variant>
      <vt:variant>
        <vt:i4>0</vt:i4>
      </vt:variant>
      <vt:variant>
        <vt:i4>5</vt:i4>
      </vt:variant>
      <vt:variant>
        <vt:lpwstr>https://www.cnil.fr/fr/securite-des-donnees-les-mesures-dhygiene-pour-proteger-votre-systeme-dinformation</vt:lpwstr>
      </vt:variant>
      <vt:variant>
        <vt:lpwstr/>
      </vt:variant>
      <vt:variant>
        <vt:i4>5177420</vt:i4>
      </vt:variant>
      <vt:variant>
        <vt:i4>39</vt:i4>
      </vt:variant>
      <vt:variant>
        <vt:i4>0</vt:i4>
      </vt:variant>
      <vt:variant>
        <vt:i4>5</vt:i4>
      </vt:variant>
      <vt:variant>
        <vt:lpwstr>https://www.cnil.fr/fr/securite-des-donnees-les-regles-essentielles-pour-demarrer</vt:lpwstr>
      </vt:variant>
      <vt:variant>
        <vt:lpwstr/>
      </vt:variant>
      <vt:variant>
        <vt:i4>4849761</vt:i4>
      </vt:variant>
      <vt:variant>
        <vt:i4>36</vt:i4>
      </vt:variant>
      <vt:variant>
        <vt:i4>0</vt:i4>
      </vt:variant>
      <vt:variant>
        <vt:i4>5</vt:i4>
      </vt:variant>
      <vt:variant>
        <vt:lpwstr>https://www.cnil.fr/sites/default/files/atoms/files/cnil_guide_securite_personnelle.pdf</vt:lpwstr>
      </vt:variant>
      <vt:variant>
        <vt:lpwstr/>
      </vt:variant>
      <vt:variant>
        <vt:i4>1638463</vt:i4>
      </vt:variant>
      <vt:variant>
        <vt:i4>33</vt:i4>
      </vt:variant>
      <vt:variant>
        <vt:i4>0</vt:i4>
      </vt:variant>
      <vt:variant>
        <vt:i4>5</vt:i4>
      </vt:variant>
      <vt:variant>
        <vt:lpwstr>https://www.cnil.fr/sites/default/files/atoms/files/formulaire_de_demande_labels-gouvernance-re.docx</vt:lpwstr>
      </vt:variant>
      <vt:variant>
        <vt:lpwstr/>
      </vt:variant>
      <vt:variant>
        <vt:i4>2555943</vt:i4>
      </vt:variant>
      <vt:variant>
        <vt:i4>30</vt:i4>
      </vt:variant>
      <vt:variant>
        <vt:i4>0</vt:i4>
      </vt:variant>
      <vt:variant>
        <vt:i4>5</vt:i4>
      </vt:variant>
      <vt:variant>
        <vt:lpwstr>https://www.cnil.fr/fr/preparer-lexercice-des-droits-des-personnes</vt:lpwstr>
      </vt:variant>
      <vt:variant>
        <vt:lpwstr/>
      </vt:variant>
      <vt:variant>
        <vt:i4>1114205</vt:i4>
      </vt:variant>
      <vt:variant>
        <vt:i4>27</vt:i4>
      </vt:variant>
      <vt:variant>
        <vt:i4>0</vt:i4>
      </vt:variant>
      <vt:variant>
        <vt:i4>5</vt:i4>
      </vt:variant>
      <vt:variant>
        <vt:lpwstr>https://www.cnil.fr/fr/informer-les-personnes</vt:lpwstr>
      </vt:variant>
      <vt:variant>
        <vt:lpwstr/>
      </vt:variant>
      <vt:variant>
        <vt:i4>3604512</vt:i4>
      </vt:variant>
      <vt:variant>
        <vt:i4>24</vt:i4>
      </vt:variant>
      <vt:variant>
        <vt:i4>0</vt:i4>
      </vt:variant>
      <vt:variant>
        <vt:i4>5</vt:i4>
      </vt:variant>
      <vt:variant>
        <vt:lpwstr>https://www.cnil.fr/sites/default/files/atoms/files/liste-traitements-aipd-non-requise.pdf</vt:lpwstr>
      </vt:variant>
      <vt:variant>
        <vt:lpwstr/>
      </vt:variant>
      <vt:variant>
        <vt:i4>3604578</vt:i4>
      </vt:variant>
      <vt:variant>
        <vt:i4>21</vt:i4>
      </vt:variant>
      <vt:variant>
        <vt:i4>0</vt:i4>
      </vt:variant>
      <vt:variant>
        <vt:i4>5</vt:i4>
      </vt:variant>
      <vt:variant>
        <vt:lpwstr>https://www.cnil.fr/sites/default/files/atoms/files/liste-traitements-aipd-requise.pdf</vt:lpwstr>
      </vt:variant>
      <vt:variant>
        <vt:lpwstr/>
      </vt:variant>
      <vt:variant>
        <vt:i4>8323139</vt:i4>
      </vt:variant>
      <vt:variant>
        <vt:i4>18</vt:i4>
      </vt:variant>
      <vt:variant>
        <vt:i4>0</vt:i4>
      </vt:variant>
      <vt:variant>
        <vt:i4>5</vt:i4>
      </vt:variant>
      <vt:variant>
        <vt:lpwstr>https://www.cnil.fr/sites/default/files/atoms/files/infographie_aipd.pdf</vt:lpwstr>
      </vt:variant>
      <vt:variant>
        <vt:lpwstr/>
      </vt:variant>
      <vt:variant>
        <vt:i4>2228349</vt:i4>
      </vt:variant>
      <vt:variant>
        <vt:i4>15</vt:i4>
      </vt:variant>
      <vt:variant>
        <vt:i4>0</vt:i4>
      </vt:variant>
      <vt:variant>
        <vt:i4>5</vt:i4>
      </vt:variant>
      <vt:variant>
        <vt:lpwstr>https://www.cnil.fr/sites/default/files/atoms/files/cnil-pia-3-fr-basesdeconnaissances.pdf</vt:lpwstr>
      </vt:variant>
      <vt:variant>
        <vt:lpwstr/>
      </vt:variant>
      <vt:variant>
        <vt:i4>327681</vt:i4>
      </vt:variant>
      <vt:variant>
        <vt:i4>12</vt:i4>
      </vt:variant>
      <vt:variant>
        <vt:i4>0</vt:i4>
      </vt:variant>
      <vt:variant>
        <vt:i4>5</vt:i4>
      </vt:variant>
      <vt:variant>
        <vt:lpwstr>https://www.cnil.fr/fr/outil-pia-telechargez-et-installez-le-logiciel-de-la-cnil</vt:lpwstr>
      </vt:variant>
      <vt:variant>
        <vt:lpwstr/>
      </vt:variant>
      <vt:variant>
        <vt:i4>1966150</vt:i4>
      </vt:variant>
      <vt:variant>
        <vt:i4>9</vt:i4>
      </vt:variant>
      <vt:variant>
        <vt:i4>0</vt:i4>
      </vt:variant>
      <vt:variant>
        <vt:i4>5</vt:i4>
      </vt:variant>
      <vt:variant>
        <vt:lpwstr>https://www.cnil.fr/sites/default/files/atoms/files/cnil-pia-2-fr-modeles.pdf</vt:lpwstr>
      </vt:variant>
      <vt:variant>
        <vt:lpwstr/>
      </vt:variant>
      <vt:variant>
        <vt:i4>1769539</vt:i4>
      </vt:variant>
      <vt:variant>
        <vt:i4>6</vt:i4>
      </vt:variant>
      <vt:variant>
        <vt:i4>0</vt:i4>
      </vt:variant>
      <vt:variant>
        <vt:i4>5</vt:i4>
      </vt:variant>
      <vt:variant>
        <vt:lpwstr>https://www.cnil.fr/sites/default/files/atoms/files/cnil-pia-1-fr-methode.pdf</vt:lpwstr>
      </vt:variant>
      <vt:variant>
        <vt:lpwstr/>
      </vt:variant>
      <vt:variant>
        <vt:i4>5308493</vt:i4>
      </vt:variant>
      <vt:variant>
        <vt:i4>3</vt:i4>
      </vt:variant>
      <vt:variant>
        <vt:i4>0</vt:i4>
      </vt:variant>
      <vt:variant>
        <vt:i4>5</vt:i4>
      </vt:variant>
      <vt:variant>
        <vt:lpwstr>https://www.cnil.fr/fr/les-durees-de-conservation-des-donnees</vt:lpwstr>
      </vt:variant>
      <vt:variant>
        <vt:lpwstr/>
      </vt:variant>
      <vt:variant>
        <vt:i4>6684794</vt:i4>
      </vt:variant>
      <vt:variant>
        <vt:i4>0</vt:i4>
      </vt:variant>
      <vt:variant>
        <vt:i4>0</vt:i4>
      </vt:variant>
      <vt:variant>
        <vt:i4>5</vt:i4>
      </vt:variant>
      <vt:variant>
        <vt:lpwstr>https://www.cnil.fr/fr/minimiser-les-donnees-collectees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richaudeau</dc:creator>
  <cp:keywords/>
  <dc:description/>
  <cp:lastModifiedBy>maxime richaudeau</cp:lastModifiedBy>
  <cp:revision>207</cp:revision>
  <dcterms:created xsi:type="dcterms:W3CDTF">2021-02-05T14:00:00Z</dcterms:created>
  <dcterms:modified xsi:type="dcterms:W3CDTF">2021-02-16T07:37:00Z</dcterms:modified>
</cp:coreProperties>
</file>