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E751" w14:textId="3C06A690" w:rsidR="00433B5C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EFR</w:t>
      </w:r>
      <w:r w:rsidRPr="0045777F">
        <w:rPr>
          <w:rFonts w:asciiTheme="minorHAnsi" w:hAnsiTheme="minorHAnsi"/>
        </w:rPr>
        <w:br/>
        <w:t>Point-in-time ranks of public companies' long-term and short-term profitability and growth potentials from five perspectives.</w:t>
      </w:r>
    </w:p>
    <w:p w14:paraId="1565F7A8" w14:textId="77777777" w:rsidR="006140B7" w:rsidRPr="0045777F" w:rsidRDefault="006140B7" w:rsidP="0045777F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616"/>
        <w:gridCol w:w="682"/>
        <w:gridCol w:w="1047"/>
        <w:gridCol w:w="665"/>
        <w:gridCol w:w="956"/>
      </w:tblGrid>
      <w:tr w:rsidR="0045777F" w:rsidRPr="006140B7" w14:paraId="3130CEB2" w14:textId="77777777" w:rsidTr="0045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9198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2064EA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033B8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0E5C2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BF1A53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405C54D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PRIMARY KEY</w:t>
            </w:r>
          </w:p>
        </w:tc>
      </w:tr>
      <w:tr w:rsidR="0045777F" w:rsidRPr="006140B7" w14:paraId="26B29D4B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5AC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85758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Effective date to which the scores apply</w:t>
            </w:r>
          </w:p>
        </w:tc>
        <w:tc>
          <w:tcPr>
            <w:tcW w:w="0" w:type="auto"/>
            <w:vAlign w:val="center"/>
            <w:hideMark/>
          </w:tcPr>
          <w:p w14:paraId="2DF9E7A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399D7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2016-01-01</w:t>
            </w:r>
          </w:p>
        </w:tc>
        <w:tc>
          <w:tcPr>
            <w:tcW w:w="0" w:type="auto"/>
            <w:vAlign w:val="center"/>
            <w:hideMark/>
          </w:tcPr>
          <w:p w14:paraId="285A618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5C519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6140B7" w14:paraId="6F523C4F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09C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08243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6161B8B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F8AF9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APPLE INC</w:t>
            </w:r>
          </w:p>
        </w:tc>
        <w:tc>
          <w:tcPr>
            <w:tcW w:w="0" w:type="auto"/>
            <w:vAlign w:val="center"/>
            <w:hideMark/>
          </w:tcPr>
          <w:p w14:paraId="6B75A6B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8EF5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DA84688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97E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032FBC9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Company ticker/symbol</w:t>
            </w:r>
          </w:p>
        </w:tc>
        <w:tc>
          <w:tcPr>
            <w:tcW w:w="0" w:type="auto"/>
            <w:vAlign w:val="center"/>
            <w:hideMark/>
          </w:tcPr>
          <w:p w14:paraId="5963315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D67D44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AAPL</w:t>
            </w:r>
          </w:p>
        </w:tc>
        <w:tc>
          <w:tcPr>
            <w:tcW w:w="0" w:type="auto"/>
            <w:vAlign w:val="center"/>
            <w:hideMark/>
          </w:tcPr>
          <w:p w14:paraId="2348AA0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B075E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6140B7" w14:paraId="5B0A9980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B5E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D71B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  <w:r w:rsidRPr="006140B7">
              <w:rPr>
                <w:rFonts w:asciiTheme="minorHAnsi" w:hAnsiTheme="minorHAnsi"/>
                <w:sz w:val="20"/>
                <w:szCs w:val="20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41FD9D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4F5B41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037833100</w:t>
            </w:r>
          </w:p>
        </w:tc>
        <w:tc>
          <w:tcPr>
            <w:tcW w:w="0" w:type="auto"/>
            <w:vAlign w:val="center"/>
            <w:hideMark/>
          </w:tcPr>
          <w:p w14:paraId="010B017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45138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E52E5F1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FB41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C4D1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Earnings Quality Rank (scores of 1 for high risk, 5 for low risk, i.e., lowest risk of encountering surprise)</w:t>
            </w:r>
          </w:p>
        </w:tc>
        <w:tc>
          <w:tcPr>
            <w:tcW w:w="0" w:type="auto"/>
            <w:vAlign w:val="center"/>
            <w:hideMark/>
          </w:tcPr>
          <w:p w14:paraId="1A454AF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F5890C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B7405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B406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2841D7FF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3AA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eqr_expanded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3B67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Earnings Quality Rank (from 1 to 99)</w:t>
            </w:r>
          </w:p>
        </w:tc>
        <w:tc>
          <w:tcPr>
            <w:tcW w:w="0" w:type="auto"/>
            <w:vAlign w:val="center"/>
            <w:hideMark/>
          </w:tcPr>
          <w:p w14:paraId="022B04B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760970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F8ECA6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6A5C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C2FAA9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274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svr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7C03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Strategic Valuation Rank (scores of 1 for overvaluation and elevated risk of share price underperformance, 5 for undervaluation and increased likelihood of share price outperformance)</w:t>
            </w:r>
          </w:p>
        </w:tc>
        <w:tc>
          <w:tcPr>
            <w:tcW w:w="0" w:type="auto"/>
            <w:vAlign w:val="center"/>
            <w:hideMark/>
          </w:tcPr>
          <w:p w14:paraId="5FF697C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229E52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4802D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1185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02E8E3A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DBF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svr_expanded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6514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Strategic Valuation Rank (from 1 to 99)</w:t>
            </w:r>
          </w:p>
        </w:tc>
        <w:tc>
          <w:tcPr>
            <w:tcW w:w="0" w:type="auto"/>
            <w:vAlign w:val="center"/>
            <w:hideMark/>
          </w:tcPr>
          <w:p w14:paraId="45B99DC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CE7054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5C360A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F759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800E05A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0A4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amr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E435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Aggregate Momentum Rank (scores of 1 for poor price momentum and elevated risk of share price underperformance, 5 for strong price momentum and increased likelihood of share price outperformance)</w:t>
            </w:r>
          </w:p>
        </w:tc>
        <w:tc>
          <w:tcPr>
            <w:tcW w:w="0" w:type="auto"/>
            <w:vAlign w:val="center"/>
            <w:hideMark/>
          </w:tcPr>
          <w:p w14:paraId="74EB7DD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9474AE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11DA7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79AF8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5AC69128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BC8BD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amr_expanded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0F80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Aggregate Momentum Rank (from 1 to 99)</w:t>
            </w:r>
          </w:p>
        </w:tc>
        <w:tc>
          <w:tcPr>
            <w:tcW w:w="0" w:type="auto"/>
            <w:vAlign w:val="center"/>
            <w:hideMark/>
          </w:tcPr>
          <w:p w14:paraId="307786D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47DF58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F41E23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0101A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C795879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91F6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sgr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B4975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Strategic Growth Rank (scores of 1 for poor growth prospects and elevated risk of share price underperformance, 5 for strong growth prospects and increased likelihood of share price outperformance)</w:t>
            </w:r>
          </w:p>
        </w:tc>
        <w:tc>
          <w:tcPr>
            <w:tcW w:w="0" w:type="auto"/>
            <w:vAlign w:val="center"/>
            <w:hideMark/>
          </w:tcPr>
          <w:p w14:paraId="139DE51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B6AB086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02C04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61A3B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335103B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EA5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sgr_expanded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27B1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Strategic Growth Rank (from 1 to 99)</w:t>
            </w:r>
          </w:p>
        </w:tc>
        <w:tc>
          <w:tcPr>
            <w:tcW w:w="0" w:type="auto"/>
            <w:vAlign w:val="center"/>
            <w:hideMark/>
          </w:tcPr>
          <w:p w14:paraId="16B875D3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D8CE50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613B6BC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18AA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419CB8BB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04D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gqr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E1D3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 xml:space="preserve">Growth Quality Rank (scores of 1 for poor </w:t>
            </w: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earning</w:t>
            </w:r>
            <w:proofErr w:type="spellEnd"/>
            <w:r w:rsidRPr="006140B7">
              <w:rPr>
                <w:rFonts w:asciiTheme="minorHAnsi" w:hAnsiTheme="minorHAnsi"/>
                <w:sz w:val="20"/>
                <w:szCs w:val="20"/>
              </w:rPr>
              <w:t xml:space="preserve"> growth trends, 10 for strong </w:t>
            </w: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earning</w:t>
            </w:r>
            <w:proofErr w:type="spellEnd"/>
            <w:r w:rsidRPr="006140B7">
              <w:rPr>
                <w:rFonts w:asciiTheme="minorHAnsi" w:hAnsiTheme="minorHAnsi"/>
                <w:sz w:val="20"/>
                <w:szCs w:val="20"/>
              </w:rPr>
              <w:t xml:space="preserve"> growth trends)</w:t>
            </w:r>
          </w:p>
        </w:tc>
        <w:tc>
          <w:tcPr>
            <w:tcW w:w="0" w:type="auto"/>
            <w:vAlign w:val="center"/>
            <w:hideMark/>
          </w:tcPr>
          <w:p w14:paraId="7EA2DB61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8C71EBC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F2EDF0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EC94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6140B7" w14:paraId="6B92FF10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B527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140B7">
              <w:rPr>
                <w:rFonts w:asciiTheme="minorHAnsi" w:hAnsiTheme="minorHAnsi"/>
                <w:sz w:val="20"/>
                <w:szCs w:val="20"/>
              </w:rPr>
              <w:t>gqr_expanded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D5D2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Expanded Growth Quality Rank (from 1 to 99)</w:t>
            </w:r>
          </w:p>
        </w:tc>
        <w:tc>
          <w:tcPr>
            <w:tcW w:w="0" w:type="auto"/>
            <w:vAlign w:val="center"/>
            <w:hideMark/>
          </w:tcPr>
          <w:p w14:paraId="750A8B29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898B5F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6140B7">
              <w:rPr>
                <w:rFonts w:asciiTheme="minorHAnsi" w:hAnsiTheme="minorHAnsi"/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27B48F82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23974" w14:textId="77777777" w:rsidR="006140B7" w:rsidRPr="006140B7" w:rsidRDefault="006140B7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CFDCFA4" w14:textId="77777777" w:rsidR="006140B7" w:rsidRPr="0045777F" w:rsidRDefault="006140B7" w:rsidP="0045777F">
      <w:pPr>
        <w:rPr>
          <w:rFonts w:asciiTheme="minorHAnsi" w:hAnsiTheme="minorHAnsi"/>
        </w:rPr>
      </w:pPr>
    </w:p>
    <w:p w14:paraId="15B722D7" w14:textId="77777777" w:rsidR="006140B7" w:rsidRPr="0045777F" w:rsidRDefault="006140B7" w:rsidP="0045777F">
      <w:pPr>
        <w:rPr>
          <w:rFonts w:asciiTheme="minorHAnsi" w:hAnsiTheme="minorHAnsi"/>
        </w:rPr>
      </w:pPr>
    </w:p>
    <w:p w14:paraId="74DD1846" w14:textId="6DDE163C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EQR</w:t>
      </w:r>
      <w:r w:rsidRPr="0045777F">
        <w:rPr>
          <w:rFonts w:asciiTheme="minorHAnsi" w:hAnsiTheme="minorHAnsi"/>
        </w:rPr>
        <w:br/>
        <w:t>Relative ranking for earnings quality - extent to which current earnings</w:t>
      </w:r>
      <w:r w:rsidR="007174B1">
        <w:rPr>
          <w:rFonts w:asciiTheme="minorHAnsi" w:hAnsiTheme="minorHAnsi"/>
        </w:rPr>
        <w:t xml:space="preserve"> </w:t>
      </w:r>
      <w:r w:rsidRPr="0045777F">
        <w:rPr>
          <w:rFonts w:asciiTheme="minorHAnsi" w:hAnsiTheme="minorHAnsi"/>
        </w:rPr>
        <w:t>predict future earnings “High-quality” earnings are expected to persist, while “low-quality” earnings are not.</w:t>
      </w:r>
    </w:p>
    <w:p w14:paraId="2060E476" w14:textId="77777777" w:rsidR="006140B7" w:rsidRPr="0045777F" w:rsidRDefault="006140B7" w:rsidP="0045777F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800"/>
        <w:gridCol w:w="5795"/>
        <w:gridCol w:w="522"/>
        <w:gridCol w:w="921"/>
      </w:tblGrid>
      <w:tr w:rsidR="0045777F" w:rsidRPr="000550E9" w14:paraId="04468633" w14:textId="77777777" w:rsidTr="0045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57A11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1A89F4A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CF3ADC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5F7C19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592890C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Primary Key</w:t>
            </w:r>
          </w:p>
        </w:tc>
      </w:tr>
      <w:tr w:rsidR="0045777F" w:rsidRPr="000550E9" w14:paraId="17B1DFF4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0196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248DAA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5B991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Effective date to which the scores apply</w:t>
            </w:r>
          </w:p>
        </w:tc>
        <w:tc>
          <w:tcPr>
            <w:tcW w:w="0" w:type="auto"/>
            <w:vAlign w:val="center"/>
            <w:hideMark/>
          </w:tcPr>
          <w:p w14:paraId="320DA5A8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98F9BE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0550E9" w14:paraId="17268FF1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616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1D4B0E2E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36BB90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36A7065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BBAB5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48ADB30C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D06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12835CE1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48EE15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Ticker/Symbol</w:t>
            </w:r>
          </w:p>
        </w:tc>
        <w:tc>
          <w:tcPr>
            <w:tcW w:w="0" w:type="auto"/>
            <w:vAlign w:val="center"/>
            <w:hideMark/>
          </w:tcPr>
          <w:p w14:paraId="0867393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09F94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0550E9" w14:paraId="4EDB7361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B67D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7BF29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66D7B5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Cusip</w:t>
            </w:r>
            <w:proofErr w:type="spellEnd"/>
            <w:r w:rsidRPr="000550E9">
              <w:rPr>
                <w:rFonts w:asciiTheme="minorHAnsi" w:hAnsiTheme="minorHAnsi"/>
                <w:sz w:val="20"/>
                <w:szCs w:val="20"/>
              </w:rPr>
              <w:t xml:space="preserve"> (Note: this field is only available to customers).</w:t>
            </w:r>
          </w:p>
        </w:tc>
        <w:tc>
          <w:tcPr>
            <w:tcW w:w="0" w:type="auto"/>
            <w:vAlign w:val="center"/>
            <w:hideMark/>
          </w:tcPr>
          <w:p w14:paraId="61224ED0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66C08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1AB26AC9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2F79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latest_quarter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809A0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F5622B4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Latest quarter for which data is reported</w:t>
            </w:r>
          </w:p>
        </w:tc>
        <w:tc>
          <w:tcPr>
            <w:tcW w:w="0" w:type="auto"/>
            <w:vAlign w:val="center"/>
            <w:hideMark/>
          </w:tcPr>
          <w:p w14:paraId="567E3C97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74798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2A760316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6F5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eqr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66F83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60BC7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Earnings Quality Rank (1 for high risk to 5 for low risk, i.e., lowest risk of encountering surprise). More details can be found below.</w:t>
            </w:r>
          </w:p>
        </w:tc>
        <w:tc>
          <w:tcPr>
            <w:tcW w:w="0" w:type="auto"/>
            <w:vAlign w:val="center"/>
            <w:hideMark/>
          </w:tcPr>
          <w:p w14:paraId="362A42A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C917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0550E9" w14:paraId="051EBE5E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2FF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0550E9">
              <w:rPr>
                <w:rFonts w:asciiTheme="minorHAnsi" w:hAnsiTheme="minorHAnsi"/>
                <w:sz w:val="20"/>
                <w:szCs w:val="20"/>
              </w:rPr>
              <w:t>eqrexpanded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91F4C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B26BEB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0550E9">
              <w:rPr>
                <w:rFonts w:asciiTheme="minorHAnsi" w:hAnsiTheme="minorHAnsi"/>
                <w:sz w:val="20"/>
                <w:szCs w:val="20"/>
              </w:rPr>
              <w:t>Expanded Earnings Quality Rank (from 1 to 99)</w:t>
            </w:r>
          </w:p>
        </w:tc>
        <w:tc>
          <w:tcPr>
            <w:tcW w:w="0" w:type="auto"/>
            <w:vAlign w:val="center"/>
            <w:hideMark/>
          </w:tcPr>
          <w:p w14:paraId="73E2F0E2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FF820" w14:textId="77777777" w:rsidR="000550E9" w:rsidRPr="000550E9" w:rsidRDefault="000550E9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74A9FB5" w14:textId="77777777" w:rsidR="000550E9" w:rsidRPr="0045777F" w:rsidRDefault="000550E9" w:rsidP="0045777F">
      <w:pPr>
        <w:rPr>
          <w:rFonts w:asciiTheme="minorHAnsi" w:hAnsiTheme="minorHAnsi"/>
        </w:rPr>
      </w:pPr>
    </w:p>
    <w:p w14:paraId="5F699557" w14:textId="77777777" w:rsidR="006140B7" w:rsidRPr="0045777F" w:rsidRDefault="006140B7" w:rsidP="0045777F">
      <w:pPr>
        <w:rPr>
          <w:rFonts w:asciiTheme="minorHAnsi" w:hAnsiTheme="minorHAnsi"/>
        </w:rPr>
      </w:pPr>
    </w:p>
    <w:p w14:paraId="17219DB7" w14:textId="0F6BED87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SKMS</w:t>
      </w:r>
    </w:p>
    <w:p w14:paraId="77B0D902" w14:textId="2B01DB83" w:rsidR="006140B7" w:rsidRPr="0045777F" w:rsidRDefault="006140B7" w:rsidP="0045777F">
      <w:pPr>
        <w:rPr>
          <w:rFonts w:asciiTheme="minorHAnsi" w:hAnsiTheme="minorHAnsi"/>
        </w:rPr>
      </w:pPr>
      <w:r w:rsidRPr="0045777F">
        <w:rPr>
          <w:rFonts w:asciiTheme="minorHAnsi" w:hAnsiTheme="minorHAnsi"/>
        </w:rPr>
        <w:t>Credit and debit card transactions.</w:t>
      </w:r>
    </w:p>
    <w:p w14:paraId="7589042A" w14:textId="77777777" w:rsidR="0045777F" w:rsidRPr="0045777F" w:rsidRDefault="0045777F" w:rsidP="0045777F">
      <w:pPr>
        <w:rPr>
          <w:rFonts w:asciiTheme="minorHAnsi" w:hAnsi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857"/>
        <w:gridCol w:w="5573"/>
        <w:gridCol w:w="522"/>
        <w:gridCol w:w="1082"/>
      </w:tblGrid>
      <w:tr w:rsidR="0045777F" w:rsidRPr="0045777F" w14:paraId="5178D5B8" w14:textId="77777777" w:rsidTr="00457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48D1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835DD2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724902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67A6C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2F75B3A0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Primary Key</w:t>
            </w:r>
          </w:p>
        </w:tc>
      </w:tr>
      <w:tr w:rsidR="0045777F" w:rsidRPr="0045777F" w14:paraId="41326F80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D075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68DF7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518C3A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 of sale</w:t>
            </w:r>
          </w:p>
        </w:tc>
        <w:tc>
          <w:tcPr>
            <w:tcW w:w="0" w:type="auto"/>
            <w:vAlign w:val="center"/>
            <w:hideMark/>
          </w:tcPr>
          <w:p w14:paraId="767D8F8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F7C44C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1A910876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5DD0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74D7C602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D4259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Name of merchant</w:t>
            </w:r>
          </w:p>
        </w:tc>
        <w:tc>
          <w:tcPr>
            <w:tcW w:w="0" w:type="auto"/>
            <w:vAlign w:val="center"/>
            <w:hideMark/>
          </w:tcPr>
          <w:p w14:paraId="29B252FE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26A4E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29C3C76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68D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ticker</w:t>
            </w:r>
          </w:p>
        </w:tc>
        <w:tc>
          <w:tcPr>
            <w:tcW w:w="0" w:type="auto"/>
            <w:vAlign w:val="center"/>
            <w:hideMark/>
          </w:tcPr>
          <w:p w14:paraId="6308CF01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3FA3D7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Ticker associated with company or parent company</w:t>
            </w:r>
          </w:p>
        </w:tc>
        <w:tc>
          <w:tcPr>
            <w:tcW w:w="0" w:type="auto"/>
            <w:vAlign w:val="center"/>
            <w:hideMark/>
          </w:tcPr>
          <w:p w14:paraId="1214F1D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ECFB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45777F" w14:paraId="6C8CA232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49B4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69A95A53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0FB1D7D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Brand Name (if known) in Korean characters</w:t>
            </w:r>
          </w:p>
        </w:tc>
        <w:tc>
          <w:tcPr>
            <w:tcW w:w="0" w:type="auto"/>
            <w:vAlign w:val="center"/>
            <w:hideMark/>
          </w:tcPr>
          <w:p w14:paraId="5CA6F723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3D26F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4B7E3835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4901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65F89A55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D458919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$ US dollar value of transactions</w:t>
            </w:r>
          </w:p>
        </w:tc>
        <w:tc>
          <w:tcPr>
            <w:tcW w:w="0" w:type="auto"/>
            <w:vAlign w:val="center"/>
            <w:hideMark/>
          </w:tcPr>
          <w:p w14:paraId="3FA92BDF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4CECB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5777F" w:rsidRPr="0045777F" w14:paraId="077254E6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29C3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31F5E1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5B2A2FE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Provisional ('P') or Final ('F') estimate of daily 'sales' value</w:t>
            </w:r>
          </w:p>
        </w:tc>
        <w:tc>
          <w:tcPr>
            <w:tcW w:w="0" w:type="auto"/>
            <w:vAlign w:val="center"/>
            <w:hideMark/>
          </w:tcPr>
          <w:p w14:paraId="31238D1E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E97D22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  <w:tr w:rsidR="0045777F" w:rsidRPr="0045777F" w14:paraId="59BBB30E" w14:textId="77777777" w:rsidTr="00457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C356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updated</w:t>
            </w:r>
          </w:p>
        </w:tc>
        <w:tc>
          <w:tcPr>
            <w:tcW w:w="0" w:type="auto"/>
            <w:vAlign w:val="center"/>
            <w:hideMark/>
          </w:tcPr>
          <w:p w14:paraId="6B65948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2FFFA87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Theme="minorHAnsi" w:hAnsiTheme="minorHAnsi"/>
                <w:sz w:val="20"/>
                <w:szCs w:val="20"/>
              </w:rPr>
              <w:t>Datetime each record was processed and uploaded to database (ET)</w:t>
            </w:r>
          </w:p>
        </w:tc>
        <w:tc>
          <w:tcPr>
            <w:tcW w:w="0" w:type="auto"/>
            <w:vAlign w:val="center"/>
            <w:hideMark/>
          </w:tcPr>
          <w:p w14:paraId="213ACDB5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F2693A" w14:textId="77777777" w:rsidR="0045777F" w:rsidRPr="0045777F" w:rsidRDefault="0045777F" w:rsidP="0045777F">
            <w:pPr>
              <w:rPr>
                <w:rFonts w:asciiTheme="minorHAnsi" w:hAnsiTheme="minorHAnsi"/>
                <w:sz w:val="20"/>
                <w:szCs w:val="20"/>
              </w:rPr>
            </w:pPr>
            <w:r w:rsidRPr="0045777F">
              <w:rPr>
                <w:rFonts w:ascii="Apple Color Emoji" w:hAnsi="Apple Color Emoji" w:cs="Apple Color Emoji"/>
                <w:sz w:val="20"/>
                <w:szCs w:val="20"/>
              </w:rPr>
              <w:t>✅</w:t>
            </w:r>
          </w:p>
        </w:tc>
      </w:tr>
    </w:tbl>
    <w:p w14:paraId="39AE5058" w14:textId="77777777" w:rsidR="0045777F" w:rsidRPr="0045777F" w:rsidRDefault="0045777F" w:rsidP="0045777F">
      <w:pPr>
        <w:rPr>
          <w:rFonts w:asciiTheme="minorHAnsi" w:hAnsiTheme="minorHAnsi"/>
        </w:rPr>
      </w:pPr>
    </w:p>
    <w:sectPr w:rsidR="0045777F" w:rsidRPr="0045777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A889E" w14:textId="77777777" w:rsidR="008B3FC8" w:rsidRDefault="008B3FC8" w:rsidP="0045777F">
      <w:r>
        <w:separator/>
      </w:r>
    </w:p>
  </w:endnote>
  <w:endnote w:type="continuationSeparator" w:id="0">
    <w:p w14:paraId="6A2933B2" w14:textId="77777777" w:rsidR="008B3FC8" w:rsidRDefault="008B3FC8" w:rsidP="0045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671F" w14:textId="073DD760" w:rsidR="0045777F" w:rsidRDefault="0045777F">
    <w:pPr>
      <w:pStyle w:val="af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7C2B21" wp14:editId="3E90D5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80390"/>
              <wp:effectExtent l="0" t="0" r="0" b="0"/>
              <wp:wrapNone/>
              <wp:docPr id="2075035913" name="Text Box 2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988187" w14:textId="29ADFBA0" w:rsidR="0045777F" w:rsidRPr="0045777F" w:rsidRDefault="0045777F" w:rsidP="004577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577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C2B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asdaq - Internal Use: Distribution limited to Nasdaq personnel and authorized third parties subject to confidentiality obligations" style="position:absolute;margin-left:0;margin-top:0;width:468pt;height:45.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" filled="f" stroked="f">
              <v:textbox style="mso-fit-shape-to-text:t" inset="0,0,0,15pt">
                <w:txbxContent>
                  <w:p w14:paraId="44988187" w14:textId="29ADFBA0" w:rsidR="0045777F" w:rsidRPr="0045777F" w:rsidRDefault="0045777F" w:rsidP="004577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5777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E6729" w14:textId="33CF92F3" w:rsidR="0045777F" w:rsidRDefault="0045777F">
    <w:pPr>
      <w:pStyle w:val="af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454546" wp14:editId="5E71E09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80390"/>
              <wp:effectExtent l="0" t="0" r="0" b="0"/>
              <wp:wrapNone/>
              <wp:docPr id="886662692" name="Text Box 3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C3A42" w14:textId="1CF3E1A7" w:rsidR="0045777F" w:rsidRPr="0045777F" w:rsidRDefault="0045777F" w:rsidP="004577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577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545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asdaq - Internal Use: Distribution limited to Nasdaq personnel and authorized third parties subject to confidentiality obligations" style="position:absolute;margin-left:0;margin-top:0;width:468pt;height:45.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" filled="f" stroked="f">
              <v:textbox style="mso-fit-shape-to-text:t" inset="0,0,0,15pt">
                <w:txbxContent>
                  <w:p w14:paraId="731C3A42" w14:textId="1CF3E1A7" w:rsidR="0045777F" w:rsidRPr="0045777F" w:rsidRDefault="0045777F" w:rsidP="004577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5777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429F2" w14:textId="01746491" w:rsidR="0045777F" w:rsidRDefault="0045777F">
    <w:pPr>
      <w:pStyle w:val="af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BC61" wp14:editId="6E2D22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80390"/>
              <wp:effectExtent l="0" t="0" r="0" b="0"/>
              <wp:wrapNone/>
              <wp:docPr id="697595948" name="Text Box 1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22AF6" w14:textId="56070365" w:rsidR="0045777F" w:rsidRPr="0045777F" w:rsidRDefault="0045777F" w:rsidP="004577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577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BC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asdaq - Internal Use: Distribution limited to Nasdaq personnel and authorized third parties subject to confidentiality obligations" style="position:absolute;margin-left:0;margin-top:0;width:468pt;height:45.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" filled="f" stroked="f">
              <v:textbox style="mso-fit-shape-to-text:t" inset="0,0,0,15pt">
                <w:txbxContent>
                  <w:p w14:paraId="6A122AF6" w14:textId="56070365" w:rsidR="0045777F" w:rsidRPr="0045777F" w:rsidRDefault="0045777F" w:rsidP="004577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5777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5B22B" w14:textId="77777777" w:rsidR="008B3FC8" w:rsidRDefault="008B3FC8" w:rsidP="0045777F">
      <w:r>
        <w:separator/>
      </w:r>
    </w:p>
  </w:footnote>
  <w:footnote w:type="continuationSeparator" w:id="0">
    <w:p w14:paraId="70CCDDAC" w14:textId="77777777" w:rsidR="008B3FC8" w:rsidRDefault="008B3FC8" w:rsidP="00457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B7"/>
    <w:rsid w:val="000550E9"/>
    <w:rsid w:val="00197C83"/>
    <w:rsid w:val="00433B5C"/>
    <w:rsid w:val="0045777F"/>
    <w:rsid w:val="006140B7"/>
    <w:rsid w:val="007174B1"/>
    <w:rsid w:val="007F268B"/>
    <w:rsid w:val="00801DC4"/>
    <w:rsid w:val="008B3FC8"/>
    <w:rsid w:val="00974CA9"/>
    <w:rsid w:val="00B5517C"/>
    <w:rsid w:val="00C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4D27"/>
  <w15:chartTrackingRefBased/>
  <w15:docId w15:val="{E39F2B9F-76F5-254F-AF6A-9B36DB77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77F"/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0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0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0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0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0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0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0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1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140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140B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140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140B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40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140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1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0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1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40B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140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40B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6140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140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40B7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550E9"/>
    <w:rPr>
      <w:b/>
      <w:bCs/>
    </w:rPr>
  </w:style>
  <w:style w:type="paragraph" w:styleId="af">
    <w:name w:val="footer"/>
    <w:basedOn w:val="a"/>
    <w:link w:val="af0"/>
    <w:uiPriority w:val="99"/>
    <w:unhideWhenUsed/>
    <w:rsid w:val="0045777F"/>
    <w:pPr>
      <w:tabs>
        <w:tab w:val="center" w:pos="4680"/>
        <w:tab w:val="right" w:pos="9360"/>
      </w:tabs>
    </w:pPr>
  </w:style>
  <w:style w:type="character" w:customStyle="1" w:styleId="af0">
    <w:name w:val="页脚 字符"/>
    <w:basedOn w:val="a0"/>
    <w:link w:val="af"/>
    <w:uiPriority w:val="99"/>
    <w:rsid w:val="0045777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63fdbc-9223-49ac-a12c-b8ae101f8b2d}" enabled="1" method="Standard" siteId="{d0b75e95-684a-45e3-8d2d-53fa2a6a513f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Rosenfeld</dc:creator>
  <cp:keywords/>
  <dc:description/>
  <cp:lastModifiedBy>Sierra Gong</cp:lastModifiedBy>
  <cp:revision>5</cp:revision>
  <cp:lastPrinted>2025-03-13T02:55:00Z</cp:lastPrinted>
  <dcterms:created xsi:type="dcterms:W3CDTF">2025-03-13T02:55:00Z</dcterms:created>
  <dcterms:modified xsi:type="dcterms:W3CDTF">2025-03-13T03:39:00Z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2994782c,7bae8909,34d96624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Nasdaq - Internal Use: Distribution limited to Nasdaq personnel and authorized third parties subject to confidentiality obligations</vt:lpwstr>
  </property>
</Properties>
</file>