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svg" ContentType="image/svg+xml"/>
  <Override PartName="/word/media/rId71.svg" ContentType="image/svg+xml"/>
  <Override PartName="/word/media/rId78.svg" ContentType="image/svg+xml"/>
  <Override PartName="/word/media/rId84.svg" ContentType="image/svg+xml"/>
  <Override PartName="/word/media/rId89.svg" ContentType="image/svg+xml"/>
  <Override PartName="/word/media/rId25.svg" ContentType="image/svg+xml"/>
  <Override PartName="/word/media/rId31.svg" ContentType="image/svg+xml"/>
  <Override PartName="/word/media/rId36.svg" ContentType="image/svg+xml"/>
  <Override PartName="/word/media/rId43.svg" ContentType="image/svg+xml"/>
  <Override PartName="/word/media/rId47.svg" ContentType="image/svg+xml"/>
  <Override PartName="/word/media/rId51.svg" ContentType="image/svg+xml"/>
  <Override PartName="/word/media/rId60.svg" ContentType="image/svg+xml"/>
  <Override PartName="/word/media/rId6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biased effect estimates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predictors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1000 observations from each data generating model (Fig. S1, first column) and estimated effects using ACE (500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figure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(1000 observations). Effects of the ML models were inferred using average conditional effects. Row a) shows results for simulations with uncorrelated predictors with the true effect sizes.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predictor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predictors in the first model would absorb the effect of the weaker second predictor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figure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development of the total effect within a linear booster model (Fig. S2a), we found indeed that the first members of the ensemble absorb the effect of the collinear effect (effect of X</w:t>
      </w:r>
      <w:r>
        <w:rPr>
          <w:vertAlign w:val="subscript"/>
        </w:rPr>
        <w:t xml:space="preserve">1</w:t>
      </w:r>
      <w:r>
        <w:t xml:space="preserve"> </w:t>
      </w:r>
      <w:r>
        <w:t xml:space="preserve">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41" w:name="proof-of-concept---additional-results"/>
    <w:p>
      <w:pPr>
        <w:pStyle w:val="Heading2"/>
      </w:pPr>
      <w:r>
        <w:t xml:space="preserve">2 Proof of concept - Additional results</w:t>
      </w:r>
    </w:p>
    <w:bookmarkStart w:id="35" w:name="addtional-scenarios"/>
    <w:p>
      <w:pPr>
        <w:pStyle w:val="Heading3"/>
      </w:pPr>
      <w:r>
        <w:t xml:space="preserve">2.1 Addtional scenarios</w:t>
      </w:r>
    </w:p>
    <w:p>
      <w:pPr>
        <w:pStyle w:val="FirstParagraph"/>
      </w:pPr>
      <w:r>
        <w:t xml:space="preserve">To better understand the ability of ML algorithms in learning unbiased effects, we tested additional scenarios (Fig. S3, first column).</w:t>
      </w:r>
    </w:p>
    <w:tbl>
      <w:tblPr>
        <w:tblStyle w:val="Table"/>
        <w:tblW w:type="pct" w:w="5000"/>
        <w:tblLook w:firstRow="0" w:lastRow="0" w:firstColumn="0" w:lastColumn="0" w:noHBand="0" w:noVBand="0" w:val="0000"/>
      </w:tblPr>
      <w:tblGrid>
        <w:gridCol w:w="7920"/>
      </w:tblGrid>
      <w:tr>
        <w:tc>
          <w:tcPr/>
          <w:bookmarkStart w:id="34" w:name="fig-Fig_S3"/>
          <w:p>
            <w:pPr>
              <w:pStyle w:val="Figure"/>
              <w:jc w:val="center"/>
            </w:pPr>
            <w:r>
              <w:drawing>
                <wp:inline>
                  <wp:extent cx="5943600" cy="5200650"/>
                  <wp:effectExtent b="0" l="0" r="0" t="0"/>
                  <wp:docPr descr="" title="" id="32" name="Picture"/>
                  <a:graphic>
                    <a:graphicData uri="http://schemas.openxmlformats.org/drawingml/2006/picture">
                      <pic:pic>
                        <pic:nvPicPr>
                          <pic:cNvPr descr="figures/fig-Fig_S3-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520065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trhee different simulated causal simulations (a, b, and c). Sample sizes are so large that stochastic effects can be excluded (1000 observations). Effects of the ML models were inferred using average conditional effects. Row a)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 Row b)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and row c)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w:t>
            </w:r>
          </w:p>
          <w:bookmarkEnd w:id="34"/>
        </w:tc>
      </w:tr>
    </w:tbl>
    <w:p>
      <w:pPr>
        <w:pStyle w:val="BodyText"/>
      </w:pPr>
      <w:r>
        <w:t xml:space="preserve">We found that NN cannot separate extreme collinear effects as the OLS (Fig. S3a) which, however, may improve with additional observations.</w:t>
      </w:r>
    </w:p>
    <w:bookmarkEnd w:id="35"/>
    <w:bookmarkStart w:id="40" w:name="additonal-models"/>
    <w:p>
      <w:pPr>
        <w:pStyle w:val="Heading3"/>
      </w:pPr>
      <w:r>
        <w:t xml:space="preserve">2.2 Additonal models</w:t>
      </w:r>
    </w:p>
    <w:p>
      <w:pPr>
        <w:pStyle w:val="FirstParagraph"/>
      </w:pPr>
      <w:r>
        <w:t xml:space="preserve">To understand the different effects of regularization in NN (dropout), LASSO regression, and Ridge regression, we tested these models on our theoretical scenarios (Fig. S4, first column).</w:t>
      </w:r>
    </w:p>
    <w:tbl>
      <w:tblPr>
        <w:tblStyle w:val="Table"/>
        <w:tblW w:type="pct" w:w="5000"/>
        <w:tblLook w:firstRow="0" w:lastRow="0" w:firstColumn="0" w:lastColumn="0" w:noHBand="0" w:noVBand="0" w:val="0000"/>
      </w:tblPr>
      <w:tblGrid>
        <w:gridCol w:w="7920"/>
      </w:tblGrid>
      <w:tr>
        <w:tc>
          <w:tcPr/>
          <w:bookmarkStart w:id="39" w:name="fig-Fig_S4"/>
          <w:p>
            <w:pPr>
              <w:pStyle w:val="Figure"/>
              <w:jc w:val="center"/>
            </w:pPr>
            <w:r>
              <w:drawing>
                <wp:inline>
                  <wp:extent cx="5943600" cy="7564581"/>
                  <wp:effectExtent b="0" l="0" r="0" t="0"/>
                  <wp:docPr descr="" title="" id="37" name="Picture"/>
                  <a:graphic>
                    <a:graphicData uri="http://schemas.openxmlformats.org/drawingml/2006/picture">
                      <pic:pic>
                        <pic:nvPicPr>
                          <pic:cNvPr descr="figures/fig-Fig_S4-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756458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9"/>
        </w:tc>
      </w:tr>
    </w:tbl>
    <w:p>
      <w:pPr>
        <w:pStyle w:val="BodyText"/>
      </w:pPr>
      <w:r>
        <w:t xml:space="preserve">Dropout has an negative effect on the ability to separate collinear effects in NN (Fig. S4) while also LASSO and Ridge (as expected) affect negatively the ability to separate collinear effects (Fig. S4).</w:t>
      </w:r>
    </w:p>
    <w:bookmarkEnd w:id="40"/>
    <w:bookmarkEnd w:id="41"/>
    <w:bookmarkStart w:id="59"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predictors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Predictors were sampled from a multivariate normal distribution and all predictors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2"/>
    <w:bookmarkStart w:id="55" w:name="results-hyperparameter-tuning"/>
    <w:p>
      <w:pPr>
        <w:pStyle w:val="Heading3"/>
      </w:pPr>
      <w:r>
        <w:t xml:space="preserve">3.1 Results hyperparameter tuning</w:t>
      </w:r>
    </w:p>
    <w:p>
      <w:pPr>
        <w:pStyle w:val="FirstParagraph"/>
      </w:pPr>
      <w:r>
        <w:t xml:space="preserve">As described in the main text, we analyzed the effects of the hyperparameters on the different errors using GAMs and variable importance of random forest (Fig. S5, S6, S7).</w:t>
      </w:r>
    </w:p>
    <w:tbl>
      <w:tblPr>
        <w:tblStyle w:val="Table"/>
        <w:tblW w:type="pct" w:w="5000"/>
        <w:tblLook w:firstRow="0" w:lastRow="0" w:firstColumn="0" w:lastColumn="0" w:noHBand="0" w:noVBand="0" w:val="0000"/>
      </w:tblPr>
      <w:tblGrid>
        <w:gridCol w:w="7920"/>
      </w:tblGrid>
      <w:tr>
        <w:tc>
          <w:tcPr/>
          <w:bookmarkStart w:id="46" w:name="fig-Fig_S5"/>
          <w:p>
            <w:pPr>
              <w:pStyle w:val="Figure"/>
              <w:jc w:val="center"/>
            </w:pPr>
            <w:r>
              <w:drawing>
                <wp:inline>
                  <wp:extent cx="5943600" cy="6604000"/>
                  <wp:effectExtent b="0" l="0" r="0" t="0"/>
                  <wp:docPr descr="" title="" id="44" name="Picture"/>
                  <a:graphic>
                    <a:graphicData uri="http://schemas.openxmlformats.org/drawingml/2006/picture">
                      <pic:pic>
                        <pic:nvPicPr>
                          <pic:cNvPr descr="figures/fig-Fig_S5-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4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0" w:name="fig-Fig_S6"/>
          <w:p>
            <w:pPr>
              <w:pStyle w:val="Figure"/>
              <w:jc w:val="center"/>
            </w:pPr>
            <w:r>
              <w:drawing>
                <wp:inline>
                  <wp:extent cx="5943600" cy="6604000"/>
                  <wp:effectExtent b="0" l="0" r="0" t="0"/>
                  <wp:docPr descr="" title="" id="48" name="Picture"/>
                  <a:graphic>
                    <a:graphicData uri="http://schemas.openxmlformats.org/drawingml/2006/picture">
                      <pic:pic>
                        <pic:nvPicPr>
                          <pic:cNvPr descr="figures/fig-Fig_S6-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0"/>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4" w:name="fig-Fig_S7"/>
          <w:p>
            <w:pPr>
              <w:pStyle w:val="Figure"/>
              <w:jc w:val="center"/>
            </w:pPr>
            <w:r>
              <w:drawing>
                <wp:inline>
                  <wp:extent cx="5943600" cy="6604000"/>
                  <wp:effectExtent b="0" l="0" r="0" t="0"/>
                  <wp:docPr descr="" title="" id="52" name="Picture"/>
                  <a:graphic>
                    <a:graphicData uri="http://schemas.openxmlformats.org/drawingml/2006/picture">
                      <pic:pic>
                        <pic:nvPicPr>
                          <pic:cNvPr descr="figures/fig-Fig_S7-1.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Results of hyperparameter tuning for Neural Networks (NN), Boosted Regression Trees (BRT), Random Forests (RF), and Elastic Net (EN) for 2000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4"/>
        </w:tc>
      </w:tr>
    </w:tbl>
    <w:bookmarkEnd w:id="55"/>
    <w:bookmarkStart w:id="58"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predictors, and then using the set of hyperparameters that predicted the lowest MSE.</w:t>
      </w:r>
    </w:p>
    <w:bookmarkStart w:id="56"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pct" w:w="5000"/>
        <w:tblLook w:firstRow="1" w:lastRow="0" w:firstColumn="0" w:lastColumn="0" w:noHBand="0" w:noVBand="0" w:val="0020"/>
        <w:tblCaption w:val="Table S 2: Best predicted set of hyperparameterfor ML algorithms (tuned after MSE of predictions)"/>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c>
          <w:tcPr/>
          <w:p>
            <w:pPr>
              <w:pStyle w:val="Compact"/>
              <w:jc w:val="left"/>
            </w:pPr>
            <w:r>
              <w:t xml:space="preserve">0.147</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c>
          <w:tcPr/>
          <w:p>
            <w:pPr>
              <w:pStyle w:val="Compact"/>
              <w:jc w:val="left"/>
            </w:pPr>
            <w:r>
              <w:t xml:space="preserve">0.57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c>
          <w:tcPr/>
          <w:p>
            <w:pPr>
              <w:pStyle w:val="Compact"/>
              <w:jc w:val="left"/>
            </w:pPr>
            <w:r>
              <w:t xml:space="preserve">4.556</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c>
          <w:tcPr/>
          <w:p>
            <w:pPr>
              <w:pStyle w:val="Compact"/>
              <w:jc w:val="left"/>
            </w:pPr>
            <w:r>
              <w:t xml:space="preserve">114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c>
          <w:tcPr/>
          <w:p>
            <w:pPr>
              <w:pStyle w:val="Compact"/>
              <w:jc w:val="left"/>
            </w:pPr>
            <w:r>
              <w:t xml:space="preserve">0.603</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c>
          <w:tcPr/>
          <w:p>
            <w:pPr>
              <w:pStyle w:val="Compact"/>
              <w:jc w:val="left"/>
            </w:pPr>
            <w:r>
              <w:t xml:space="preserve">6</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c>
          <w:tcPr/>
          <w:p>
            <w:pPr>
              <w:pStyle w:val="Compact"/>
              <w:jc w:val="left"/>
            </w:pPr>
            <w:r>
              <w:t xml:space="preserve">30</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c>
          <w:tcPr/>
          <w:p>
            <w:pPr>
              <w:pStyle w:val="Compact"/>
              <w:jc w:val="left"/>
            </w:pPr>
            <w:r>
              <w:t xml:space="preserve">0.615</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0.006</w:t>
            </w:r>
          </w:p>
        </w:tc>
      </w:tr>
    </w:tbl>
    <w:bookmarkEnd w:id="56"/>
    <w:p>
      <w:pPr>
        <w:pStyle w:val="BodyText"/>
      </w:pPr>
      <w:r>
        <w:t xml:space="preserve"> </w:t>
      </w:r>
    </w:p>
    <w:bookmarkStart w:id="57"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pct" w:w="5000"/>
        <w:tblLook w:firstRow="1" w:lastRow="0" w:firstColumn="0" w:lastColumn="0" w:noHBand="0" w:noVBand="0" w:val="0020"/>
        <w:tblCaption w:val="Table S 3: Best predicted set of hyperparameterfor ML algorithms (tuned after MSE of effect X1)"/>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c>
          <w:tcPr/>
          <w:p>
            <w:pPr>
              <w:pStyle w:val="Compact"/>
              <w:jc w:val="left"/>
            </w:pPr>
            <w:r>
              <w:t xml:space="preserve">0.175</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c>
          <w:tcPr/>
          <w:p>
            <w:pPr>
              <w:pStyle w:val="Compact"/>
              <w:jc w:val="left"/>
            </w:pPr>
            <w:r>
              <w:t xml:space="preserve">39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c>
          <w:tcPr/>
          <w:p>
            <w:pPr>
              <w:pStyle w:val="Compact"/>
              <w:jc w:val="left"/>
            </w:pPr>
            <w:r>
              <w:t xml:space="preserve">0.498</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c>
          <w:tcPr/>
          <w:p>
            <w:pPr>
              <w:pStyle w:val="Compact"/>
              <w:jc w:val="left"/>
            </w:pPr>
            <w:r>
              <w:t xml:space="preserve">0.006</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c>
          <w:tcPr/>
          <w:p>
            <w:pPr>
              <w:pStyle w:val="Compact"/>
              <w:jc w:val="left"/>
            </w:pPr>
            <w:r>
              <w:t xml:space="preserve">0.952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c>
          <w:tcPr/>
          <w:p>
            <w:pPr>
              <w:pStyle w:val="Compact"/>
              <w:jc w:val="left"/>
            </w:pPr>
            <w:r>
              <w:t xml:space="preserve">12</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c>
          <w:tcPr/>
          <w:p>
            <w:pPr>
              <w:pStyle w:val="Compact"/>
              <w:jc w:val="left"/>
            </w:pPr>
            <w:r>
              <w:t xml:space="preserve">36</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c>
          <w:tcPr/>
          <w:p>
            <w:pPr>
              <w:pStyle w:val="Compact"/>
              <w:jc w:val="left"/>
            </w:pPr>
            <w:r>
              <w:t xml:space="preserve">0.566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c>
          <w:tcPr/>
          <w:p>
            <w:pPr>
              <w:pStyle w:val="Compact"/>
              <w:jc w:val="left"/>
            </w:pPr>
            <w:r>
              <w:t xml:space="preserve">0.009</w:t>
            </w:r>
          </w:p>
        </w:tc>
      </w:tr>
    </w:tbl>
    <w:bookmarkEnd w:id="57"/>
    <w:bookmarkEnd w:id="58"/>
    <w:bookmarkEnd w:id="59"/>
    <w:bookmarkStart w:id="65" w:name="X99ff52a26cd851f7848a7f10e518fb98614b256"/>
    <w:p>
      <w:pPr>
        <w:pStyle w:val="Heading2"/>
      </w:pPr>
      <w:r>
        <w:t xml:space="preserve">4 Additional results for data-poor scenarios</w:t>
      </w:r>
    </w:p>
    <w:bookmarkStart w:id="64" w:name="prediction-error-of-scenarios"/>
    <w:p>
      <w:pPr>
        <w:pStyle w:val="Heading3"/>
      </w:pPr>
      <w:r>
        <w:t xml:space="preserve">4.1 Prediction error of scenarios</w:t>
      </w:r>
    </w:p>
    <w:p>
      <w:pPr>
        <w:pStyle w:val="FirstParagraph"/>
      </w:pPr>
      <w:r>
        <w:t xml:space="preserve">Fig. S8 shows the MSE of the predictions on the holdouts for the different ML algorithms and different number of observations of the data-poor scenarios (see main text).</w:t>
      </w:r>
    </w:p>
    <w:tbl>
      <w:tblPr>
        <w:tblStyle w:val="Table"/>
        <w:tblW w:type="pct" w:w="5000"/>
        <w:tblLook w:firstRow="0" w:lastRow="0" w:firstColumn="0" w:lastColumn="0" w:noHBand="0" w:noVBand="0" w:val="0000"/>
      </w:tblPr>
      <w:tblGrid>
        <w:gridCol w:w="7920"/>
      </w:tblGrid>
      <w:tr>
        <w:tc>
          <w:tcPr/>
          <w:bookmarkStart w:id="63" w:name="fig-Fig_S8"/>
          <w:p>
            <w:pPr>
              <w:pStyle w:val="Figure"/>
              <w:jc w:val="center"/>
            </w:pPr>
            <w:r>
              <w:drawing>
                <wp:inline>
                  <wp:extent cx="5943600" cy="5094514"/>
                  <wp:effectExtent b="0" l="0" r="0" t="0"/>
                  <wp:docPr descr="" title="" id="61" name="Picture"/>
                  <a:graphic>
                    <a:graphicData uri="http://schemas.openxmlformats.org/drawingml/2006/picture">
                      <pic:pic>
                        <pic:nvPicPr>
                          <pic:cNvPr descr="figures/fig-Fig_S8-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Prediction error (mean square error, MSE) of data poor simulations with optimal hyperparameters either tuned after the best MSE of the effect size (red) or the best MSE of the prediction error (blue).</w:t>
            </w:r>
          </w:p>
          <w:bookmarkEnd w:id="63"/>
        </w:tc>
      </w:tr>
    </w:tbl>
    <w:bookmarkEnd w:id="64"/>
    <w:bookmarkEnd w:id="65"/>
    <w:bookmarkStart w:id="76" w:name="data-poor-scenarios-without-collinearity"/>
    <w:p>
      <w:pPr>
        <w:pStyle w:val="Heading2"/>
      </w:pPr>
      <w:r>
        <w:t xml:space="preserve">5 Data-poor scenarios without collinearity</w:t>
      </w:r>
    </w:p>
    <w:bookmarkStart w:id="70" w:name="bias-and-variance-of-effects"/>
    <w:p>
      <w:pPr>
        <w:pStyle w:val="Heading3"/>
      </w:pPr>
      <w:r>
        <w:t xml:space="preserve">5.1 Bias and variance of effects</w:t>
      </w:r>
    </w:p>
    <w:p>
      <w:pPr>
        <w:pStyle w:val="FirstParagraph"/>
      </w:pPr>
      <w:r>
        <w:t xml:space="preserve">To assess the effect of collinearity on the data-poor simulations, we repeated the scenarios but without collinearity.</w:t>
      </w:r>
      <w:r>
        <w:t xml:space="preserve"> </w:t>
      </w:r>
      <m:oMath>
        <m:r>
          <m:t>Σ</m:t>
        </m:r>
      </m:oMath>
      <w:r>
        <w:t xml:space="preserve"> </w:t>
      </w:r>
      <w:r>
        <w:t xml:space="preserve">which was used in the sampling process of the predictor matrix (multivariate normal distribution) was set to the identity matrix. While it is not ideal, we used the best hyperparameters (Table S3, Table S4) which were tuned for the collinear scenarios, for these scenarios</w:t>
      </w:r>
    </w:p>
    <w:tbl>
      <w:tblPr>
        <w:tblStyle w:val="Table"/>
        <w:tblW w:type="pct" w:w="5000"/>
        <w:tblLook w:firstRow="0" w:lastRow="0" w:firstColumn="0" w:lastColumn="0" w:noHBand="0" w:noVBand="0" w:val="0000"/>
      </w:tblPr>
      <w:tblGrid>
        <w:gridCol w:w="7920"/>
      </w:tblGrid>
      <w:tr>
        <w:tc>
          <w:tcPr/>
          <w:bookmarkStart w:id="69" w:name="fig-Fig_S9"/>
          <w:p>
            <w:pPr>
              <w:pStyle w:val="Figure"/>
              <w:jc w:val="center"/>
            </w:pPr>
            <w:r>
              <w:drawing>
                <wp:inline>
                  <wp:extent cx="5943600" cy="4160520"/>
                  <wp:effectExtent b="0" l="0" r="0" t="0"/>
                  <wp:docPr descr="" title="" id="67" name="Picture"/>
                  <a:graphic>
                    <a:graphicData uri="http://schemas.openxmlformats.org/drawingml/2006/picture">
                      <pic:pic>
                        <pic:nvPicPr>
                          <pic:cNvPr descr="figures/fig-Fig_S9-1.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Bias and variance of estimated effects in data-poor situations. N = 50, 100, and 600 observations of 100 uncorrelated predictors were simulated. True effects in the data generating model were</w:t>
            </w:r>
            <w:r>
              <w:t xml:space="preserve"> </w:t>
            </w:r>
            <m:oMath>
              <m:sSub>
                <m:e>
                  <m:r>
                    <m:t>β</m:t>
                  </m:r>
                </m:e>
                <m:sub>
                  <m:r>
                    <m:t>1</m:t>
                  </m:r>
                </m:sub>
              </m:sSub>
            </m:oMath>
            <w:r>
              <w:t xml:space="preserve">=1.0,</w:t>
            </w:r>
            <w:r>
              <w:t xml:space="preserve"> </w:t>
            </w:r>
            <m:oMath>
              <m:sSub>
                <m:e>
                  <m:r>
                    <m:t>β</m:t>
                  </m:r>
                </m:e>
                <m:sub>
                  <m:r>
                    <m:t>2</m:t>
                  </m:r>
                </m:sub>
              </m:sSub>
            </m:oMath>
            <w:r>
              <w:t xml:space="preserve">=0.0, and the other 98 effects were equally spaced between 0 and 1. Models were fitted to the simulated data (1000 replicates) with the optimal hyperparameters (except for LM, which doesn’t have hyperparameters). Hyperparameters were selected based on the minimum MSE of (</w:t>
            </w:r>
            <m:oMath>
              <m:sSub>
                <m:e>
                  <m:acc>
                    <m:accPr>
                      <m:chr m:val="̂"/>
                    </m:accPr>
                    <m:e>
                      <m:r>
                        <m:t>β</m:t>
                      </m:r>
                    </m:e>
                  </m:acc>
                </m:e>
                <m:sub>
                  <m:r>
                    <m:t>1</m:t>
                  </m:r>
                </m:sub>
              </m:sSub>
            </m:oMath>
            <w:r>
              <w:t xml:space="preserve">) (green) or the prediction error (based on</w:t>
            </w:r>
            <w:r>
              <w:t xml:space="preserve"> </w:t>
            </w:r>
            <m:oMath>
              <m:acc>
                <m:accPr>
                  <m:chr m:val="̂"/>
                </m:accPr>
                <m:e>
                  <m:r>
                    <m:t>y</m:t>
                  </m:r>
                </m:e>
              </m:acc>
            </m:oMath>
            <w:r>
              <w:t xml:space="preserve"> </w:t>
            </w:r>
            <w:r>
              <w:t xml:space="preserve">) (red). Bias and variance were calculated for</w:t>
            </w:r>
            <w:r>
              <w:t xml:space="preserve"> </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2</m:t>
                  </m:r>
                </m:sub>
              </m:sSub>
            </m:oMath>
            <w:r>
              <w:t xml:space="preserve">. Effects</w:t>
            </w:r>
            <w:r>
              <w:t xml:space="preserve"> </w:t>
            </w:r>
            <m:oMath>
              <m:sSub>
                <m:e>
                  <m:acc>
                    <m:accPr>
                      <m:chr m:val="̂"/>
                    </m:accPr>
                    <m:e>
                      <m:r>
                        <m:t>β</m:t>
                      </m:r>
                    </m:e>
                  </m:acc>
                </m:e>
                <m:sub>
                  <m:r>
                    <m:t>i</m:t>
                  </m:r>
                </m:sub>
              </m:sSub>
            </m:oMath>
            <w:r>
              <w:t xml:space="preserve"> </w:t>
            </w:r>
            <w:r>
              <w:t xml:space="preserve">for</w:t>
            </w:r>
            <w:r>
              <w:t xml:space="preserve"> </w:t>
            </w:r>
            <m:oMath>
              <m:r>
                <m:t>i</m:t>
              </m:r>
              <m:r>
                <m:rPr>
                  <m:sty m:val="p"/>
                </m:rPr>
                <m:t>=</m:t>
              </m:r>
              <m:r>
                <m:t>1</m:t>
              </m:r>
              <m:r>
                <m:rPr>
                  <m:sty m:val="p"/>
                </m:rPr>
                <m:t>,</m:t>
              </m:r>
              <m:r>
                <m:rPr>
                  <m:sty m:val="p"/>
                </m:rPr>
                <m:t>…</m:t>
              </m:r>
              <m:r>
                <m:rPr>
                  <m:sty m:val="p"/>
                </m:rPr>
                <m:t>,</m:t>
              </m:r>
              <m:r>
                <m:t>100</m:t>
              </m:r>
            </m:oMath>
            <w:r>
              <w:t xml:space="preserve">) were approximated using ACE.</w:t>
            </w:r>
          </w:p>
          <w:bookmarkEnd w:id="69"/>
        </w:tc>
      </w:tr>
    </w:tbl>
    <w:p>
      <w:pPr>
        <w:pStyle w:val="BodyText"/>
      </w:pPr>
      <w:r>
        <w:t xml:space="preserve">We found similar results as for data-poor scenarios with collinearity (Fig. S9). NN and elastic-net show the lowest errors and strongest increase in those errors with increasing number of observations (Fig. S9).</w:t>
      </w:r>
    </w:p>
    <w:bookmarkEnd w:id="70"/>
    <w:bookmarkStart w:id="75" w:name="prediction-error-of-scenarios-1"/>
    <w:p>
      <w:pPr>
        <w:pStyle w:val="Heading3"/>
      </w:pPr>
      <w:r>
        <w:t xml:space="preserve">5.2 Prediction error of scenarios</w:t>
      </w:r>
    </w:p>
    <w:p>
      <w:pPr>
        <w:pStyle w:val="FirstParagraph"/>
      </w:pPr>
      <w:r>
        <w:t xml:space="preserve">Fig. S10 shows the prediction errors for the ML algorithms for the data-poor simulations without collinearity. We found similar results as for the data-poor simulations with collinearity.</w:t>
      </w:r>
    </w:p>
    <w:tbl>
      <w:tblPr>
        <w:tblStyle w:val="Table"/>
        <w:tblW w:type="pct" w:w="5000"/>
        <w:tblLook w:firstRow="0" w:lastRow="0" w:firstColumn="0" w:lastColumn="0" w:noHBand="0" w:noVBand="0" w:val="0000"/>
      </w:tblPr>
      <w:tblGrid>
        <w:gridCol w:w="7920"/>
      </w:tblGrid>
      <w:tr>
        <w:tc>
          <w:tcPr/>
          <w:bookmarkStart w:id="74" w:name="fig-Fig_S10"/>
          <w:p>
            <w:pPr>
              <w:pStyle w:val="Figure"/>
              <w:jc w:val="center"/>
            </w:pPr>
            <w:r>
              <w:drawing>
                <wp:inline>
                  <wp:extent cx="5943600" cy="5094514"/>
                  <wp:effectExtent b="0" l="0" r="0" t="0"/>
                  <wp:docPr descr="" title="" id="72" name="Picture"/>
                  <a:graphic>
                    <a:graphicData uri="http://schemas.openxmlformats.org/drawingml/2006/picture">
                      <pic:pic>
                        <pic:nvPicPr>
                          <pic:cNvPr descr="figures/fig-Fig_S10-1.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Prediction error (mean square error, MSE) of data poor simulations with optimal hyperparameters either tuned after the best MSE of the effect size (red) or the best MSE of the prediction error (blue).</w:t>
            </w:r>
          </w:p>
          <w:bookmarkEnd w:id="74"/>
        </w:tc>
      </w:tr>
    </w:tbl>
    <w:bookmarkEnd w:id="75"/>
    <w:bookmarkEnd w:id="76"/>
    <w:bookmarkStart w:id="83" w:name="X3eaf4e0db668836eb1d18972347fe1923fe60c0"/>
    <w:p>
      <w:pPr>
        <w:pStyle w:val="Heading2"/>
      </w:pPr>
      <w:r>
        <w:t xml:space="preserve">6 Proof of concept - Inferring interactions</w:t>
      </w:r>
    </w:p>
    <w:bookmarkStart w:id="77" w:name="extending-ace-to-two-way-interactions"/>
    <w:p>
      <w:pPr>
        <w:pStyle w:val="Heading3"/>
      </w:pPr>
      <w:r>
        <w:t xml:space="preserve">6.1 Extending ACE to two-way interactions</w:t>
      </w:r>
    </w:p>
    <w:p>
      <w:pPr>
        <w:pStyle w:val="FirstParagraph"/>
      </w:pPr>
      <w:r>
        <w:t xml:space="preserve">ACE can be extended to $n$-dimensions to detect</w:t>
      </w:r>
      <w:r>
        <w:t xml:space="preserve"> </w:t>
      </w:r>
      <m:oMath>
        <m:r>
          <m:t>n</m:t>
        </m:r>
      </m:oMath>
      <w:r>
        <w:t xml:space="preserve"> </w:t>
      </w:r>
      <w:r>
        <w:t xml:space="preserve">way predictor interactions. Here, we extended ACEs to two dimensions to detect two-way predictor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predictors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A</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predictors are centered and standardized.</w:t>
      </w:r>
    </w:p>
    <w:bookmarkEnd w:id="77"/>
    <w:bookmarkStart w:id="82" w:name="X3ffb19b471059fa6992c5d7fa4e7d07915ac9aa"/>
    <w:p>
      <w:pPr>
        <w:pStyle w:val="Heading3"/>
      </w:pPr>
      <w:r>
        <w:t xml:space="preserve">6.2 Proof of concept simulations for inferring interactions</w:t>
      </w:r>
    </w:p>
    <w:p>
      <w:pPr>
        <w:pStyle w:val="FirstParagraph"/>
      </w:pPr>
      <w:r>
        <w:t xml:space="preserve">To test the ability of ML algorithms to identify predictor-predictor interactions, we repeated the proof-of-concept simulations, but with an interaction between X</w:t>
      </w:r>
      <w:r>
        <w:rPr>
          <w:vertAlign w:val="subscript"/>
        </w:rPr>
        <w:t xml:space="preserve">1</w:t>
      </w:r>
      <w:r>
        <w:t xml:space="preserve"> </w:t>
      </w:r>
      <w:r>
        <w:t xml:space="preserve">and X</w:t>
      </w:r>
      <w:r>
        <w:rPr>
          <w:vertAlign w:val="subscript"/>
        </w:rPr>
        <w:t xml:space="preserve">2</w:t>
      </w:r>
      <w:r>
        <w:t xml:space="preserve">. The data generation model was</w:t>
      </w:r>
      <w:r>
        <w:t xml:space="preserve"> </w:t>
      </w:r>
      <m:oMath>
        <m:r>
          <m:t>Y</m:t>
        </m:r>
        <m:r>
          <m:rPr>
            <m:sty m:val="p"/>
          </m:rPr>
          <m:t>∼</m:t>
        </m:r>
        <m:r>
          <m:t>1.0</m:t>
        </m:r>
        <m:r>
          <m:rPr>
            <m:sty m:val="p"/>
          </m:rPr>
          <m:t>⋅</m:t>
        </m:r>
        <m:sSub>
          <m:e>
            <m:r>
              <m:t>X</m:t>
            </m:r>
          </m:e>
          <m:sub>
            <m:r>
              <m:t>1</m:t>
            </m:r>
          </m:sub>
        </m:sSub>
        <m:r>
          <m:rPr>
            <m:sty m:val="p"/>
          </m:rPr>
          <m:t>+</m:t>
        </m:r>
        <m:r>
          <m:t>1.0</m:t>
        </m:r>
        <m:r>
          <m:rPr>
            <m:sty m:val="p"/>
          </m:rPr>
          <m:t>⋅</m:t>
        </m:r>
        <m:sSub>
          <m:e>
            <m:r>
              <m:t>X</m:t>
            </m:r>
          </m:e>
          <m:sub>
            <m:r>
              <m:t>5</m:t>
            </m:r>
          </m:sub>
        </m:sSub>
        <m:r>
          <m:rPr>
            <m:sty m:val="p"/>
          </m:rPr>
          <m:t>+</m:t>
        </m:r>
        <m:r>
          <m:t>1.0</m:t>
        </m:r>
        <m:r>
          <m:rPr>
            <m:sty m:val="p"/>
          </m:rPr>
          <m:t>⋅</m:t>
        </m:r>
        <m:d>
          <m:dPr>
            <m:begChr m:val="("/>
            <m:endChr m:val=")"/>
            <m:sepChr m:val=""/>
            <m:grow/>
          </m:dPr>
          <m:e>
            <m:sSub>
              <m:e>
                <m:r>
                  <m:t>X</m:t>
                </m:r>
              </m:e>
              <m:sub>
                <m:r>
                  <m:t>1</m:t>
                </m:r>
              </m:sub>
            </m:sSub>
            <m:r>
              <m:rPr>
                <m:sty m:val="p"/>
              </m:rPr>
              <m:t>⋅</m:t>
            </m:r>
            <m:sSub>
              <m:e>
                <m:r>
                  <m:t>X</m:t>
                </m:r>
              </m:e>
              <m:sub>
                <m:r>
                  <m:t>2</m:t>
                </m:r>
              </m:sub>
            </m:sSub>
          </m:e>
        </m:d>
        <m:r>
          <m:rPr>
            <m:sty m:val="p"/>
          </m:rPr>
          <m:t>+</m:t>
        </m:r>
        <m:r>
          <m:t>ϵ</m:t>
        </m:r>
      </m:oMath>
      <w:r>
        <w:t xml:space="preserve"> </w:t>
      </w:r>
      <w:r>
        <w:t xml:space="preserve">with $</w:t>
      </w:r>
      <w:r>
        <w:t xml:space="preserve">N(0, 1.0) $. We simulated two scenarios, in the first (</w:t>
      </w:r>
      <w:r>
        <w:t xml:space="preserve">“</w:t>
      </w:r>
      <w:r>
        <w:t xml:space="preserve">collinear</w:t>
      </w:r>
      <w:r>
        <w:t xml:space="preserve">”</w:t>
      </w:r>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in the second without collinearity between the predictors.</w:t>
      </w:r>
    </w:p>
    <w:p>
      <w:pPr>
        <w:pStyle w:val="BodyText"/>
      </w:pPr>
      <w:r>
        <w:t xml:space="preserve">We sampled 1000 and 5000 observations from each scenario. The ML algorithms (RF, BRT, NN, and NN with dropout) were fit to the data without predictor engineering the predictor interactions (because ML algorithms are known to be able to infer interactions automatically), while the regression algorithms (LM, l1, l2, and elastic-net) received all combinatorially possible predictor interactions as possible predictors. All effects were inferred using ACE. The bias was calculated for the interaction X</w:t>
      </w:r>
      <w:r>
        <w:rPr>
          <w:vertAlign w:val="subscript"/>
        </w:rPr>
        <w:t xml:space="preserve">1</w:t>
      </w:r>
      <w:r>
        <w:t xml:space="preserve">:X</w:t>
      </w:r>
      <w:r>
        <w:rPr>
          <w:vertAlign w:val="subscript"/>
        </w:rPr>
        <w:t xml:space="preserve">2</w:t>
      </w:r>
      <w:r>
        <w:t xml:space="preserve">.</w:t>
      </w:r>
    </w:p>
    <w:tbl>
      <w:tblPr>
        <w:tblStyle w:val="Table"/>
        <w:tblW w:type="pct" w:w="5000"/>
        <w:tblLook w:firstRow="0" w:lastRow="0" w:firstColumn="0" w:lastColumn="0" w:noHBand="0" w:noVBand="0" w:val="0000"/>
      </w:tblPr>
      <w:tblGrid>
        <w:gridCol w:w="7920"/>
      </w:tblGrid>
      <w:tr>
        <w:tc>
          <w:tcPr/>
          <w:bookmarkStart w:id="81" w:name="fig-Fig_S11"/>
          <w:p>
            <w:pPr>
              <w:pStyle w:val="Figure"/>
              <w:jc w:val="center"/>
            </w:pPr>
            <w:r>
              <w:drawing>
                <wp:inline>
                  <wp:extent cx="5943600" cy="3343275"/>
                  <wp:effectExtent b="0" l="0" r="0" t="0"/>
                  <wp:docPr descr="" title="" id="79" name="Picture"/>
                  <a:graphic>
                    <a:graphicData uri="http://schemas.openxmlformats.org/drawingml/2006/picture">
                      <pic:pic>
                        <pic:nvPicPr>
                          <pic:cNvPr descr="figures/fig-Fig_S11-1.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11: Bias of proof of concept simulations in inferring two-way interactions between predictors. First panel shows results for simulations (200 repititions) for 1000 and 5000 observations with collinear predictors (Pearson correlation factor = 0.9 between X</w:t>
            </w:r>
            <w:r>
              <w:rPr>
                <w:vertAlign w:val="subscript"/>
              </w:rPr>
              <w:t xml:space="preserve">1</w:t>
            </w:r>
            <w:r>
              <w:t xml:space="preserve"> </w:t>
            </w:r>
            <w:r>
              <w:t xml:space="preserve">and X</w:t>
            </w:r>
            <w:r>
              <w:rPr>
                <w:vertAlign w:val="subscript"/>
              </w:rPr>
              <w:t xml:space="preserve">2</w:t>
            </w:r>
            <w:r>
              <w:t xml:space="preserve">). Second panel shows results for simulations (200 repititions) for 1000 and 5000 observations with without collinear. Red bars correspond to 1000 observations and blue bars to 5000 observations.</w:t>
            </w:r>
          </w:p>
          <w:bookmarkEnd w:id="81"/>
        </w:tc>
      </w:tr>
    </w:tbl>
    <w:p>
      <w:pPr>
        <w:pStyle w:val="BodyText"/>
      </w:pPr>
      <w:r>
        <w:t xml:space="preserve">We found that for the ML algorithms (RF, BRT, and NN) NN showed the lowest for all scenarios (Fig. S11). Also collinearity increased the bias for the ML algorithms. No collinearity or more observations decreased the bias (Fig. S11). The regression models, LM, LASSO and Ridge regression, and elastic-net showed the lowest and in case of LM, no bias. However, we want to note here that the regression models received all possible predictor-predictor interactions as predictors while the ML algorithms had to infer the interactions on their own. Whit this in mind, the performance of the NN is surprising well, even competing with the penalized regression models. On the other hand, NN with dropout showed larger biases than BRT (Fig. S11).</w:t>
      </w:r>
    </w:p>
    <w:bookmarkEnd w:id="82"/>
    <w:bookmarkEnd w:id="83"/>
    <w:bookmarkStart w:id="88" w:name="weighted-ace"/>
    <w:p>
      <w:pPr>
        <w:pStyle w:val="Heading2"/>
      </w:pPr>
      <w:r>
        <w:t xml:space="preserve">7 Weighted ACE</w:t>
      </w:r>
    </w:p>
    <w:p>
      <w:pPr>
        <w:pStyle w:val="FirstParagraph"/>
      </w:pPr>
      <w:r>
        <w:t xml:space="preserve">If the instances of a predictor x_j are not uniformly distributed, we propose to calculate a weighted</w:t>
      </w:r>
      <w:r>
        <w:t xml:space="preserve"> </w:t>
      </w:r>
      <m:oMath>
        <m:r>
          <m:t>w</m:t>
        </m:r>
        <m:r>
          <m:t>A</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A</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predictor space of</w:t>
      </w:r>
      <w:r>
        <w:t xml:space="preserve"> </w:t>
      </w:r>
      <m:oMath>
        <m:sSub>
          <m:e>
            <m:r>
              <m:t>x</m:t>
            </m:r>
          </m:e>
          <m:sub>
            <m:r>
              <m:t>k</m:t>
            </m:r>
          </m:sub>
        </m:sSub>
      </m:oMath>
      <w:r>
        <w:t xml:space="preserve">.</w:t>
      </w:r>
    </w:p>
    <w:p>
      <w:pPr>
        <w:pStyle w:val="BodyText"/>
      </w:pPr>
      <w:r>
        <w:t xml:space="preserve">To demonstrate the idea of weighted ACE, we simulated a scenario with one predictor where the</w:t>
      </w:r>
      <w:r>
        <w:t xml:space="preserve"> </w:t>
      </w:r>
      <m:oMath>
        <m:sSub>
          <m:e>
            <m:r>
              <m:t>β</m:t>
            </m:r>
          </m:e>
          <m:sub>
            <m:r>
              <m:t>1</m:t>
            </m:r>
          </m:sub>
        </m:sSub>
        <m:r>
          <m:rPr>
            <m:sty m:val="p"/>
          </m:rPr>
          <m:t>=</m:t>
        </m:r>
        <m:r>
          <m:t>2</m:t>
        </m:r>
      </m:oMath>
      <w:r>
        <w:t xml:space="preserve"> </w:t>
      </w:r>
      <w:r>
        <w:t xml:space="preserve">for values of the predictor</w:t>
      </w:r>
      <w:r>
        <w:t xml:space="preserve"> </w:t>
      </w:r>
      <m:oMath>
        <m:r>
          <m:rPr>
            <m:sty m:val="p"/>
          </m:rPr>
          <m:t>&lt;</m:t>
        </m:r>
        <m:r>
          <m:t>2</m:t>
        </m:r>
      </m:oMath>
      <w:r>
        <w:t xml:space="preserve"> </w:t>
      </w:r>
      <w:r>
        <w:t xml:space="preserve">and for the other predictor values</w:t>
      </w:r>
      <w:r>
        <w:t xml:space="preserve"> </w:t>
      </w:r>
      <m:oMath>
        <m:sSub>
          <m:e>
            <m:r>
              <m:t>β</m:t>
            </m:r>
          </m:e>
          <m:sub>
            <m:r>
              <m:t>1</m:t>
            </m:r>
          </m:sub>
        </m:sSub>
        <m:r>
          <m:rPr>
            <m:sty m:val="p"/>
          </m:rPr>
          <m:t>=</m:t>
        </m:r>
        <m:r>
          <m:t>0</m:t>
        </m:r>
      </m:oMath>
      <w:r>
        <w:t xml:space="preserve"> </w:t>
      </w:r>
      <w:r>
        <w:t xml:space="preserve">(Fig. S4). The predictor was sampled from a log-Normal distribution. We fitted a linear regression model and a NN on the data and compared the effect estimated by the LM, the unweighted ACE, and the weighted ACE.</w:t>
      </w:r>
    </w:p>
    <w:p>
      <w:pPr>
        <w:pStyle w:val="BodyText"/>
      </w:pPr>
      <w:r>
        <w:t xml:space="preserve">The LM estimated an effect of 1.48, the unweighted ACE was 1.95, and the weighted ACE was 1.48 (Fig. S16).</w:t>
      </w:r>
    </w:p>
    <w:tbl>
      <w:tblPr>
        <w:tblStyle w:val="Table"/>
        <w:tblW w:type="pct" w:w="5000"/>
        <w:tblLook w:firstRow="0" w:lastRow="0" w:firstColumn="0" w:lastColumn="0" w:noHBand="0" w:noVBand="0" w:val="0000"/>
      </w:tblPr>
      <w:tblGrid>
        <w:gridCol w:w="7920"/>
      </w:tblGrid>
      <w:tr>
        <w:tc>
          <w:tcPr/>
          <w:bookmarkStart w:id="87" w:name="fig-Fig_S12"/>
          <w:p>
            <w:pPr>
              <w:pStyle w:val="Figure"/>
              <w:jc w:val="center"/>
            </w:pPr>
            <w:r>
              <w:drawing>
                <wp:inline>
                  <wp:extent cx="5943600" cy="5094514"/>
                  <wp:effectExtent b="0" l="0" r="0" t="0"/>
                  <wp:docPr descr="" title="" id="85" name="Picture"/>
                  <a:graphic>
                    <a:graphicData uri="http://schemas.openxmlformats.org/drawingml/2006/picture">
                      <pic:pic>
                        <pic:nvPicPr>
                          <pic:cNvPr descr="figures/fig-Fig_S12-1.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12: Simulation example with non-uniform sampled predictor X1 (log normal distributed). The red line is the effect estimated by a LM OLS. The blue line is the effect reported by an unweighted ACE from a NN. The green line is the effect reported by a weighted ACE from a NN.</w:t>
            </w:r>
          </w:p>
          <w:bookmarkEnd w:id="87"/>
        </w:tc>
      </w:tr>
    </w:tbl>
    <w:bookmarkEnd w:id="88"/>
    <w:bookmarkStart w:id="93" w:name="learning-in-neural-networks"/>
    <w:p>
      <w:pPr>
        <w:pStyle w:val="Heading2"/>
      </w:pPr>
      <w:r>
        <w:t xml:space="preserve">8 Learning in neural networks</w:t>
      </w:r>
    </w:p>
    <w:p>
      <w:pPr>
        <w:pStyle w:val="FirstParagraph"/>
      </w:pPr>
      <w:r>
        <w:t xml:space="preserve">To understand the internal learning of neural networks, we trained neural networks of two different sizes (3 layers of 50 units and 3 layers of 500 units) on a simple collinear scenario (</w:t>
      </w:r>
      <m:oMath>
        <m:r>
          <m:t>Y</m:t>
        </m:r>
        <m:r>
          <m:rPr>
            <m:sty m:val="p"/>
          </m:rPr>
          <m:t>∼</m:t>
        </m:r>
        <m:r>
          <m:t>1</m:t>
        </m:r>
        <m:r>
          <m:rPr>
            <m:sty m:val="p"/>
          </m:rPr>
          <m:t>.</m:t>
        </m:r>
        <m:r>
          <m:t>0</m:t>
        </m:r>
        <m:r>
          <m:rPr>
            <m:sty m:val="p"/>
          </m:rPr>
          <m:t>⋅</m:t>
        </m:r>
        <m:sSub>
          <m:e>
            <m:r>
              <m:t>X</m:t>
            </m:r>
          </m:e>
          <m:sub>
            <m:r>
              <m:t>1</m:t>
            </m:r>
          </m:sub>
        </m:sSub>
        <m:r>
          <m:rPr>
            <m:sty m:val="p"/>
          </m:rPr>
          <m:t>+</m:t>
        </m:r>
        <m:r>
          <m:t>0.0</m:t>
        </m:r>
        <m:r>
          <m:rPr>
            <m:sty m:val="p"/>
          </m:rPr>
          <m:t>⋅</m:t>
        </m:r>
        <m:sSub>
          <m:e>
            <m:r>
              <m:t>X</m:t>
            </m:r>
          </m:e>
          <m:sub>
            <m:r>
              <m:t>2</m:t>
            </m:r>
          </m:sub>
        </m:sSub>
        <m:r>
          <m:rPr>
            <m:sty m:val="p"/>
          </m:rPr>
          <m:t>+</m:t>
        </m:r>
        <m:r>
          <m:t>ϵ</m:t>
        </m:r>
        <m:r>
          <m:rPr>
            <m:sty m:val="p"/>
          </m:rPr>
          <m:t>,</m:t>
        </m:r>
        <m:r>
          <m:t>ϵ</m:t>
        </m:r>
        <m:r>
          <m:rPr>
            <m:sty m:val="p"/>
          </m:rPr>
          <m:t>∼</m:t>
        </m:r>
        <m:r>
          <m:t>N</m:t>
        </m:r>
        <m:d>
          <m:dPr>
            <m:begChr m:val="("/>
            <m:endChr m:val=")"/>
            <m:sepChr m:val=""/>
            <m:grow/>
          </m:dPr>
          <m:e>
            <m:r>
              <m:t>0</m:t>
            </m:r>
            <m:r>
              <m:rPr>
                <m:sty m:val="p"/>
              </m:rPr>
              <m:t>,</m:t>
            </m:r>
            <m:r>
              <m:t>0.3</m:t>
            </m:r>
          </m:e>
        </m:d>
      </m:oMath>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calculated the ACE after each batch optimization step.</w:t>
      </w:r>
    </w:p>
    <w:p>
      <w:pPr>
        <w:pStyle w:val="BodyText"/>
      </w:pPr>
      <w:r>
        <w:t xml:space="preserve">We found that the estimates of the botch effect were initially estimated to be around 0 (Fig. S12 A, B), probably due to the initialization of the neural networks, which resembles a shrinkage behavior (weights have to be moved away from 0 step by step in the gradient descent). After this initialization phase, both estimates are within the expected negative log-likelihood surface of OLS (Fig. S12C) and are estimated over the training period to the correct estimates (X</w:t>
      </w:r>
      <w:r>
        <w:rPr>
          <w:vertAlign w:val="subscript"/>
        </w:rPr>
        <w:t xml:space="preserve">1</w:t>
      </w:r>
      <w:r>
        <w:t xml:space="preserve"> </w:t>
      </w:r>
      <w:r>
        <w:t xml:space="preserve">= 1.0 and X</w:t>
      </w:r>
      <w:r>
        <w:rPr>
          <w:vertAlign w:val="subscript"/>
        </w:rPr>
        <w:t xml:space="preserve">2</w:t>
      </w:r>
      <w:r>
        <w:t xml:space="preserve"> </w:t>
      </w:r>
      <w:r>
        <w:t xml:space="preserve">= 0.0).</w:t>
      </w:r>
    </w:p>
    <w:tbl>
      <w:tblPr>
        <w:tblStyle w:val="Table"/>
        <w:tblW w:type="pct" w:w="5000"/>
        <w:tblLook w:firstRow="0" w:lastRow="0" w:firstColumn="0" w:lastColumn="0" w:noHBand="0" w:noVBand="0" w:val="0000"/>
      </w:tblPr>
      <w:tblGrid>
        <w:gridCol w:w="7920"/>
      </w:tblGrid>
      <w:tr>
        <w:tc>
          <w:tcPr/>
          <w:bookmarkStart w:id="92" w:name="fig-Fig_S13"/>
          <w:p>
            <w:pPr>
              <w:pStyle w:val="Figure"/>
              <w:jc w:val="center"/>
            </w:pPr>
            <w:r>
              <w:drawing>
                <wp:inline>
                  <wp:extent cx="5943600" cy="5349240"/>
                  <wp:effectExtent b="0" l="0" r="0" t="0"/>
                  <wp:docPr descr="" title="" id="90" name="Picture"/>
                  <a:graphic>
                    <a:graphicData uri="http://schemas.openxmlformats.org/drawingml/2006/picture">
                      <pic:pic>
                        <pic:nvPicPr>
                          <pic:cNvPr descr="figures/fig-Fig_S13-1.svg"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943600" cy="53492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13: Learning neural networks. Neural networks were trained on simulated data (1000 observations) with 5 predictors, X</w:t>
            </w:r>
            <w:r>
              <w:rPr>
                <w:vertAlign w:val="subscript"/>
              </w:rPr>
              <w:t xml:space="preserve">1</w:t>
            </w:r>
            <w:r>
              <w:t xml:space="preserve"> </w:t>
            </w:r>
            <w:r>
              <w:t xml:space="preserve">has a linear effect on Y, and X</w:t>
            </w:r>
            <w:r>
              <w:rPr>
                <w:vertAlign w:val="subscript"/>
              </w:rPr>
              <w:t xml:space="preserve">2</w:t>
            </w:r>
            <w:r>
              <w:t xml:space="preserve"> </w:t>
            </w:r>
            <w:r>
              <w:t xml:space="preserve">is collinear with X</w:t>
            </w:r>
            <w:r>
              <w:rPr>
                <w:vertAlign w:val="subscript"/>
              </w:rPr>
              <w:t xml:space="preserve">1</w:t>
            </w:r>
            <w:r>
              <w:t xml:space="preserve"> </w:t>
            </w:r>
            <w:r>
              <w:t xml:space="preserve">(Pearson correlation factor = 0.9). The ACE was computed after each optimization step (i.e., after each batch in stochastic gradient descent) (20 repetitions). Panels A and B show the evolution of the effects for X</w:t>
            </w:r>
            <w:r>
              <w:rPr>
                <w:vertAlign w:val="subscript"/>
              </w:rPr>
              <w:t xml:space="preserve">1</w:t>
            </w:r>
            <w:r>
              <w:t xml:space="preserve"> </w:t>
            </w:r>
            <w:r>
              <w:t xml:space="preserve">and X</w:t>
            </w:r>
            <w:r>
              <w:rPr>
                <w:vertAlign w:val="subscript"/>
              </w:rPr>
              <w:t xml:space="preserve">2</w:t>
            </w:r>
            <w:r>
              <w:t xml:space="preserve"> </w:t>
            </w:r>
            <w:r>
              <w:t xml:space="preserve">(true effects: X</w:t>
            </w:r>
            <w:r>
              <w:rPr>
                <w:vertAlign w:val="subscript"/>
              </w:rPr>
              <w:t xml:space="preserve">1</w:t>
            </w:r>
            <w:r>
              <w:t xml:space="preserve"> </w:t>
            </w:r>
            <w:r>
              <w:t xml:space="preserve">= 1.0 and X</w:t>
            </w:r>
            <w:r>
              <w:rPr>
                <w:vertAlign w:val="subscript"/>
              </w:rPr>
              <w:t xml:space="preserve">2</w:t>
            </w:r>
            <w:r>
              <w:t xml:space="preserve"> </w:t>
            </w:r>
            <w:r>
              <w:t xml:space="preserve">= 0.0). Panel A shows the results for a neural network with 50 units in each of the 3 hidden layers, while Panel B shows the results for a neural network with 500 units in each of the 3 hidden layers. Panel C shows the negative log likelihood surface for the corresponding OLS.</w:t>
            </w:r>
          </w:p>
          <w:bookmarkEnd w:id="92"/>
        </w:tc>
      </w:tr>
    </w:tbl>
    <w:bookmarkEnd w:id="93"/>
    <w:bookmarkStart w:id="96" w:name="references"/>
    <w:p>
      <w:pPr>
        <w:pStyle w:val="Heading2"/>
      </w:pPr>
      <w:r>
        <w:t xml:space="preserve">9 References</w:t>
      </w:r>
    </w:p>
    <w:bookmarkStart w:id="95" w:name="refs"/>
    <w:bookmarkStart w:id="94"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94"/>
    <w:bookmarkEnd w:id="95"/>
    <w:bookmarkEnd w:id="96"/>
    <w:sectPr w:rsidR="00832AA4" w:rsidSect="00DE2DF2">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798295"/>
      <w:docPartObj>
        <w:docPartGallery w:val="Page Numbers (Bottom of Page)"/>
        <w:docPartUnique/>
      </w:docPartObj>
    </w:sdtPr>
    <w:sdtContent>
      <w:p w14:paraId="5621DF35" w14:textId="6E3DA2D6"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C0B15" w14:textId="77777777" w:rsidR="00704B7E" w:rsidRDefault="00704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6246"/>
      <w:docPartObj>
        <w:docPartGallery w:val="Page Numbers (Bottom of Page)"/>
        <w:docPartUnique/>
      </w:docPartObj>
    </w:sdtPr>
    <w:sdtContent>
      <w:p w14:paraId="29AD8EB0" w14:textId="728ED79E"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0A062" w14:textId="77777777" w:rsidR="00704B7E" w:rsidRDefault="00704B7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C871C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06492D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AA529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31EBF5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2FE360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72A90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F085BE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EA07B8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F625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AEC9D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4B7E"/>
    <w:pPr>
      <w:spacing w:line="360" w:lineRule="auto"/>
      <w:jc w:val="both"/>
    </w:pPr>
    <w:rPr>
      <w:rFonts w:ascii="Arial" w:hAnsi="Arial"/>
    </w:rPr>
  </w:style>
  <w:style w:styleId="Heading1" w:type="paragraph">
    <w:name w:val="heading 1"/>
    <w:basedOn w:val="Normal"/>
    <w:next w:val="BodyText"/>
    <w:uiPriority w:val="9"/>
    <w:qFormat/>
    <w:rsid w:val="00704B7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704B7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704B7E"/>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4B7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rsid w:val="00704B7E"/>
    <w:pPr>
      <w:keepNext/>
      <w:keepLines/>
      <w:spacing w:after="0" w:before="200"/>
      <w:jc w:val="left"/>
      <w:outlineLvl w:val="4"/>
    </w:pPr>
    <w:rPr>
      <w:rFonts w:cstheme="majorBidi" w:eastAsiaTheme="majorEastAsia"/>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704B7E"/>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styleId="EndnoteReference" w:type="character">
    <w:name w:val="endnote reference"/>
    <w:basedOn w:val="DefaultParagraphFont"/>
    <w:semiHidden/>
    <w:unhideWhenUsed/>
    <w:rsid w:val="00704B7E"/>
    <w:rPr>
      <w:vertAlign w:val="superscript"/>
    </w:rPr>
  </w:style>
  <w:style w:styleId="TOAHeading" w:type="paragraph">
    <w:name w:val="toa heading"/>
    <w:basedOn w:val="Normal"/>
    <w:next w:val="Normal"/>
    <w:unhideWhenUsed/>
    <w:rsid w:val="00704B7E"/>
    <w:pPr>
      <w:spacing w:before="120"/>
    </w:pPr>
    <w:rPr>
      <w:rFonts w:asciiTheme="majorHAnsi" w:cstheme="majorBidi" w:eastAsiaTheme="majorEastAsia" w:hAnsiTheme="majorHAnsi"/>
      <w:b/>
      <w:bCs/>
    </w:rPr>
  </w:style>
  <w:style w:styleId="Header" w:type="paragraph">
    <w:name w:val="header"/>
    <w:basedOn w:val="Normal"/>
    <w:link w:val="HeaderChar"/>
    <w:unhideWhenUsed/>
    <w:rsid w:val="00704B7E"/>
    <w:pPr>
      <w:tabs>
        <w:tab w:pos="4513" w:val="center"/>
        <w:tab w:pos="9026" w:val="right"/>
      </w:tabs>
      <w:spacing w:after="0" w:line="240" w:lineRule="auto"/>
    </w:pPr>
  </w:style>
  <w:style w:customStyle="1" w:styleId="HeaderChar" w:type="character">
    <w:name w:val="Header Char"/>
    <w:basedOn w:val="DefaultParagraphFont"/>
    <w:link w:val="Header"/>
    <w:rsid w:val="00704B7E"/>
    <w:rPr>
      <w:rFonts w:ascii="Arial" w:hAnsi="Arial"/>
    </w:rPr>
  </w:style>
  <w:style w:styleId="Footer" w:type="paragraph">
    <w:name w:val="footer"/>
    <w:basedOn w:val="Normal"/>
    <w:link w:val="FooterChar"/>
    <w:unhideWhenUsed/>
    <w:rsid w:val="00704B7E"/>
    <w:pPr>
      <w:tabs>
        <w:tab w:pos="4513" w:val="center"/>
        <w:tab w:pos="9026" w:val="right"/>
      </w:tabs>
      <w:spacing w:after="0" w:line="240" w:lineRule="auto"/>
    </w:pPr>
  </w:style>
  <w:style w:customStyle="1" w:styleId="FooterChar" w:type="character">
    <w:name w:val="Footer Char"/>
    <w:basedOn w:val="DefaultParagraphFont"/>
    <w:link w:val="Footer"/>
    <w:rsid w:val="00704B7E"/>
    <w:rPr>
      <w:rFonts w:ascii="Arial" w:hAnsi="Arial"/>
    </w:rPr>
  </w:style>
  <w:style w:styleId="PageNumber" w:type="character">
    <w:name w:val="page number"/>
    <w:basedOn w:val="DefaultParagraphFont"/>
    <w:semiHidden/>
    <w:unhideWhenUsed/>
    <w:rsid w:val="00704B7E"/>
  </w:style>
  <w:style w:styleId="LineNumber" w:type="character">
    <w:name w:val="line number"/>
    <w:basedOn w:val="DefaultParagraphFont"/>
    <w:semiHidden/>
    <w:unhideWhenUsed/>
    <w:rsid w:val="00DE2DF2"/>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svg" /><Relationship Type="http://schemas.openxmlformats.org/officeDocument/2006/relationships/image" Id="rId71" Target="media/rId71.svg" /><Relationship Type="http://schemas.openxmlformats.org/officeDocument/2006/relationships/image" Id="rId78" Target="media/rId78.svg" /><Relationship Type="http://schemas.openxmlformats.org/officeDocument/2006/relationships/image" Id="rId84" Target="media/rId84.svg" /><Relationship Type="http://schemas.openxmlformats.org/officeDocument/2006/relationships/image" Id="rId89" Target="media/rId89.svg" /><Relationship Type="http://schemas.openxmlformats.org/officeDocument/2006/relationships/image" Id="rId25" Target="media/rId25.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1" Target="media/rId51.svg" /><Relationship Type="http://schemas.openxmlformats.org/officeDocument/2006/relationships/image" Id="rId60" Target="media/rId60.svg" /><Relationship Type="http://schemas.openxmlformats.org/officeDocument/2006/relationships/image" Id="rId66" Target="media/rId66.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2023-02-24T10:16:25Z</dcterms:created>
  <dcterms:modified xsi:type="dcterms:W3CDTF">2023-02-24T10:16:25Z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