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svg" ContentType="image/svg+xml"/>
  <Override PartName="/word/media/rId71.svg" ContentType="image/svg+xml"/>
  <Override PartName="/word/media/rId78.svg" ContentType="image/svg+xml"/>
  <Override PartName="/word/media/rId84.svg" ContentType="image/svg+xml"/>
  <Override PartName="/word/media/rId89.svg" ContentType="image/svg+xml"/>
  <Override PartName="/word/media/rId25.svg" ContentType="image/svg+xml"/>
  <Override PartName="/word/media/rId31.svg" ContentType="image/svg+xml"/>
  <Override PartName="/word/media/rId36.svg" ContentType="image/svg+xml"/>
  <Override PartName="/word/media/rId43.svg" ContentType="image/svg+xml"/>
  <Override PartName="/word/media/rId47.svg" ContentType="image/svg+xml"/>
  <Override PartName="/word/media/rId51.svg" ContentType="image/svg+xml"/>
  <Override PartName="/word/media/rId60.svg" ContentType="image/svg+xml"/>
  <Override PartName="/word/media/rId6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Appendix</w:t>
      </w:r>
      <w:r>
        <w:t xml:space="preserve"> </w:t>
      </w:r>
      <w:r>
        <w:t xml:space="preserve">for</w:t>
      </w:r>
      <w:r>
        <w:t xml:space="preserve"> </w:t>
      </w:r>
      <w:r>
        <w:t xml:space="preserve">Pichler</w:t>
      </w:r>
      <w:r>
        <w:t xml:space="preserve"> </w:t>
      </w:r>
      <w:r>
        <w:t xml:space="preserve">&amp;</w:t>
      </w:r>
      <w:r>
        <w:t xml:space="preserve"> </w:t>
      </w:r>
      <w:r>
        <w:t xml:space="preserve">Hartig</w:t>
      </w:r>
      <w:r>
        <w:t xml:space="preserve"> </w:t>
      </w:r>
      <w:r>
        <w:t xml:space="preserve">–</w:t>
      </w:r>
      <w:r>
        <w:t xml:space="preserve"> </w:t>
      </w:r>
      <w:r>
        <w:t xml:space="preserve">Can</w:t>
      </w:r>
      <w:r>
        <w:t xml:space="preserve"> </w:t>
      </w:r>
      <w:r>
        <w:t xml:space="preserve">machine</w:t>
      </w:r>
      <w:r>
        <w:t xml:space="preserve"> </w:t>
      </w:r>
      <w:r>
        <w:t xml:space="preserve">learning</w:t>
      </w:r>
      <w:r>
        <w:t xml:space="preserve"> </w:t>
      </w:r>
      <w:r>
        <w:t xml:space="preserve">be</w:t>
      </w:r>
      <w:r>
        <w:t xml:space="preserve"> </w:t>
      </w:r>
      <w:r>
        <w:t xml:space="preserve">used</w:t>
      </w:r>
      <w:r>
        <w:t xml:space="preserve"> </w:t>
      </w:r>
      <w:r>
        <w:t xml:space="preserve">for</w:t>
      </w:r>
      <w:r>
        <w:t xml:space="preserve"> </w:t>
      </w:r>
      <w:r>
        <w:t xml:space="preserve">causal</w:t>
      </w:r>
      <w:r>
        <w:t xml:space="preserve"> </w:t>
      </w:r>
      <w:r>
        <w:t xml:space="preserve">inference?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Summary:</w:t>
      </w:r>
      <w:r>
        <w:t xml:space="preserve"> </w:t>
      </w:r>
      <w:r>
        <w:t xml:space="preserve">This document provides supporting information on Pichler &amp; Hartig – Can machine learning be used for causal inference.</w:t>
      </w:r>
    </w:p>
    <w:bookmarkStart w:id="30" w:name="boosting-and-regression-trees"/>
    <w:p>
      <w:pPr>
        <w:pStyle w:val="Heading2"/>
      </w:pPr>
      <w:r>
        <w:t xml:space="preserve">1 Boosting and regression trees</w:t>
      </w:r>
    </w:p>
    <w:bookmarkStart w:id="24" w:name="unbiasedness"/>
    <w:p>
      <w:pPr>
        <w:pStyle w:val="Heading3"/>
      </w:pPr>
      <w:r>
        <w:t xml:space="preserve">1.1 Unbiasedness</w:t>
      </w:r>
    </w:p>
    <w:p>
      <w:pPr>
        <w:pStyle w:val="FirstParagraph"/>
      </w:pPr>
      <w:r>
        <w:t xml:space="preserve">Random forest (RF) and boosted regression trees (BRT) showed bias in both scenarios, with and without collinearity, raising the question of whether the bias is caused by the boosting/bagging or the regression trees themselves. For RF, we know that the observed spillover effect is caused by the random subsampling (mtry parameter) in the algorithm, which explains the bias.</w:t>
      </w:r>
    </w:p>
    <w:p>
      <w:pPr>
        <w:pStyle w:val="BodyText"/>
      </w:pPr>
      <w:r>
        <w:t xml:space="preserve">For BRT, however, it is unclear what is causing the bias (boosting or regression trees) because each member in the ensemble is always presented with all predictors (at least with the default hyperparameters, the BRT implementation in xgboost has options to use bootstrap samples for each tree and also subsamples of columns in each tree (or node), see</w:t>
      </w:r>
      <w:r>
        <w:t xml:space="preserve"> </w:t>
      </w:r>
      <w:r>
        <w:t xml:space="preserve">Chen and Guestrin (2016)</w:t>
      </w:r>
      <w:r>
        <w:t xml:space="preserve">).</w:t>
      </w:r>
    </w:p>
    <w:p>
      <w:pPr>
        <w:pStyle w:val="BodyText"/>
      </w:pPr>
      <w:r>
        <w:t xml:space="preserve">To understand how boosting and regression trees affect effect estimates, we simulated three different scenarios (Fig. S1, first column) without collinearity (Fig. S1a) and with collinearity (Fig. S1a, b) (we sampled 1000 observations from each data generating model (Fig. S1, first column) and estimated effects using ACE (100 repititions)).</w:t>
      </w:r>
    </w:p>
    <w:tbl>
      <w:tblPr>
        <w:tblStyle w:val="Table"/>
        <w:tblW w:type="pct" w:w="5000"/>
        <w:tblLook w:firstRow="0" w:lastRow="0" w:firstColumn="0" w:lastColumn="0" w:noHBand="0" w:noVBand="0" w:val="0000"/>
      </w:tblPr>
      <w:tblGrid>
        <w:gridCol w:w="7920"/>
      </w:tblGrid>
      <w:tr>
        <w:tc>
          <w:tcPr/>
          <w:bookmarkStart w:id="23" w:name="fig-Fig_S1"/>
          <w:p>
            <w:pPr>
              <w:pStyle w:val="Figure"/>
              <w:jc w:val="center"/>
            </w:pPr>
            <w:r>
              <w:drawing>
                <wp:inline>
                  <wp:extent cx="5943600" cy="4245428"/>
                  <wp:effectExtent b="0" l="0" r="0" t="0"/>
                  <wp:docPr descr="" title="" id="21" name="Picture"/>
                  <a:graphic>
                    <a:graphicData uri="http://schemas.openxmlformats.org/drawingml/2006/picture">
                      <pic:pic>
                        <pic:nvPicPr>
                          <pic:cNvPr descr="plots/fig-Fig_S1-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 Bias on effect estimates for different ML algorithms (LM = liner regression model (OLS), RT LC = regression tree with low complexity (depth), RT HC = regression tree with high complexity, Linear Booster, Tree Booster LC = tree booster with low complexity, Tree Booster HC = tree boster with high complexity) in three different simulated causal scenarios (a, b, and c). Sample sizes are so large that stochastic effects can be excluded (1000 observations). Effects of the ML models were inferred using average conditional effects. Row a) shows results for simulations with uncorrelated predictors with the true effect sizes .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but only X</w:t>
            </w:r>
            <w:r>
              <w:rPr>
                <w:vertAlign w:val="subscript"/>
              </w:rPr>
              <w:t xml:space="preserve">1</w:t>
            </w:r>
            <w:r>
              <w:t xml:space="preserve"> </w:t>
            </w:r>
            <w:r>
              <w:t xml:space="preserve">has an effect on y (mediator) and row c) shows the results for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with X</w:t>
            </w:r>
            <w:r>
              <w:rPr>
                <w:vertAlign w:val="subscript"/>
              </w:rPr>
              <w:t xml:space="preserve">1</w:t>
            </w:r>
            <w:r>
              <w:t xml:space="preserve"> </w:t>
            </w:r>
            <w:r>
              <w:t xml:space="preserve">and X</w:t>
            </w:r>
            <w:r>
              <w:rPr>
                <w:vertAlign w:val="subscript"/>
              </w:rPr>
              <w:t xml:space="preserve">2</w:t>
            </w:r>
            <w:r>
              <w:t xml:space="preserve"> </w:t>
            </w:r>
            <w:r>
              <w:t xml:space="preserve">having effects on Y (confounder scenario).</w:t>
            </w:r>
          </w:p>
          <w:bookmarkEnd w:id="23"/>
        </w:tc>
      </w:tr>
    </w:tbl>
    <w:p>
      <w:pPr>
        <w:pStyle w:val="BodyText"/>
      </w:pPr>
      <w:r>
        <w:t xml:space="preserve">We found that the regression tree (RT) is unable to estimate unbiased effects (Fig. S1), regardless of the presence or absence of collinearity or the complexity of the RT (depth of the regression trees). Without collinearity, effects in regression trees were biased toward zero, less so with higher complexity (Fig. S1). With collinearity, there was a small spillover effect for the RT with high complexity (Fig. S1b) to the collinear zero effect (X</w:t>
      </w:r>
      <w:r>
        <w:rPr>
          <w:vertAlign w:val="subscript"/>
        </w:rPr>
        <w:t xml:space="preserve">2</w:t>
      </w:r>
      <w:r>
        <w:t xml:space="preserve">), similar to an l2 regularization. When the collinear predictor (X</w:t>
      </w:r>
      <w:r>
        <w:rPr>
          <w:vertAlign w:val="subscript"/>
        </w:rPr>
        <w:t xml:space="preserve">2</w:t>
      </w:r>
      <w:r>
        <w:t xml:space="preserve">) had an effect (Fig. S1c), we found a stronger absolute bias for the smaller of the two collinear effects (X</w:t>
      </w:r>
      <w:r>
        <w:rPr>
          <w:vertAlign w:val="subscript"/>
        </w:rPr>
        <w:t xml:space="preserve">2</w:t>
      </w:r>
      <w:r>
        <w:t xml:space="preserve">), confirming our expectation that RTs show a greedy effect. This greedy behavior was particularly strong for the low complexity RT (Fig. S1c).</w:t>
      </w:r>
    </w:p>
    <w:p>
      <w:pPr>
        <w:pStyle w:val="BodyText"/>
      </w:pPr>
      <w:r>
        <w:t xml:space="preserve">To answer the question of how boosting affects the greediness and spillover effects of RT, we first investigated the behavior of a linear booster because of the well-known behavior of OLS under collinearity. And indeed, we found that the linear booster was unbiased in all three scenarios (compare LM and linear booster in Fig. S1), showing that boosting itself can produce unbiased effects.</w:t>
      </w:r>
    </w:p>
    <w:p>
      <w:pPr>
        <w:pStyle w:val="BodyText"/>
      </w:pPr>
      <w:r>
        <w:t xml:space="preserve">Now, comparing the vanilla BRTs with low and high complexity (depth of individual trees) with the linear booster and the RTs, we found similar biases as for the RTs, in terms of spillover with a collinear zero effect and the greediness effect in the presence of a weaker collinear effect (Fig. S1).</w:t>
      </w:r>
    </w:p>
    <w:bookmarkEnd w:id="24"/>
    <w:bookmarkStart w:id="29" w:name="understanding-boosting"/>
    <w:p>
      <w:pPr>
        <w:pStyle w:val="Heading3"/>
      </w:pPr>
      <w:r>
        <w:t xml:space="preserve">1.2 Understanding boosting</w:t>
      </w:r>
    </w:p>
    <w:p>
      <w:pPr>
        <w:pStyle w:val="FirstParagraph"/>
      </w:pPr>
      <w:r>
        <w:t xml:space="preserve">Intuitive boosting shouldn’t work because it’s basically a regression of residuals. That is, and in the case of collinearity, the stronger of two collinear predictors in the first model would absorb the effect of the weaker second predictor that, for example, causes the omitted variable bias (the effect of the missing confounder is absorbed by the collinear effect).</w:t>
      </w:r>
    </w:p>
    <w:tbl>
      <w:tblPr>
        <w:tblStyle w:val="Table"/>
        <w:tblW w:type="pct" w:w="5000"/>
        <w:tblLook w:firstRow="0" w:lastRow="0" w:firstColumn="0" w:lastColumn="0" w:noHBand="0" w:noVBand="0" w:val="0000"/>
      </w:tblPr>
      <w:tblGrid>
        <w:gridCol w:w="7920"/>
      </w:tblGrid>
      <w:tr>
        <w:tc>
          <w:tcPr/>
          <w:bookmarkStart w:id="28" w:name="fig-Fig_S2"/>
          <w:p>
            <w:pPr>
              <w:pStyle w:val="Figure"/>
              <w:jc w:val="center"/>
            </w:pPr>
            <w:r>
              <w:drawing>
                <wp:inline>
                  <wp:extent cx="5943600" cy="2971800"/>
                  <wp:effectExtent b="0" l="0" r="0" t="0"/>
                  <wp:docPr descr="" title="" id="26" name="Picture"/>
                  <a:graphic>
                    <a:graphicData uri="http://schemas.openxmlformats.org/drawingml/2006/picture">
                      <pic:pic>
                        <pic:nvPicPr>
                          <pic:cNvPr descr="plots/fig-Fig_S2-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2: Changes of effects within boosting. (A) shows the total effect of ensemble (linear booster) until the n-th ensemble member. (B) shows the effects of the n-th ensemble member. X1 and X2 were correlated (Pearson correlationf factor = 0.9).</w:t>
            </w:r>
          </w:p>
          <w:bookmarkEnd w:id="28"/>
        </w:tc>
      </w:tr>
    </w:tbl>
    <w:p>
      <w:pPr>
        <w:pStyle w:val="BodyText"/>
      </w:pPr>
      <w:r>
        <w:t xml:space="preserve">Looking at the evolution of the total effect within a linear booster model (Fig. S2a), we found indeed that the first members of the ensemble absorb the effect of the collinear effect (effect of X</w:t>
      </w:r>
      <w:r>
        <w:rPr>
          <w:vertAlign w:val="subscript"/>
        </w:rPr>
        <w:t xml:space="preserve">1</w:t>
      </w:r>
      <w:r>
        <w:t xml:space="preserve"> </w:t>
      </w:r>
      <w:r>
        <w:t xml:space="preserve">is absorbed by X1, Fig. S2a), but as members are added to the ensemble, the collinear effect (X2) slowly recovers the effect of the stronger collinear effect until both are at their correct effect estimate (Fig. S2a). This retrieval works by reversing the sign of each member’s effect, so that X1, which initially has an effect of 1.5 (because it absorbed the effect of X2), has small negative effects in subsequent trees, while X2, which is initially estimated at 0, has small positive effects (Fig. S2b).</w:t>
      </w:r>
    </w:p>
    <w:bookmarkEnd w:id="29"/>
    <w:bookmarkEnd w:id="30"/>
    <w:bookmarkStart w:id="41" w:name="proof-of-concept---additional-results"/>
    <w:p>
      <w:pPr>
        <w:pStyle w:val="Heading2"/>
      </w:pPr>
      <w:r>
        <w:t xml:space="preserve">2 Proof of concept - Additional results</w:t>
      </w:r>
    </w:p>
    <w:bookmarkStart w:id="35" w:name="addtional-scenarios"/>
    <w:p>
      <w:pPr>
        <w:pStyle w:val="Heading3"/>
      </w:pPr>
      <w:r>
        <w:t xml:space="preserve">2.1 Addtional scenarios</w:t>
      </w:r>
    </w:p>
    <w:tbl>
      <w:tblPr>
        <w:tblStyle w:val="Table"/>
        <w:tblW w:type="pct" w:w="5000"/>
        <w:tblLook w:firstRow="0" w:lastRow="0" w:firstColumn="0" w:lastColumn="0" w:noHBand="0" w:noVBand="0" w:val="0000"/>
      </w:tblPr>
      <w:tblGrid>
        <w:gridCol w:w="7920"/>
      </w:tblGrid>
      <w:tr>
        <w:tc>
          <w:tcPr/>
          <w:bookmarkStart w:id="34" w:name="fig-Fig_S3"/>
          <w:p>
            <w:pPr>
              <w:pStyle w:val="Figure"/>
              <w:jc w:val="center"/>
            </w:pPr>
            <w:r>
              <w:drawing>
                <wp:inline>
                  <wp:extent cx="5943600" cy="5200650"/>
                  <wp:effectExtent b="0" l="0" r="0" t="0"/>
                  <wp:docPr descr="" title="" id="32" name="Picture"/>
                  <a:graphic>
                    <a:graphicData uri="http://schemas.openxmlformats.org/drawingml/2006/picture">
                      <pic:pic>
                        <pic:nvPicPr>
                          <pic:cNvPr descr="plots/fig-Fig_S3-1.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943600" cy="520065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3: Bias on effect estimates for different ML algorithms in trhee different simulated causal simulations (a, b, and c). Sample sizes are so large that stochastic effects can be excluded (1000 observations). Effects of the ML models were inferred using average conditional effects. Row a)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0.99) but only X</w:t>
            </w:r>
            <w:r>
              <w:rPr>
                <w:vertAlign w:val="subscript"/>
              </w:rPr>
              <w:t xml:space="preserve">1</w:t>
            </w:r>
            <w:r>
              <w:t xml:space="preserve"> </w:t>
            </w:r>
            <w:r>
              <w:t xml:space="preserve">has an effect on y. Row b) shows results for simulations with with predictors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 and row c) shows results for simulations with with predictors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w:t>
            </w:r>
          </w:p>
          <w:bookmarkEnd w:id="34"/>
        </w:tc>
      </w:tr>
    </w:tbl>
    <w:bookmarkEnd w:id="35"/>
    <w:bookmarkStart w:id="40" w:name="additonal-models"/>
    <w:p>
      <w:pPr>
        <w:pStyle w:val="Heading3"/>
      </w:pPr>
      <w:r>
        <w:t xml:space="preserve">2.2 Additonal models</w:t>
      </w:r>
    </w:p>
    <w:tbl>
      <w:tblPr>
        <w:tblStyle w:val="Table"/>
        <w:tblW w:type="pct" w:w="5000"/>
        <w:tblLook w:firstRow="0" w:lastRow="0" w:firstColumn="0" w:lastColumn="0" w:noHBand="0" w:noVBand="0" w:val="0000"/>
      </w:tblPr>
      <w:tblGrid>
        <w:gridCol w:w="7920"/>
      </w:tblGrid>
      <w:tr>
        <w:tc>
          <w:tcPr/>
          <w:bookmarkStart w:id="39" w:name="fig-Fig_S4"/>
          <w:p>
            <w:pPr>
              <w:pStyle w:val="Figure"/>
              <w:jc w:val="center"/>
            </w:pPr>
            <w:r>
              <w:drawing>
                <wp:inline>
                  <wp:extent cx="5943600" cy="7564581"/>
                  <wp:effectExtent b="0" l="0" r="0" t="0"/>
                  <wp:docPr descr="" title="" id="37" name="Picture"/>
                  <a:graphic>
                    <a:graphicData uri="http://schemas.openxmlformats.org/drawingml/2006/picture">
                      <pic:pic>
                        <pic:nvPicPr>
                          <pic:cNvPr descr="plots/fig-Fig_S4-1.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43600" cy="756458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4: Bias on effect estimates for different ML algorithms in two different simulated causal simulations (a and b). Sample sizes are so large that stochastic effects can be excluded. Effects of the ML models were inferred using average conditional effects. Row a) shows results for simulations with with predictors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0.99) but only X</w:t>
            </w:r>
            <w:r>
              <w:rPr>
                <w:vertAlign w:val="subscript"/>
              </w:rPr>
              <w:t xml:space="preserve">1</w:t>
            </w:r>
            <w:r>
              <w:t xml:space="preserve"> </w:t>
            </w:r>
            <w:r>
              <w:t xml:space="preserve">has an effect on y.</w:t>
            </w:r>
          </w:p>
          <w:bookmarkEnd w:id="39"/>
        </w:tc>
      </w:tr>
    </w:tbl>
    <w:bookmarkEnd w:id="40"/>
    <w:bookmarkEnd w:id="41"/>
    <w:bookmarkStart w:id="59" w:name="hyperparameter-tuning"/>
    <w:p>
      <w:pPr>
        <w:pStyle w:val="Heading2"/>
      </w:pPr>
      <w:r>
        <w:t xml:space="preserve">3 Hyperparameter tuning</w:t>
      </w:r>
    </w:p>
    <w:p>
      <w:pPr>
        <w:pStyle w:val="FirstParagraph"/>
      </w:pPr>
      <w:r>
        <w:t xml:space="preserve">We performed a hyperparameter search to check if and how hyperparameters influence differently or equally effect estimates and the prediction error, so does a model tune after the prediction error has biased effects? For that, we created simulation scenarios with 50, 100, 600, and 2000 observations and 100 predictors with effects (</w:t>
      </w:r>
      <m:oMath>
        <m:r>
          <m:t>b</m:t>
        </m:r>
        <m:r>
          <m:t>e</m:t>
        </m:r>
        <m:r>
          <m:t>t</m:t>
        </m:r>
        <m:sSub>
          <m:e>
            <m:r>
              <m:t>a</m:t>
            </m:r>
          </m:e>
          <m:sub>
            <m:r>
              <m:t>i</m:t>
            </m:r>
          </m:sub>
        </m:sSub>
        <m:r>
          <m:rPr>
            <m:sty m:val="p"/>
          </m:rPr>
          <m:t>,</m:t>
        </m:r>
        <m:r>
          <m:t>i</m:t>
        </m:r>
        <m:r>
          <m:rPr>
            <m:sty m:val="p"/>
          </m:rPr>
          <m:t>=</m:t>
        </m:r>
        <m:r>
          <m:t>1</m:t>
        </m:r>
        <m:r>
          <m:rPr>
            <m:sty m:val="p"/>
          </m:rPr>
          <m:t>,</m:t>
        </m:r>
        <m:r>
          <m:rPr>
            <m:sty m:val="p"/>
          </m:rPr>
          <m:t>.</m:t>
        </m:r>
        <m:r>
          <m:rPr>
            <m:sty m:val="p"/>
          </m:rPr>
          <m:t>.</m:t>
        </m:r>
        <m:r>
          <m:rPr>
            <m:sty m:val="p"/>
          </m:rPr>
          <m:t>.</m:t>
        </m:r>
        <m:r>
          <m:rPr>
            <m:sty m:val="p"/>
          </m:rPr>
          <m:t>,</m:t>
        </m:r>
        <m:r>
          <m:t>100</m:t>
        </m:r>
      </m:oMath>
      <w:r>
        <w:t xml:space="preserve">)</w:t>
      </w:r>
      <w:r>
        <w:t xml:space="preserve"> </w:t>
      </w:r>
      <m:oMath>
        <m:sSub>
          <m:e>
            <m:r>
              <m:t>β</m:t>
            </m:r>
          </m:e>
          <m:sub>
            <m:r>
              <m:t>1</m:t>
            </m:r>
          </m:sub>
        </m:sSub>
        <m:r>
          <m:rPr>
            <m:sty m:val="p"/>
          </m:rPr>
          <m:t>=</m:t>
        </m:r>
        <m:r>
          <m:t>1.0</m:t>
        </m:r>
      </m:oMath>
      <w:r>
        <w:t xml:space="preserve">, and</w:t>
      </w:r>
      <w:r>
        <w:t xml:space="preserve"> </w:t>
      </w:r>
      <m:oMath>
        <m:sSub>
          <m:e>
            <m:r>
              <m:t>β</m:t>
            </m:r>
          </m:e>
          <m:sub>
            <m:r>
              <m:t>2</m:t>
            </m:r>
          </m:sub>
        </m:sSub>
      </m:oMath>
      <w:r>
        <w:t xml:space="preserve"> </w:t>
      </w:r>
      <w:r>
        <w:t xml:space="preserve">to</w:t>
      </w:r>
      <w:r>
        <w:t xml:space="preserve"> </w:t>
      </w:r>
      <m:oMath>
        <m:sSub>
          <m:e>
            <m:r>
              <m:t>β</m:t>
            </m:r>
          </m:e>
          <m:sub>
            <m:r>
              <m:t>3</m:t>
            </m:r>
          </m:sub>
        </m:sSub>
      </m:oMath>
      <w:r>
        <w:t xml:space="preserve"> </w:t>
      </w:r>
      <w:r>
        <w:t xml:space="preserve">were equally spaced between 0.0 to 1.0 so that</w:t>
      </w:r>
      <w:r>
        <w:t xml:space="preserve"> </w:t>
      </w:r>
      <m:oMath>
        <m:sSub>
          <m:e>
            <m:r>
              <m:t>β</m:t>
            </m:r>
          </m:e>
          <m:sub>
            <m:r>
              <m:t>2</m:t>
            </m:r>
          </m:sub>
        </m:sSub>
        <m:r>
          <m:rPr>
            <m:sty m:val="p"/>
          </m:rPr>
          <m:t>=</m:t>
        </m:r>
        <m:r>
          <m:t>0.0</m:t>
        </m:r>
      </m:oMath>
      <w:r>
        <w:t xml:space="preserve"> </w:t>
      </w:r>
      <w:r>
        <w:t xml:space="preserve">and</w:t>
      </w:r>
      <w:r>
        <w:t xml:space="preserve"> </w:t>
      </w:r>
      <m:oMath>
        <m:sSub>
          <m:e>
            <m:r>
              <m:t>β</m:t>
            </m:r>
          </m:e>
          <m:sub>
            <m:r>
              <m:t>100</m:t>
            </m:r>
          </m:sub>
        </m:sSub>
        <m:r>
          <m:rPr>
            <m:sty m:val="p"/>
          </m:rPr>
          <m:t>=</m:t>
        </m:r>
        <m:r>
          <m:t>1.0</m:t>
        </m:r>
      </m:oMath>
      <w:r>
        <w:t xml:space="preserve">.</w:t>
      </w:r>
    </w:p>
    <w:p>
      <w:pPr>
        <w:pStyle w:val="BodyText"/>
      </w:pPr>
      <w:r>
        <w:t xml:space="preserve">predictors were sampled from a multivariate normal distribution and all predictors were randomly correlated (Variance-covariance matrix</w:t>
      </w:r>
      <w:r>
        <w:t xml:space="preserve"> </w:t>
      </w:r>
      <m:oMath>
        <m:r>
          <m:t>Σ</m:t>
        </m:r>
      </m:oMath>
      <w:r>
        <w:t xml:space="preserve"> </w:t>
      </w:r>
      <w:r>
        <w:t xml:space="preserve">was sampled from a LKJ-distribution with</w:t>
      </w:r>
      <w:r>
        <w:t xml:space="preserve"> </w:t>
      </w:r>
      <m:oMath>
        <m:r>
          <m:t>η</m:t>
        </m:r>
        <m:r>
          <m:rPr>
            <m:sty m:val="p"/>
          </m:rPr>
          <m:t>=</m:t>
        </m:r>
        <m:r>
          <m:t>2.0</m:t>
        </m:r>
      </m:oMath>
      <w:r>
        <w:t xml:space="preserve">.</w:t>
      </w:r>
    </w:p>
    <w:p>
      <w:pPr>
        <w:pStyle w:val="BodyText"/>
      </w:pPr>
      <w:r>
        <w:t xml:space="preserve">1,000 combinations of hyper-parameters were randomly drawn (Table S1). For each draw of hyperparameters, the data simulation and model fitting was repeated 20 times. Effect sizes of X</w:t>
      </w:r>
      <w:r>
        <w:rPr>
          <w:vertAlign w:val="subscript"/>
        </w:rPr>
        <w:t xml:space="preserve">1</w:t>
      </w:r>
      <w:r>
        <w:t xml:space="preserve"> </w:t>
      </w:r>
      <w:r>
        <w:t xml:space="preserve">and X</w:t>
      </w:r>
      <w:r>
        <w:rPr>
          <w:vertAlign w:val="subscript"/>
        </w:rPr>
        <w:t xml:space="preserve">2</w:t>
      </w:r>
      <w:r>
        <w:t xml:space="preserve"> </w:t>
      </w:r>
      <w:r>
        <w:t xml:space="preserve">were recorded (for each hyperparameter combination and for each reptition). Moreover, bias, variance, and mean square error (MSE) were recorded for the predictions on a holdout of the same size as the training data.</w:t>
      </w:r>
    </w:p>
    <w:bookmarkStart w:id="42" w:name="tbl-Hyper"/>
    <w:p>
      <w:pPr>
        <w:pStyle w:val="TableCaption"/>
      </w:pPr>
      <w:r>
        <w:rPr>
          <w:bCs/>
          <w:b/>
        </w:rPr>
        <w:t xml:space="preserve">Table S</w:t>
      </w:r>
      <w:r>
        <w:t xml:space="preserve"> 1: Overview over hyper-parameters for Neural Network, Boosted Regression Tree, and Random Forest</w:t>
      </w:r>
    </w:p>
    <w:tbl>
      <w:tblPr>
        <w:tblStyle w:val="Table"/>
        <w:tblW w:type="pct" w:w="5000"/>
        <w:tblLook w:firstRow="1" w:lastRow="0" w:firstColumn="0" w:lastColumn="0" w:noHBand="0" w:noVBand="0" w:val="0020"/>
        <w:tblCaption w:val="Table S 1: Overview over hyper-parameters for Neural Network, Boosted Regression Tree, and Random Forest"/>
      </w:tblPr>
      <w:tblGrid>
        <w:gridCol w:w="2090"/>
        <w:gridCol w:w="2090"/>
        <w:gridCol w:w="374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Range</w:t>
            </w:r>
          </w:p>
        </w:tc>
      </w:tr>
      <w:tr>
        <w:tc>
          <w:tcPr/>
          <w:p>
            <w:pPr>
              <w:pStyle w:val="Compact"/>
              <w:jc w:val="left"/>
            </w:pPr>
            <w:r>
              <w:t xml:space="preserve">Neural Network</w:t>
            </w:r>
          </w:p>
        </w:tc>
        <w:tc>
          <w:tcPr/>
          <w:p>
            <w:pPr>
              <w:pStyle w:val="Compact"/>
              <w:jc w:val="left"/>
            </w:pPr>
            <w:r>
              <w:t xml:space="preserve">activation function</w:t>
            </w:r>
          </w:p>
        </w:tc>
        <w:tc>
          <w:tcPr/>
          <w:p>
            <w:pPr>
              <w:pStyle w:val="Compact"/>
              <w:jc w:val="left"/>
            </w:pPr>
            <w:r>
              <w:t xml:space="preserve">[relu, leaky_relu, tanh, selu, elu, celu, gelu]</w:t>
            </w:r>
          </w:p>
        </w:tc>
      </w:tr>
      <w:tr>
        <w:tc>
          <w:tcPr/>
          <w:p>
            <w:pPr>
              <w:pStyle w:val="Compact"/>
            </w:pPr>
          </w:p>
        </w:tc>
        <w:tc>
          <w:tcPr/>
          <w:p>
            <w:pPr>
              <w:pStyle w:val="Compact"/>
              <w:jc w:val="left"/>
            </w:pPr>
            <w:r>
              <w:t xml:space="preserve">depth</w:t>
            </w:r>
          </w:p>
        </w:tc>
        <w:tc>
          <w:tcPr/>
          <w:p>
            <w:pPr>
              <w:pStyle w:val="Compact"/>
              <w:jc w:val="left"/>
            </w:pPr>
            <w:r>
              <w:t xml:space="preserve">[1, 8]</w:t>
            </w:r>
          </w:p>
        </w:tc>
      </w:tr>
      <w:tr>
        <w:tc>
          <w:tcPr/>
          <w:p>
            <w:pPr>
              <w:pStyle w:val="Compact"/>
            </w:pPr>
          </w:p>
        </w:tc>
        <w:tc>
          <w:tcPr/>
          <w:p>
            <w:pPr>
              <w:pStyle w:val="Compact"/>
              <w:jc w:val="left"/>
            </w:pPr>
            <w:r>
              <w:t xml:space="preserve">width</w:t>
            </w:r>
          </w:p>
        </w:tc>
        <w:tc>
          <w:tcPr/>
          <w:p>
            <w:pPr>
              <w:pStyle w:val="Compact"/>
              <w:jc w:val="left"/>
            </w:pPr>
            <w:r>
              <w:t xml:space="preserve">[2, 50]</w:t>
            </w:r>
          </w:p>
        </w:tc>
      </w:tr>
      <w:tr>
        <w:tc>
          <w:tcPr/>
          <w:p>
            <w:pPr>
              <w:pStyle w:val="Compact"/>
            </w:pPr>
          </w:p>
        </w:tc>
        <w:tc>
          <w:tcPr/>
          <w:p>
            <w:pPr>
              <w:pStyle w:val="Compact"/>
              <w:jc w:val="left"/>
            </w:pPr>
            <w:r>
              <w:t xml:space="preserve">batch size (sgd)</w:t>
            </w:r>
          </w:p>
        </w:tc>
        <w:tc>
          <w:tcPr/>
          <w:p>
            <w:pPr>
              <w:pStyle w:val="Compact"/>
              <w:jc w:val="left"/>
            </w:pPr>
            <w:r>
              <w:t xml:space="preserve">[1, 100] in percent</w:t>
            </w:r>
          </w:p>
        </w:tc>
      </w:tr>
      <w:tr>
        <w:tc>
          <w:tcPr/>
          <w:p>
            <w:pPr>
              <w:pStyle w:val="Compact"/>
            </w:pPr>
          </w:p>
        </w:tc>
        <w:tc>
          <w:tcPr/>
          <w:p>
            <w:pPr>
              <w:pStyle w:val="Compact"/>
              <w:jc w:val="left"/>
            </w:pPr>
            <w:r>
              <w:t xml:space="preserve">lambda</w:t>
            </w:r>
          </w:p>
        </w:tc>
        <w:tc>
          <w:tcPr/>
          <w:p>
            <w:pPr>
              <w:pStyle w:val="Compact"/>
              <w:jc w:val="left"/>
            </w:pPr>
            <w:r>
              <w:t xml:space="preserve">[2.65e-05, 0.16]</w:t>
            </w:r>
          </w:p>
        </w:tc>
      </w:tr>
      <w:tr>
        <w:tc>
          <w:tcPr/>
          <w:p>
            <w:pPr>
              <w:pStyle w:val="Compact"/>
            </w:pPr>
          </w:p>
        </w:tc>
        <w:tc>
          <w:tcPr/>
          <w:p>
            <w:pPr>
              <w:pStyle w:val="Compact"/>
              <w:jc w:val="left"/>
            </w:pPr>
            <w:r>
              <w:t xml:space="preserve">alpha</w:t>
            </w:r>
          </w:p>
        </w:tc>
        <w:tc>
          <w:tcPr/>
          <w:p>
            <w:pPr>
              <w:pStyle w:val="Compact"/>
              <w:jc w:val="left"/>
            </w:pPr>
            <w:r>
              <w:t xml:space="preserve">[0, 1.0]</w:t>
            </w:r>
          </w:p>
        </w:tc>
      </w:tr>
      <w:tr>
        <w:tc>
          <w:tcPr/>
          <w:p>
            <w:pPr>
              <w:pStyle w:val="Compact"/>
              <w:jc w:val="left"/>
            </w:pPr>
            <w:r>
              <w:t xml:space="preserve">Boosted Regression Tree</w:t>
            </w:r>
          </w:p>
        </w:tc>
        <w:tc>
          <w:tcPr/>
          <w:p>
            <w:pPr>
              <w:pStyle w:val="Compact"/>
              <w:jc w:val="left"/>
            </w:pPr>
            <w:r>
              <w:t xml:space="preserve">eta</w:t>
            </w:r>
          </w:p>
        </w:tc>
        <w:tc>
          <w:tcPr/>
          <w:p>
            <w:pPr>
              <w:pStyle w:val="Compact"/>
              <w:jc w:val="left"/>
            </w:pPr>
            <w:r>
              <w:t xml:space="preserve">[0.01, 0.4]</w:t>
            </w:r>
          </w:p>
        </w:tc>
      </w:tr>
      <w:tr>
        <w:tc>
          <w:tcPr/>
          <w:p>
            <w:pPr>
              <w:pStyle w:val="Compact"/>
            </w:pPr>
          </w:p>
        </w:tc>
        <w:tc>
          <w:tcPr/>
          <w:p>
            <w:pPr>
              <w:pStyle w:val="Compact"/>
              <w:jc w:val="left"/>
            </w:pPr>
            <w:r>
              <w:t xml:space="preserve">max depth</w:t>
            </w:r>
          </w:p>
        </w:tc>
        <w:tc>
          <w:tcPr/>
          <w:p>
            <w:pPr>
              <w:pStyle w:val="Compact"/>
              <w:jc w:val="left"/>
            </w:pPr>
            <w:r>
              <w:t xml:space="preserve">[2, 25]</w:t>
            </w:r>
          </w:p>
        </w:tc>
      </w:tr>
      <w:tr>
        <w:tc>
          <w:tcPr/>
          <w:p>
            <w:pPr>
              <w:pStyle w:val="Compact"/>
            </w:pPr>
          </w:p>
        </w:tc>
        <w:tc>
          <w:tcPr/>
          <w:p>
            <w:pPr>
              <w:pStyle w:val="Compact"/>
              <w:jc w:val="left"/>
            </w:pPr>
            <w:r>
              <w:t xml:space="preserve">subsample</w:t>
            </w:r>
          </w:p>
        </w:tc>
        <w:tc>
          <w:tcPr/>
          <w:p>
            <w:pPr>
              <w:pStyle w:val="Compact"/>
              <w:jc w:val="left"/>
            </w:pPr>
            <w:r>
              <w:t xml:space="preserve">[0.5, 1]</w:t>
            </w:r>
          </w:p>
        </w:tc>
      </w:tr>
      <w:tr>
        <w:tc>
          <w:tcPr/>
          <w:p>
            <w:pPr>
              <w:pStyle w:val="Compact"/>
            </w:pPr>
          </w:p>
        </w:tc>
        <w:tc>
          <w:tcPr/>
          <w:p>
            <w:pPr>
              <w:pStyle w:val="Compact"/>
              <w:jc w:val="left"/>
            </w:pPr>
            <w:r>
              <w:t xml:space="preserve">max tree</w:t>
            </w:r>
          </w:p>
        </w:tc>
        <w:tc>
          <w:tcPr/>
          <w:p>
            <w:pPr>
              <w:pStyle w:val="Compact"/>
              <w:jc w:val="left"/>
            </w:pPr>
            <w:r>
              <w:t xml:space="preserve">[30, 125]</w:t>
            </w:r>
          </w:p>
        </w:tc>
      </w:tr>
      <w:tr>
        <w:tc>
          <w:tcPr/>
          <w:p>
            <w:pPr>
              <w:pStyle w:val="Compact"/>
            </w:pPr>
          </w:p>
        </w:tc>
        <w:tc>
          <w:tcPr/>
          <w:p>
            <w:pPr>
              <w:pStyle w:val="Compact"/>
              <w:jc w:val="left"/>
            </w:pPr>
            <w:r>
              <w:t xml:space="preserve">lambda</w:t>
            </w:r>
          </w:p>
        </w:tc>
        <w:tc>
          <w:tcPr/>
          <w:p>
            <w:pPr>
              <w:pStyle w:val="Compact"/>
              <w:jc w:val="left"/>
            </w:pPr>
            <w:r>
              <w:t xml:space="preserve">[1, 20]</w:t>
            </w:r>
          </w:p>
        </w:tc>
      </w:tr>
      <w:tr>
        <w:tc>
          <w:tcPr/>
          <w:p>
            <w:pPr>
              <w:pStyle w:val="Compact"/>
              <w:jc w:val="left"/>
            </w:pPr>
            <w:r>
              <w:t xml:space="preserve">Random Forest</w:t>
            </w:r>
          </w:p>
        </w:tc>
        <w:tc>
          <w:tcPr/>
          <w:p>
            <w:pPr>
              <w:pStyle w:val="Compact"/>
              <w:jc w:val="left"/>
            </w:pPr>
            <w:r>
              <w:t xml:space="preserve">mtry</w:t>
            </w:r>
          </w:p>
        </w:tc>
        <w:tc>
          <w:tcPr/>
          <w:p>
            <w:pPr>
              <w:pStyle w:val="Compact"/>
              <w:jc w:val="left"/>
            </w:pPr>
            <w:r>
              <w:t xml:space="preserve">[0, 1] in percent</w:t>
            </w:r>
          </w:p>
        </w:tc>
      </w:tr>
      <w:tr>
        <w:tc>
          <w:tcPr/>
          <w:p>
            <w:pPr>
              <w:pStyle w:val="Compact"/>
            </w:pPr>
          </w:p>
        </w:tc>
        <w:tc>
          <w:tcPr/>
          <w:p>
            <w:pPr>
              <w:pStyle w:val="Compact"/>
              <w:jc w:val="left"/>
            </w:pPr>
            <w:r>
              <w:t xml:space="preserve">min node size</w:t>
            </w:r>
          </w:p>
        </w:tc>
        <w:tc>
          <w:tcPr/>
          <w:p>
            <w:pPr>
              <w:pStyle w:val="Compact"/>
              <w:jc w:val="left"/>
            </w:pPr>
            <w:r>
              <w:t xml:space="preserve">[2, 70]</w:t>
            </w:r>
          </w:p>
        </w:tc>
      </w:tr>
      <w:tr>
        <w:tc>
          <w:tcPr/>
          <w:p>
            <w:pPr>
              <w:pStyle w:val="Compact"/>
            </w:pPr>
          </w:p>
        </w:tc>
        <w:tc>
          <w:tcPr/>
          <w:p>
            <w:pPr>
              <w:pStyle w:val="Compact"/>
              <w:jc w:val="left"/>
            </w:pPr>
            <w:r>
              <w:t xml:space="preserve">max depth</w:t>
            </w:r>
          </w:p>
        </w:tc>
        <w:tc>
          <w:tcPr/>
          <w:p>
            <w:pPr>
              <w:pStyle w:val="Compact"/>
              <w:jc w:val="left"/>
            </w:pPr>
            <w:r>
              <w:t xml:space="preserve">[2, 50]</w:t>
            </w:r>
          </w:p>
        </w:tc>
      </w:tr>
      <w:tr>
        <w:tc>
          <w:tcPr/>
          <w:p>
            <w:pPr>
              <w:pStyle w:val="Compact"/>
            </w:pPr>
          </w:p>
        </w:tc>
        <w:tc>
          <w:tcPr/>
          <w:p>
            <w:pPr>
              <w:pStyle w:val="Compact"/>
              <w:jc w:val="left"/>
            </w:pPr>
            <w:r>
              <w:t xml:space="preserve">regularization factor</w:t>
            </w:r>
          </w:p>
        </w:tc>
        <w:tc>
          <w:tcPr/>
          <w:p>
            <w:pPr>
              <w:pStyle w:val="Compact"/>
              <w:jc w:val="left"/>
            </w:pPr>
            <w:r>
              <w:t xml:space="preserve">[0, 1]</w:t>
            </w:r>
          </w:p>
        </w:tc>
      </w:tr>
      <w:tr>
        <w:tc>
          <w:tcPr/>
          <w:p>
            <w:pPr>
              <w:pStyle w:val="Compact"/>
              <w:jc w:val="left"/>
            </w:pPr>
            <w:r>
              <w:t xml:space="preserve">Elastic net</w:t>
            </w:r>
          </w:p>
        </w:tc>
        <w:tc>
          <w:tcPr/>
          <w:p>
            <w:pPr>
              <w:pStyle w:val="Compact"/>
              <w:jc w:val="left"/>
            </w:pPr>
            <w:r>
              <w:t xml:space="preserve">alpha</w:t>
            </w:r>
          </w:p>
        </w:tc>
        <w:tc>
          <w:tcPr/>
          <w:p>
            <w:pPr>
              <w:pStyle w:val="Compact"/>
              <w:jc w:val="left"/>
            </w:pPr>
            <w:r>
              <w:t xml:space="preserve">[0, 1.0]</w:t>
            </w:r>
          </w:p>
        </w:tc>
      </w:tr>
      <w:tr>
        <w:tc>
          <w:tcPr/>
          <w:p>
            <w:pPr>
              <w:pStyle w:val="Compact"/>
            </w:pPr>
          </w:p>
        </w:tc>
        <w:tc>
          <w:tcPr/>
          <w:p>
            <w:pPr>
              <w:pStyle w:val="Compact"/>
              <w:jc w:val="left"/>
            </w:pPr>
            <w:r>
              <w:t xml:space="preserve">lambda</w:t>
            </w:r>
          </w:p>
        </w:tc>
        <w:tc>
          <w:tcPr/>
          <w:p>
            <w:pPr>
              <w:pStyle w:val="Compact"/>
              <w:jc w:val="left"/>
            </w:pPr>
            <w:r>
              <w:t xml:space="preserve">[0, 1.0]</w:t>
            </w:r>
          </w:p>
        </w:tc>
      </w:tr>
    </w:tbl>
    <w:bookmarkEnd w:id="42"/>
    <w:bookmarkStart w:id="55" w:name="results-hyperparameter-tuning"/>
    <w:p>
      <w:pPr>
        <w:pStyle w:val="Heading3"/>
      </w:pPr>
      <w:r>
        <w:t xml:space="preserve">3.1 Results hyperparameter tuning</w:t>
      </w:r>
    </w:p>
    <w:tbl>
      <w:tblPr>
        <w:tblStyle w:val="Table"/>
        <w:tblW w:type="pct" w:w="5000"/>
        <w:tblLook w:firstRow="0" w:lastRow="0" w:firstColumn="0" w:lastColumn="0" w:noHBand="0" w:noVBand="0" w:val="0000"/>
      </w:tblPr>
      <w:tblGrid>
        <w:gridCol w:w="7920"/>
      </w:tblGrid>
      <w:tr>
        <w:tc>
          <w:tcPr/>
          <w:bookmarkStart w:id="46" w:name="fig-Fig_S5"/>
          <w:p>
            <w:pPr>
              <w:pStyle w:val="Figure"/>
              <w:jc w:val="center"/>
            </w:pPr>
            <w:r>
              <w:drawing>
                <wp:inline>
                  <wp:extent cx="5943600" cy="6604000"/>
                  <wp:effectExtent b="0" l="0" r="0" t="0"/>
                  <wp:docPr descr="" title="" id="44" name="Picture"/>
                  <a:graphic>
                    <a:graphicData uri="http://schemas.openxmlformats.org/drawingml/2006/picture">
                      <pic:pic>
                        <pic:nvPicPr>
                          <pic:cNvPr descr="plots/fig-Fig_S5-1.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5: Results of hyperparameter tuning for Neural Networks (NN), Boosted Regression Trees (BRT), Random Forests (RF), and Elastic Net (EN) for 50 observations with 100 predictors. The influence of the hyperparameters on effect</w:t>
            </w:r>
            <w:r>
              <w:t xml:space="preserve"> </w:t>
            </w:r>
            <m:oMath>
              <m:sSub>
                <m:e>
                  <m:acc>
                    <m:accPr>
                      <m:chr m:val="̂"/>
                    </m:accPr>
                    <m:e>
                      <m:r>
                        <m:t>β</m:t>
                      </m:r>
                    </m:e>
                  </m:acc>
                </m:e>
                <m:sub>
                  <m:r>
                    <m:t>1</m:t>
                  </m:r>
                </m:sub>
              </m:sSub>
            </m:oMath>
            <w:r>
              <w:t xml:space="preserve"> </w:t>
            </w:r>
            <w:r>
              <w:t xml:space="preserve">(bias, variance, and MSE)(true simulated effect</w:t>
            </w:r>
            <w:r>
              <w:t xml:space="preserve"> </w:t>
            </w:r>
            <m:oMath>
              <m:sSub>
                <m:e>
                  <m:r>
                    <m:t>β</m:t>
                  </m:r>
                </m:e>
                <m:sub>
                  <m:r>
                    <m:t>1</m:t>
                  </m:r>
                </m:sub>
              </m:sSub>
              <m:r>
                <m:rPr>
                  <m:sty m:val="p"/>
                </m:rPr>
                <m:t>=</m:t>
              </m:r>
              <m:r>
                <m:t>1.0</m:t>
              </m:r>
            </m:oMath>
            <w:r>
              <w:t xml:space="preserve"> </w:t>
            </w:r>
            <w:r>
              <w:t xml:space="preserve">) and the predictions,</w:t>
            </w:r>
            <w:r>
              <w:t xml:space="preserve"> </w:t>
            </w:r>
            <m:oMath>
              <m:acc>
                <m:accPr>
                  <m:chr m:val="̂"/>
                </m:accPr>
                <m:e>
                  <m:r>
                    <m:t>y</m:t>
                  </m:r>
                </m:e>
              </m:acc>
            </m:oMath>
            <w:r>
              <w:t xml:space="preserve"> </w:t>
            </w:r>
            <w:r>
              <w:t xml:space="preserve">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w:t>
            </w:r>
            <w:r>
              <w:t xml:space="preserve"> </w:t>
            </w:r>
            <m:oMath>
              <m:sSub>
                <m:e>
                  <m:acc>
                    <m:accPr>
                      <m:chr m:val="̂"/>
                    </m:accPr>
                    <m:e>
                      <m:r>
                        <m:t>β</m:t>
                      </m:r>
                    </m:e>
                  </m:acc>
                </m:e>
                <m:sub>
                  <m:r>
                    <m:t>1</m:t>
                  </m:r>
                </m:sub>
              </m:sSub>
            </m:oMath>
            <w:r>
              <w:t xml:space="preserve"> </w:t>
            </w:r>
            <w:r>
              <w:t xml:space="preserve">(first plot) or the prediction</w:t>
            </w:r>
            <w:r>
              <w:t xml:space="preserve"> </w:t>
            </w:r>
            <m:oMath>
              <m:acc>
                <m:accPr>
                  <m:chr m:val="̂"/>
                </m:accPr>
                <m:e>
                  <m:r>
                    <m:t>y</m:t>
                  </m:r>
                </m:e>
              </m:acc>
            </m:oMath>
            <w:r>
              <w:t xml:space="preserve"> </w:t>
            </w:r>
            <w:r>
              <w:t xml:space="preserve">(second plot) as the response. Red dots correspond to the best predicted set of hyperparameters (based on a random forest), in the first plot for the minimum MSE of the effect</w:t>
            </w:r>
            <w:r>
              <w:t xml:space="preserve"> </w:t>
            </w:r>
            <m:oMath>
              <m:sSub>
                <m:e>
                  <m:acc>
                    <m:accPr>
                      <m:chr m:val="̂"/>
                    </m:accPr>
                    <m:e>
                      <m:r>
                        <m:t>β</m:t>
                      </m:r>
                    </m:e>
                  </m:acc>
                </m:e>
                <m:sub>
                  <m:r>
                    <m:t>1</m:t>
                  </m:r>
                </m:sub>
              </m:sSub>
            </m:oMath>
            <w:r>
              <w:t xml:space="preserve"> </w:t>
            </w:r>
            <w:r>
              <w:t xml:space="preserve">and in the second plot for the minimum MSE of the predictions</w:t>
            </w:r>
            <w:r>
              <w:t xml:space="preserve"> </w:t>
            </w:r>
            <m:oMath>
              <m:acc>
                <m:accPr>
                  <m:chr m:val="̂"/>
                </m:accPr>
                <m:e>
                  <m:r>
                    <m:t>y</m:t>
                  </m:r>
                </m:e>
              </m:acc>
            </m:oMath>
            <w:r>
              <w:t xml:space="preserve">.</w:t>
            </w:r>
          </w:p>
          <w:bookmarkEnd w:id="46"/>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0" w:name="fig-Fig_S6"/>
          <w:p>
            <w:pPr>
              <w:pStyle w:val="Figure"/>
              <w:jc w:val="center"/>
            </w:pPr>
            <w:r>
              <w:drawing>
                <wp:inline>
                  <wp:extent cx="5943600" cy="6604000"/>
                  <wp:effectExtent b="0" l="0" r="0" t="0"/>
                  <wp:docPr descr="" title="" id="48" name="Picture"/>
                  <a:graphic>
                    <a:graphicData uri="http://schemas.openxmlformats.org/drawingml/2006/picture">
                      <pic:pic>
                        <pic:nvPicPr>
                          <pic:cNvPr descr="plots/fig-Fig_S6-1.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6: Results of hyperparameter tuning for Neural Networks (NN), Boosted Regression Trees (BRT), Random Forests (RF), and Elastic Net (EN) for 600 observations with 100 predictors. The influence of the hyperparameters on effect</w:t>
            </w:r>
            <w:r>
              <w:t xml:space="preserve"> </w:t>
            </w:r>
            <m:oMath>
              <m:sSub>
                <m:e>
                  <m:acc>
                    <m:accPr>
                      <m:chr m:val="̂"/>
                    </m:accPr>
                    <m:e>
                      <m:r>
                        <m:t>β</m:t>
                      </m:r>
                    </m:e>
                  </m:acc>
                </m:e>
                <m:sub>
                  <m:r>
                    <m:t>1</m:t>
                  </m:r>
                </m:sub>
              </m:sSub>
            </m:oMath>
            <w:r>
              <w:t xml:space="preserve"> </w:t>
            </w:r>
            <w:r>
              <w:t xml:space="preserve">(bias, variance, and MSE)(true simulated effect</w:t>
            </w:r>
            <w:r>
              <w:t xml:space="preserve"> </w:t>
            </w:r>
            <m:oMath>
              <m:sSub>
                <m:e>
                  <m:r>
                    <m:t>β</m:t>
                  </m:r>
                </m:e>
                <m:sub>
                  <m:r>
                    <m:t>1</m:t>
                  </m:r>
                </m:sub>
              </m:sSub>
              <m:r>
                <m:rPr>
                  <m:sty m:val="p"/>
                </m:rPr>
                <m:t>=</m:t>
              </m:r>
              <m:r>
                <m:t>1.0</m:t>
              </m:r>
            </m:oMath>
            <w:r>
              <w:t xml:space="preserve"> </w:t>
            </w:r>
            <w:r>
              <w:t xml:space="preserve">) and the predictions,</w:t>
            </w:r>
            <w:r>
              <w:t xml:space="preserve"> </w:t>
            </w:r>
            <m:oMath>
              <m:acc>
                <m:accPr>
                  <m:chr m:val="̂"/>
                </m:accPr>
                <m:e>
                  <m:r>
                    <m:t>y</m:t>
                  </m:r>
                </m:e>
              </m:acc>
            </m:oMath>
            <w:r>
              <w:t xml:space="preserve"> </w:t>
            </w:r>
            <w:r>
              <w:t xml:space="preserve">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w:t>
            </w:r>
            <w:r>
              <w:t xml:space="preserve"> </w:t>
            </w:r>
            <m:oMath>
              <m:sSub>
                <m:e>
                  <m:acc>
                    <m:accPr>
                      <m:chr m:val="̂"/>
                    </m:accPr>
                    <m:e>
                      <m:r>
                        <m:t>β</m:t>
                      </m:r>
                    </m:e>
                  </m:acc>
                </m:e>
                <m:sub>
                  <m:r>
                    <m:t>1</m:t>
                  </m:r>
                </m:sub>
              </m:sSub>
            </m:oMath>
            <w:r>
              <w:t xml:space="preserve"> </w:t>
            </w:r>
            <w:r>
              <w:t xml:space="preserve">(first plot) or the prediction</w:t>
            </w:r>
            <w:r>
              <w:t xml:space="preserve"> </w:t>
            </w:r>
            <m:oMath>
              <m:acc>
                <m:accPr>
                  <m:chr m:val="̂"/>
                </m:accPr>
                <m:e>
                  <m:r>
                    <m:t>y</m:t>
                  </m:r>
                </m:e>
              </m:acc>
            </m:oMath>
            <w:r>
              <w:t xml:space="preserve"> </w:t>
            </w:r>
            <w:r>
              <w:t xml:space="preserve">(second plot) as the response. Red dots correspond to the best predicted set of hyperparameters (based on a random forest), in the first plot for the minimum MSE of the effect</w:t>
            </w:r>
            <w:r>
              <w:t xml:space="preserve"> </w:t>
            </w:r>
            <m:oMath>
              <m:sSub>
                <m:e>
                  <m:acc>
                    <m:accPr>
                      <m:chr m:val="̂"/>
                    </m:accPr>
                    <m:e>
                      <m:r>
                        <m:t>β</m:t>
                      </m:r>
                    </m:e>
                  </m:acc>
                </m:e>
                <m:sub>
                  <m:r>
                    <m:t>1</m:t>
                  </m:r>
                </m:sub>
              </m:sSub>
            </m:oMath>
            <w:r>
              <w:t xml:space="preserve"> </w:t>
            </w:r>
            <w:r>
              <w:t xml:space="preserve">and in the second plot for the minimum MSE of the predictions</w:t>
            </w:r>
            <w:r>
              <w:t xml:space="preserve"> </w:t>
            </w:r>
            <m:oMath>
              <m:acc>
                <m:accPr>
                  <m:chr m:val="̂"/>
                </m:accPr>
                <m:e>
                  <m:r>
                    <m:t>y</m:t>
                  </m:r>
                </m:e>
              </m:acc>
            </m:oMath>
            <w:r>
              <w:t xml:space="preserve">.</w:t>
            </w:r>
          </w:p>
          <w:bookmarkEnd w:id="50"/>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4" w:name="fig-Fig_S7"/>
          <w:p>
            <w:pPr>
              <w:pStyle w:val="Figure"/>
              <w:jc w:val="center"/>
            </w:pPr>
            <w:r>
              <w:drawing>
                <wp:inline>
                  <wp:extent cx="5943600" cy="6604000"/>
                  <wp:effectExtent b="0" l="0" r="0" t="0"/>
                  <wp:docPr descr="" title="" id="52" name="Picture"/>
                  <a:graphic>
                    <a:graphicData uri="http://schemas.openxmlformats.org/drawingml/2006/picture">
                      <pic:pic>
                        <pic:nvPicPr>
                          <pic:cNvPr descr="plots/fig-Fig_S7-1.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7: Results of hyperparameter tuning for Neural Networks (NN), Boosted Regression Trees (BRT), Random Forests (RF), and Elastic Net (EN) for 2000 observations with 100 predictors. The influence of the hyperparameters on effect</w:t>
            </w:r>
            <w:r>
              <w:t xml:space="preserve"> </w:t>
            </w:r>
            <m:oMath>
              <m:sSub>
                <m:e>
                  <m:acc>
                    <m:accPr>
                      <m:chr m:val="̂"/>
                    </m:accPr>
                    <m:e>
                      <m:r>
                        <m:t>β</m:t>
                      </m:r>
                    </m:e>
                  </m:acc>
                </m:e>
                <m:sub>
                  <m:r>
                    <m:t>1</m:t>
                  </m:r>
                </m:sub>
              </m:sSub>
            </m:oMath>
            <w:r>
              <w:t xml:space="preserve"> </w:t>
            </w:r>
            <w:r>
              <w:t xml:space="preserve">(bias, variance, and MSE)(true simulated effect</w:t>
            </w:r>
            <w:r>
              <w:t xml:space="preserve"> </w:t>
            </w:r>
            <m:oMath>
              <m:sSub>
                <m:e>
                  <m:r>
                    <m:t>β</m:t>
                  </m:r>
                </m:e>
                <m:sub>
                  <m:r>
                    <m:t>1</m:t>
                  </m:r>
                </m:sub>
              </m:sSub>
              <m:r>
                <m:rPr>
                  <m:sty m:val="p"/>
                </m:rPr>
                <m:t>=</m:t>
              </m:r>
              <m:r>
                <m:t>1.0</m:t>
              </m:r>
            </m:oMath>
            <w:r>
              <w:t xml:space="preserve"> </w:t>
            </w:r>
            <w:r>
              <w:t xml:space="preserve">) and the predictions,</w:t>
            </w:r>
            <w:r>
              <w:t xml:space="preserve"> </w:t>
            </w:r>
            <m:oMath>
              <m:acc>
                <m:accPr>
                  <m:chr m:val="̂"/>
                </m:accPr>
                <m:e>
                  <m:r>
                    <m:t>y</m:t>
                  </m:r>
                </m:e>
              </m:acc>
            </m:oMath>
            <w:r>
              <w:t xml:space="preserve"> </w:t>
            </w:r>
            <w:r>
              <w:t xml:space="preserve">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w:t>
            </w:r>
            <w:r>
              <w:t xml:space="preserve"> </w:t>
            </w:r>
            <m:oMath>
              <m:sSub>
                <m:e>
                  <m:acc>
                    <m:accPr>
                      <m:chr m:val="̂"/>
                    </m:accPr>
                    <m:e>
                      <m:r>
                        <m:t>β</m:t>
                      </m:r>
                    </m:e>
                  </m:acc>
                </m:e>
                <m:sub>
                  <m:r>
                    <m:t>1</m:t>
                  </m:r>
                </m:sub>
              </m:sSub>
            </m:oMath>
            <w:r>
              <w:t xml:space="preserve"> </w:t>
            </w:r>
            <w:r>
              <w:t xml:space="preserve">(first plot) or the prediction</w:t>
            </w:r>
            <w:r>
              <w:t xml:space="preserve"> </w:t>
            </w:r>
            <m:oMath>
              <m:acc>
                <m:accPr>
                  <m:chr m:val="̂"/>
                </m:accPr>
                <m:e>
                  <m:r>
                    <m:t>y</m:t>
                  </m:r>
                </m:e>
              </m:acc>
            </m:oMath>
            <w:r>
              <w:t xml:space="preserve"> </w:t>
            </w:r>
            <w:r>
              <w:t xml:space="preserve">(second plot) as the response. Red dots correspond to the best predicted set of hyperparameters (based on a random forest), in the first plot for the minimum MSE of the effect</w:t>
            </w:r>
            <w:r>
              <w:t xml:space="preserve"> </w:t>
            </w:r>
            <m:oMath>
              <m:sSub>
                <m:e>
                  <m:acc>
                    <m:accPr>
                      <m:chr m:val="̂"/>
                    </m:accPr>
                    <m:e>
                      <m:r>
                        <m:t>β</m:t>
                      </m:r>
                    </m:e>
                  </m:acc>
                </m:e>
                <m:sub>
                  <m:r>
                    <m:t>1</m:t>
                  </m:r>
                </m:sub>
              </m:sSub>
            </m:oMath>
            <w:r>
              <w:t xml:space="preserve"> </w:t>
            </w:r>
            <w:r>
              <w:t xml:space="preserve">and in the second plot for the minimum MSE of the predictions</w:t>
            </w:r>
            <w:r>
              <w:t xml:space="preserve"> </w:t>
            </w:r>
            <m:oMath>
              <m:acc>
                <m:accPr>
                  <m:chr m:val="̂"/>
                </m:accPr>
                <m:e>
                  <m:r>
                    <m:t>y</m:t>
                  </m:r>
                </m:e>
              </m:acc>
            </m:oMath>
            <w:r>
              <w:t xml:space="preserve">.</w:t>
            </w:r>
          </w:p>
          <w:bookmarkEnd w:id="54"/>
        </w:tc>
      </w:tr>
    </w:tbl>
    <w:bookmarkEnd w:id="55"/>
    <w:bookmarkStart w:id="58" w:name="optimal-hyperparameters"/>
    <w:p>
      <w:pPr>
        <w:pStyle w:val="Heading3"/>
      </w:pPr>
      <w:r>
        <w:t xml:space="preserve">3.2 Optimal hyperparameters</w:t>
      </w:r>
    </w:p>
    <w:p>
      <w:pPr>
        <w:pStyle w:val="FirstParagraph"/>
      </w:pPr>
      <w:r>
        <w:t xml:space="preserve">The hyperparameters were chosen based on the lowest MSE for the predictive performance of the models (Table S2) and the lowest MSE for the effect (</w:t>
      </w:r>
      <m:oMath>
        <m:sSub>
          <m:e>
            <m:r>
              <m:t>β</m:t>
            </m:r>
          </m:e>
          <m:sub>
            <m:r>
              <m:t>1</m:t>
            </m:r>
          </m:sub>
        </m:sSub>
      </m:oMath>
      <w:r>
        <w:t xml:space="preserve">) on X</w:t>
      </w:r>
      <w:r>
        <w:rPr>
          <w:vertAlign w:val="subscript"/>
        </w:rPr>
        <w:t xml:space="preserve">1</w:t>
      </w:r>
      <w:r>
        <w:t xml:space="preserve"> </w:t>
      </w:r>
      <w:r>
        <w:t xml:space="preserve">(Table S3). The selection of the best hyperparameters was done by first fitting a random forest (default parameters) with the MSE as response and the hyperparameters as predictors, and then using the set of hyperparameters that predicted the lowest MSE.</w:t>
      </w:r>
    </w:p>
    <w:bookmarkStart w:id="56" w:name="tbl-Hyper_selected_pred"/>
    <w:p>
      <w:pPr>
        <w:pStyle w:val="TableCaption"/>
      </w:pPr>
      <w:r>
        <w:rPr>
          <w:bCs/>
          <w:b/>
        </w:rPr>
        <w:t xml:space="preserve">Table S</w:t>
      </w:r>
      <w:r>
        <w:t xml:space="preserve"> 2: Best predicted set of hyperparameterfor ML algorithms (tuned after MSE of predictions)</w:t>
      </w:r>
    </w:p>
    <w:tbl>
      <w:tblPr>
        <w:tblStyle w:val="Table"/>
        <w:tblW w:type="pct" w:w="5000"/>
        <w:tblLook w:firstRow="1" w:lastRow="0" w:firstColumn="0" w:lastColumn="0" w:noHBand="0" w:noVBand="0" w:val="0020"/>
        <w:tblCaption w:val="Table S 2: Best predicted set of hyperparameterfor ML algorithms (tuned after MSE of predictions)"/>
      </w:tblPr>
      <w:tblGrid>
        <w:gridCol w:w="1320"/>
        <w:gridCol w:w="1320"/>
        <w:gridCol w:w="1320"/>
        <w:gridCol w:w="1320"/>
        <w:gridCol w:w="1320"/>
        <w:gridCol w:w="132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c>
          <w:tcPr/>
          <w:p>
            <w:pPr>
              <w:pStyle w:val="Compact"/>
              <w:jc w:val="left"/>
            </w:pPr>
            <w:r>
              <w:t xml:space="preserve">n = 2000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celu</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0.944</w:t>
            </w:r>
          </w:p>
        </w:tc>
        <w:tc>
          <w:tcPr/>
          <w:p>
            <w:pPr>
              <w:pStyle w:val="Compact"/>
              <w:jc w:val="left"/>
            </w:pPr>
            <w:r>
              <w:t xml:space="preserve">0.348</w:t>
            </w:r>
          </w:p>
        </w:tc>
        <w:tc>
          <w:tcPr/>
          <w:p>
            <w:pPr>
              <w:pStyle w:val="Compact"/>
              <w:jc w:val="left"/>
            </w:pPr>
            <w:r>
              <w:t xml:space="preserve">0.098</w:t>
            </w:r>
          </w:p>
        </w:tc>
        <w:tc>
          <w:tcPr/>
          <w:p>
            <w:pPr>
              <w:pStyle w:val="Compact"/>
              <w:jc w:val="left"/>
            </w:pPr>
            <w:r>
              <w:t xml:space="preserve">0.098</w:t>
            </w:r>
          </w:p>
        </w:tc>
      </w:tr>
      <w:tr>
        <w:tc>
          <w:tcPr/>
          <w:p>
            <w:pPr>
              <w:pStyle w:val="Compact"/>
            </w:pPr>
          </w:p>
        </w:tc>
        <w:tc>
          <w:tcPr/>
          <w:p>
            <w:pPr>
              <w:pStyle w:val="Compact"/>
              <w:jc w:val="left"/>
            </w:pPr>
            <w:r>
              <w:t xml:space="preserve">depth</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jc w:val="left"/>
            </w:pPr>
            <w:r>
              <w:t xml:space="preserve">width</w:t>
            </w:r>
          </w:p>
        </w:tc>
        <w:tc>
          <w:tcPr/>
          <w:p>
            <w:pPr>
              <w:pStyle w:val="Compact"/>
              <w:jc w:val="left"/>
            </w:pPr>
            <w:r>
              <w:t xml:space="preserve">24</w:t>
            </w:r>
          </w:p>
        </w:tc>
        <w:tc>
          <w:tcPr/>
          <w:p>
            <w:pPr>
              <w:pStyle w:val="Compact"/>
              <w:jc w:val="left"/>
            </w:pPr>
            <w:r>
              <w:t xml:space="preserve">20</w:t>
            </w:r>
          </w:p>
        </w:tc>
        <w:tc>
          <w:tcPr/>
          <w:p>
            <w:pPr>
              <w:pStyle w:val="Compact"/>
              <w:jc w:val="left"/>
            </w:pPr>
            <w:r>
              <w:t xml:space="preserve">35</w:t>
            </w:r>
          </w:p>
        </w:tc>
        <w:tc>
          <w:tcPr/>
          <w:p>
            <w:pPr>
              <w:pStyle w:val="Compact"/>
              <w:jc w:val="left"/>
            </w:pPr>
            <w:r>
              <w:t xml:space="preserve">35</w:t>
            </w:r>
          </w:p>
        </w:tc>
      </w:tr>
      <w:tr>
        <w:tc>
          <w:tcPr/>
          <w:p>
            <w:pPr>
              <w:pStyle w:val="Compact"/>
            </w:pPr>
          </w:p>
        </w:tc>
        <w:tc>
          <w:tcPr/>
          <w:p>
            <w:pPr>
              <w:pStyle w:val="Compact"/>
              <w:jc w:val="left"/>
            </w:pPr>
            <w:r>
              <w:t xml:space="preserve">alpha</w:t>
            </w:r>
          </w:p>
        </w:tc>
        <w:tc>
          <w:tcPr/>
          <w:p>
            <w:pPr>
              <w:pStyle w:val="Compact"/>
              <w:jc w:val="left"/>
            </w:pPr>
            <w:r>
              <w:t xml:space="preserve">0.939</w:t>
            </w:r>
          </w:p>
        </w:tc>
        <w:tc>
          <w:tcPr/>
          <w:p>
            <w:pPr>
              <w:pStyle w:val="Compact"/>
              <w:jc w:val="left"/>
            </w:pPr>
            <w:r>
              <w:t xml:space="preserve">0.821</w:t>
            </w:r>
          </w:p>
        </w:tc>
        <w:tc>
          <w:tcPr/>
          <w:p>
            <w:pPr>
              <w:pStyle w:val="Compact"/>
              <w:jc w:val="left"/>
            </w:pPr>
            <w:r>
              <w:t xml:space="preserve">0.693</w:t>
            </w:r>
          </w:p>
        </w:tc>
        <w:tc>
          <w:tcPr/>
          <w:p>
            <w:pPr>
              <w:pStyle w:val="Compact"/>
              <w:jc w:val="left"/>
            </w:pPr>
            <w:r>
              <w:t xml:space="preserve">0.693</w:t>
            </w:r>
          </w:p>
        </w:tc>
      </w:tr>
      <w:tr>
        <w:tc>
          <w:tcPr/>
          <w:p>
            <w:pPr>
              <w:pStyle w:val="Compact"/>
            </w:pPr>
          </w:p>
        </w:tc>
        <w:tc>
          <w:tcPr/>
          <w:p>
            <w:pPr>
              <w:pStyle w:val="Compact"/>
              <w:jc w:val="left"/>
            </w:pPr>
            <w:r>
              <w:t xml:space="preserve">lambda</w:t>
            </w:r>
          </w:p>
        </w:tc>
        <w:tc>
          <w:tcPr/>
          <w:p>
            <w:pPr>
              <w:pStyle w:val="Compact"/>
              <w:jc w:val="left"/>
            </w:pPr>
            <w:r>
              <w:t xml:space="preserve">0.003</w:t>
            </w:r>
          </w:p>
        </w:tc>
        <w:tc>
          <w:tcPr/>
          <w:p>
            <w:pPr>
              <w:pStyle w:val="Compact"/>
              <w:jc w:val="left"/>
            </w:pPr>
            <w:r>
              <w:t xml:space="preserve">0.02</w:t>
            </w:r>
          </w:p>
        </w:tc>
        <w:tc>
          <w:tcPr/>
          <w:p>
            <w:pPr>
              <w:pStyle w:val="Compact"/>
              <w:jc w:val="left"/>
            </w:pPr>
            <w:r>
              <w:t xml:space="preserve">0.019</w:t>
            </w:r>
          </w:p>
        </w:tc>
        <w:tc>
          <w:tcPr/>
          <w:p>
            <w:pPr>
              <w:pStyle w:val="Compact"/>
              <w:jc w:val="left"/>
            </w:pPr>
            <w:r>
              <w:t xml:space="preserve">0.019</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0.072</w:t>
            </w:r>
          </w:p>
        </w:tc>
        <w:tc>
          <w:tcPr/>
          <w:p>
            <w:pPr>
              <w:pStyle w:val="Compact"/>
              <w:jc w:val="left"/>
            </w:pPr>
            <w:r>
              <w:t xml:space="preserve">0.126</w:t>
            </w:r>
          </w:p>
        </w:tc>
        <w:tc>
          <w:tcPr/>
          <w:p>
            <w:pPr>
              <w:pStyle w:val="Compact"/>
              <w:jc w:val="left"/>
            </w:pPr>
            <w:r>
              <w:t xml:space="preserve">0.245</w:t>
            </w:r>
          </w:p>
        </w:tc>
        <w:tc>
          <w:tcPr/>
          <w:p>
            <w:pPr>
              <w:pStyle w:val="Compact"/>
              <w:jc w:val="left"/>
            </w:pPr>
            <w:r>
              <w:t xml:space="preserve">0.147</w:t>
            </w:r>
          </w:p>
        </w:tc>
      </w:tr>
      <w:tr>
        <w:tc>
          <w:tcPr/>
          <w:p>
            <w:pPr>
              <w:pStyle w:val="Compact"/>
            </w:pPr>
          </w:p>
        </w:tc>
        <w:tc>
          <w:tcPr/>
          <w:p>
            <w:pPr>
              <w:pStyle w:val="Compact"/>
              <w:jc w:val="left"/>
            </w:pPr>
            <w:r>
              <w:t xml:space="preserve">max_depth</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4</w:t>
            </w:r>
          </w:p>
        </w:tc>
      </w:tr>
      <w:tr>
        <w:tc>
          <w:tcPr/>
          <w:p>
            <w:pPr>
              <w:pStyle w:val="Compact"/>
            </w:pPr>
          </w:p>
        </w:tc>
        <w:tc>
          <w:tcPr/>
          <w:p>
            <w:pPr>
              <w:pStyle w:val="Compact"/>
              <w:jc w:val="left"/>
            </w:pPr>
            <w:r>
              <w:t xml:space="preserve">subsample</w:t>
            </w:r>
          </w:p>
        </w:tc>
        <w:tc>
          <w:tcPr/>
          <w:p>
            <w:pPr>
              <w:pStyle w:val="Compact"/>
              <w:jc w:val="left"/>
            </w:pPr>
            <w:r>
              <w:t xml:space="preserve">0.666</w:t>
            </w:r>
          </w:p>
        </w:tc>
        <w:tc>
          <w:tcPr/>
          <w:p>
            <w:pPr>
              <w:pStyle w:val="Compact"/>
              <w:jc w:val="left"/>
            </w:pPr>
            <w:r>
              <w:t xml:space="preserve">0.511</w:t>
            </w:r>
          </w:p>
        </w:tc>
        <w:tc>
          <w:tcPr/>
          <w:p>
            <w:pPr>
              <w:pStyle w:val="Compact"/>
              <w:jc w:val="left"/>
            </w:pPr>
            <w:r>
              <w:t xml:space="preserve">0.77</w:t>
            </w:r>
          </w:p>
        </w:tc>
        <w:tc>
          <w:tcPr/>
          <w:p>
            <w:pPr>
              <w:pStyle w:val="Compact"/>
              <w:jc w:val="left"/>
            </w:pPr>
            <w:r>
              <w:t xml:space="preserve">0.57</w:t>
            </w:r>
          </w:p>
        </w:tc>
      </w:tr>
      <w:tr>
        <w:tc>
          <w:tcPr/>
          <w:p>
            <w:pPr>
              <w:pStyle w:val="Compact"/>
            </w:pPr>
          </w:p>
        </w:tc>
        <w:tc>
          <w:tcPr/>
          <w:p>
            <w:pPr>
              <w:pStyle w:val="Compact"/>
              <w:jc w:val="left"/>
            </w:pPr>
            <w:r>
              <w:t xml:space="preserve">lambda</w:t>
            </w:r>
          </w:p>
        </w:tc>
        <w:tc>
          <w:tcPr/>
          <w:p>
            <w:pPr>
              <w:pStyle w:val="Compact"/>
              <w:jc w:val="left"/>
            </w:pPr>
            <w:r>
              <w:t xml:space="preserve">9.073</w:t>
            </w:r>
          </w:p>
        </w:tc>
        <w:tc>
          <w:tcPr/>
          <w:p>
            <w:pPr>
              <w:pStyle w:val="Compact"/>
              <w:jc w:val="left"/>
            </w:pPr>
            <w:r>
              <w:t xml:space="preserve">8.888</w:t>
            </w:r>
          </w:p>
        </w:tc>
        <w:tc>
          <w:tcPr/>
          <w:p>
            <w:pPr>
              <w:pStyle w:val="Compact"/>
              <w:jc w:val="left"/>
            </w:pPr>
            <w:r>
              <w:t xml:space="preserve">8.21</w:t>
            </w:r>
          </w:p>
        </w:tc>
        <w:tc>
          <w:tcPr/>
          <w:p>
            <w:pPr>
              <w:pStyle w:val="Compact"/>
              <w:jc w:val="left"/>
            </w:pPr>
            <w:r>
              <w:t xml:space="preserve">4.556</w:t>
            </w:r>
          </w:p>
        </w:tc>
      </w:tr>
      <w:tr>
        <w:tc>
          <w:tcPr/>
          <w:p>
            <w:pPr>
              <w:pStyle w:val="Compact"/>
            </w:pPr>
          </w:p>
        </w:tc>
        <w:tc>
          <w:tcPr/>
          <w:p>
            <w:pPr>
              <w:pStyle w:val="Compact"/>
              <w:jc w:val="left"/>
            </w:pPr>
            <w:r>
              <w:t xml:space="preserve">max_tree</w:t>
            </w:r>
          </w:p>
        </w:tc>
        <w:tc>
          <w:tcPr/>
          <w:p>
            <w:pPr>
              <w:pStyle w:val="Compact"/>
              <w:jc w:val="left"/>
            </w:pPr>
            <w:r>
              <w:t xml:space="preserve">117</w:t>
            </w:r>
          </w:p>
        </w:tc>
        <w:tc>
          <w:tcPr/>
          <w:p>
            <w:pPr>
              <w:pStyle w:val="Compact"/>
              <w:jc w:val="left"/>
            </w:pPr>
            <w:r>
              <w:t xml:space="preserve">109</w:t>
            </w:r>
          </w:p>
        </w:tc>
        <w:tc>
          <w:tcPr/>
          <w:p>
            <w:pPr>
              <w:pStyle w:val="Compact"/>
              <w:jc w:val="left"/>
            </w:pPr>
            <w:r>
              <w:t xml:space="preserve">110</w:t>
            </w:r>
          </w:p>
        </w:tc>
        <w:tc>
          <w:tcPr/>
          <w:p>
            <w:pPr>
              <w:pStyle w:val="Compact"/>
              <w:jc w:val="left"/>
            </w:pPr>
            <w:r>
              <w:t xml:space="preserve">114</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0.129</w:t>
            </w:r>
          </w:p>
        </w:tc>
        <w:tc>
          <w:tcPr/>
          <w:p>
            <w:pPr>
              <w:pStyle w:val="Compact"/>
              <w:jc w:val="left"/>
            </w:pPr>
            <w:r>
              <w:t xml:space="preserve">0.466</w:t>
            </w:r>
          </w:p>
        </w:tc>
        <w:tc>
          <w:tcPr/>
          <w:p>
            <w:pPr>
              <w:pStyle w:val="Compact"/>
              <w:jc w:val="left"/>
            </w:pPr>
            <w:r>
              <w:t xml:space="preserve">0.792</w:t>
            </w:r>
          </w:p>
        </w:tc>
        <w:tc>
          <w:tcPr/>
          <w:p>
            <w:pPr>
              <w:pStyle w:val="Compact"/>
              <w:jc w:val="left"/>
            </w:pPr>
            <w:r>
              <w:t xml:space="preserve">0.603</w:t>
            </w:r>
          </w:p>
        </w:tc>
      </w:tr>
      <w:tr>
        <w:tc>
          <w:tcPr/>
          <w:p>
            <w:pPr>
              <w:pStyle w:val="Compact"/>
            </w:pPr>
          </w:p>
        </w:tc>
        <w:tc>
          <w:tcPr/>
          <w:p>
            <w:pPr>
              <w:pStyle w:val="Compact"/>
              <w:jc w:val="left"/>
            </w:pPr>
            <w:r>
              <w:t xml:space="preserve">min.node.size</w:t>
            </w:r>
          </w:p>
        </w:tc>
        <w:tc>
          <w:tcPr/>
          <w:p>
            <w:pPr>
              <w:pStyle w:val="Compact"/>
              <w:jc w:val="left"/>
            </w:pPr>
            <w:r>
              <w:t xml:space="preserve">12</w:t>
            </w:r>
          </w:p>
        </w:tc>
        <w:tc>
          <w:tcPr/>
          <w:p>
            <w:pPr>
              <w:pStyle w:val="Compact"/>
              <w:jc w:val="left"/>
            </w:pPr>
            <w:r>
              <w:t xml:space="preserve">2</w:t>
            </w:r>
          </w:p>
        </w:tc>
        <w:tc>
          <w:tcPr/>
          <w:p>
            <w:pPr>
              <w:pStyle w:val="Compact"/>
              <w:jc w:val="left"/>
            </w:pPr>
            <w:r>
              <w:t xml:space="preserve">3</w:t>
            </w:r>
          </w:p>
        </w:tc>
        <w:tc>
          <w:tcPr/>
          <w:p>
            <w:pPr>
              <w:pStyle w:val="Compact"/>
              <w:jc w:val="left"/>
            </w:pPr>
            <w:r>
              <w:t xml:space="preserve">6</w:t>
            </w:r>
          </w:p>
        </w:tc>
      </w:tr>
      <w:tr>
        <w:tc>
          <w:tcPr/>
          <w:p>
            <w:pPr>
              <w:pStyle w:val="Compact"/>
            </w:pPr>
          </w:p>
        </w:tc>
        <w:tc>
          <w:tcPr/>
          <w:p>
            <w:pPr>
              <w:pStyle w:val="Compact"/>
              <w:jc w:val="left"/>
            </w:pPr>
            <w:r>
              <w:t xml:space="preserve">max.depth</w:t>
            </w:r>
          </w:p>
        </w:tc>
        <w:tc>
          <w:tcPr/>
          <w:p>
            <w:pPr>
              <w:pStyle w:val="Compact"/>
              <w:jc w:val="left"/>
            </w:pPr>
            <w:r>
              <w:t xml:space="preserve">21</w:t>
            </w:r>
          </w:p>
        </w:tc>
        <w:tc>
          <w:tcPr/>
          <w:p>
            <w:pPr>
              <w:pStyle w:val="Compact"/>
              <w:jc w:val="left"/>
            </w:pPr>
            <w:r>
              <w:t xml:space="preserve">19</w:t>
            </w:r>
          </w:p>
        </w:tc>
        <w:tc>
          <w:tcPr/>
          <w:p>
            <w:pPr>
              <w:pStyle w:val="Compact"/>
              <w:jc w:val="left"/>
            </w:pPr>
            <w:r>
              <w:t xml:space="preserve">47</w:t>
            </w:r>
          </w:p>
        </w:tc>
        <w:tc>
          <w:tcPr/>
          <w:p>
            <w:pPr>
              <w:pStyle w:val="Compact"/>
              <w:jc w:val="left"/>
            </w:pPr>
            <w:r>
              <w:t xml:space="preserve">30</w:t>
            </w:r>
          </w:p>
        </w:tc>
      </w:tr>
      <w:tr>
        <w:tc>
          <w:tcPr/>
          <w:p>
            <w:pPr>
              <w:pStyle w:val="Compact"/>
            </w:pPr>
          </w:p>
        </w:tc>
        <w:tc>
          <w:tcPr/>
          <w:p>
            <w:pPr>
              <w:pStyle w:val="Compact"/>
              <w:jc w:val="left"/>
            </w:pPr>
            <w:r>
              <w:t xml:space="preserve">regularization.factor</w:t>
            </w:r>
          </w:p>
        </w:tc>
        <w:tc>
          <w:tcPr/>
          <w:p>
            <w:pPr>
              <w:pStyle w:val="Compact"/>
              <w:jc w:val="left"/>
            </w:pPr>
            <w:r>
              <w:t xml:space="preserve">0.914</w:t>
            </w:r>
          </w:p>
        </w:tc>
        <w:tc>
          <w:tcPr/>
          <w:p>
            <w:pPr>
              <w:pStyle w:val="Compact"/>
              <w:jc w:val="left"/>
            </w:pPr>
            <w:r>
              <w:t xml:space="preserve">0.874</w:t>
            </w:r>
          </w:p>
        </w:tc>
        <w:tc>
          <w:tcPr/>
          <w:p>
            <w:pPr>
              <w:pStyle w:val="Compact"/>
              <w:jc w:val="left"/>
            </w:pPr>
            <w:r>
              <w:t xml:space="preserve">0.736</w:t>
            </w:r>
          </w:p>
        </w:tc>
        <w:tc>
          <w:tcPr/>
          <w:p>
            <w:pPr>
              <w:pStyle w:val="Compact"/>
              <w:jc w:val="left"/>
            </w:pPr>
            <w:r>
              <w:t xml:space="preserve">0.615</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0.007</w:t>
            </w:r>
          </w:p>
        </w:tc>
        <w:tc>
          <w:tcPr/>
          <w:p>
            <w:pPr>
              <w:pStyle w:val="Compact"/>
              <w:jc w:val="left"/>
            </w:pPr>
            <w:r>
              <w:t xml:space="preserve">0.008</w:t>
            </w:r>
          </w:p>
        </w:tc>
        <w:tc>
          <w:tcPr/>
          <w:p>
            <w:pPr>
              <w:pStyle w:val="Compact"/>
              <w:jc w:val="left"/>
            </w:pPr>
            <w:r>
              <w:t xml:space="preserve">0.025</w:t>
            </w:r>
          </w:p>
        </w:tc>
        <w:tc>
          <w:tcPr/>
          <w:p>
            <w:pPr>
              <w:pStyle w:val="Compact"/>
              <w:jc w:val="left"/>
            </w:pPr>
            <w:r>
              <w:t xml:space="preserve">0.025</w:t>
            </w:r>
          </w:p>
        </w:tc>
      </w:tr>
      <w:tr>
        <w:tc>
          <w:tcPr/>
          <w:p>
            <w:pPr>
              <w:pStyle w:val="Compact"/>
            </w:pPr>
          </w:p>
        </w:tc>
        <w:tc>
          <w:tcPr/>
          <w:p>
            <w:pPr>
              <w:pStyle w:val="Compact"/>
              <w:jc w:val="left"/>
            </w:pPr>
            <w:r>
              <w:t xml:space="preserve">lambda</w:t>
            </w:r>
          </w:p>
        </w:tc>
        <w:tc>
          <w:tcPr/>
          <w:p>
            <w:pPr>
              <w:pStyle w:val="Compact"/>
              <w:jc w:val="left"/>
            </w:pPr>
            <w:r>
              <w:t xml:space="preserve">0.286</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0.006</w:t>
            </w:r>
          </w:p>
        </w:tc>
      </w:tr>
    </w:tbl>
    <w:bookmarkEnd w:id="56"/>
    <w:p>
      <w:pPr>
        <w:pStyle w:val="BodyText"/>
      </w:pPr>
      <w:r>
        <w:t xml:space="preserve"> </w:t>
      </w:r>
    </w:p>
    <w:bookmarkStart w:id="57" w:name="tbl-Hyper_selected_eff"/>
    <w:p>
      <w:pPr>
        <w:pStyle w:val="TableCaption"/>
      </w:pPr>
      <w:r>
        <w:rPr>
          <w:bCs/>
          <w:b/>
        </w:rPr>
        <w:t xml:space="preserve">Table S</w:t>
      </w:r>
      <w:r>
        <w:t xml:space="preserve"> 3: Best predicted set of hyperparameterfor ML algorithms (tuned after MSE of effect X</w:t>
      </w:r>
      <w:r>
        <w:rPr>
          <w:vertAlign w:val="subscript"/>
        </w:rPr>
        <w:t xml:space="preserve">1</w:t>
      </w:r>
      <w:r>
        <w:t xml:space="preserve">)</w:t>
      </w:r>
    </w:p>
    <w:tbl>
      <w:tblPr>
        <w:tblStyle w:val="Table"/>
        <w:tblW w:type="pct" w:w="5000"/>
        <w:tblLook w:firstRow="1" w:lastRow="0" w:firstColumn="0" w:lastColumn="0" w:noHBand="0" w:noVBand="0" w:val="0020"/>
        <w:tblCaption w:val="Table S 3: Best predicted set of hyperparameterfor ML algorithms (tuned after MSE of effect X1)"/>
      </w:tblPr>
      <w:tblGrid>
        <w:gridCol w:w="1320"/>
        <w:gridCol w:w="1320"/>
        <w:gridCol w:w="1320"/>
        <w:gridCol w:w="1320"/>
        <w:gridCol w:w="1320"/>
        <w:gridCol w:w="132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c>
          <w:tcPr/>
          <w:p>
            <w:pPr>
              <w:pStyle w:val="Compact"/>
              <w:jc w:val="left"/>
            </w:pPr>
            <w:r>
              <w:t xml:space="preserve">n = 2000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0.391</w:t>
            </w:r>
          </w:p>
        </w:tc>
        <w:tc>
          <w:tcPr/>
          <w:p>
            <w:pPr>
              <w:pStyle w:val="Compact"/>
              <w:jc w:val="left"/>
            </w:pPr>
            <w:r>
              <w:t xml:space="preserve">0.395</w:t>
            </w:r>
          </w:p>
        </w:tc>
        <w:tc>
          <w:tcPr/>
          <w:p>
            <w:pPr>
              <w:pStyle w:val="Compact"/>
              <w:jc w:val="left"/>
            </w:pPr>
            <w:r>
              <w:t xml:space="preserve">0.112</w:t>
            </w:r>
          </w:p>
        </w:tc>
        <w:tc>
          <w:tcPr/>
          <w:p>
            <w:pPr>
              <w:pStyle w:val="Compact"/>
              <w:jc w:val="left"/>
            </w:pPr>
            <w:r>
              <w:t xml:space="preserve">0.175</w:t>
            </w:r>
          </w:p>
        </w:tc>
      </w:tr>
      <w:tr>
        <w:tc>
          <w:tcPr/>
          <w:p>
            <w:pPr>
              <w:pStyle w:val="Compact"/>
            </w:pPr>
          </w:p>
        </w:tc>
        <w:tc>
          <w:tcPr/>
          <w:p>
            <w:pPr>
              <w:pStyle w:val="Compact"/>
              <w:jc w:val="left"/>
            </w:pPr>
            <w:r>
              <w:t xml:space="preserve">depth</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r>
      <w:tr>
        <w:tc>
          <w:tcPr/>
          <w:p>
            <w:pPr>
              <w:pStyle w:val="Compact"/>
            </w:pPr>
          </w:p>
        </w:tc>
        <w:tc>
          <w:tcPr/>
          <w:p>
            <w:pPr>
              <w:pStyle w:val="Compact"/>
              <w:jc w:val="left"/>
            </w:pPr>
            <w:r>
              <w:t xml:space="preserve">width</w:t>
            </w:r>
          </w:p>
        </w:tc>
        <w:tc>
          <w:tcPr/>
          <w:p>
            <w:pPr>
              <w:pStyle w:val="Compact"/>
              <w:jc w:val="left"/>
            </w:pPr>
            <w:r>
              <w:t xml:space="preserve">18</w:t>
            </w:r>
          </w:p>
        </w:tc>
        <w:tc>
          <w:tcPr/>
          <w:p>
            <w:pPr>
              <w:pStyle w:val="Compact"/>
              <w:jc w:val="left"/>
            </w:pPr>
            <w:r>
              <w:t xml:space="preserve">40</w:t>
            </w:r>
          </w:p>
        </w:tc>
        <w:tc>
          <w:tcPr/>
          <w:p>
            <w:pPr>
              <w:pStyle w:val="Compact"/>
              <w:jc w:val="left"/>
            </w:pPr>
            <w:r>
              <w:t xml:space="preserve">19</w:t>
            </w:r>
          </w:p>
        </w:tc>
        <w:tc>
          <w:tcPr/>
          <w:p>
            <w:pPr>
              <w:pStyle w:val="Compact"/>
              <w:jc w:val="left"/>
            </w:pPr>
            <w:r>
              <w:t xml:space="preserve">39</w:t>
            </w:r>
          </w:p>
        </w:tc>
      </w:tr>
      <w:tr>
        <w:tc>
          <w:tcPr/>
          <w:p>
            <w:pPr>
              <w:pStyle w:val="Compact"/>
            </w:pPr>
          </w:p>
        </w:tc>
        <w:tc>
          <w:tcPr/>
          <w:p>
            <w:pPr>
              <w:pStyle w:val="Compact"/>
              <w:jc w:val="left"/>
            </w:pPr>
            <w:r>
              <w:t xml:space="preserve">alpha</w:t>
            </w:r>
          </w:p>
        </w:tc>
        <w:tc>
          <w:tcPr/>
          <w:p>
            <w:pPr>
              <w:pStyle w:val="Compact"/>
              <w:jc w:val="left"/>
            </w:pPr>
            <w:r>
              <w:t xml:space="preserve">0.135</w:t>
            </w:r>
          </w:p>
        </w:tc>
        <w:tc>
          <w:tcPr/>
          <w:p>
            <w:pPr>
              <w:pStyle w:val="Compact"/>
              <w:jc w:val="left"/>
            </w:pPr>
            <w:r>
              <w:t xml:space="preserve">0.613</w:t>
            </w:r>
          </w:p>
        </w:tc>
        <w:tc>
          <w:tcPr/>
          <w:p>
            <w:pPr>
              <w:pStyle w:val="Compact"/>
              <w:jc w:val="left"/>
            </w:pPr>
            <w:r>
              <w:t xml:space="preserve">0.332</w:t>
            </w:r>
          </w:p>
        </w:tc>
        <w:tc>
          <w:tcPr/>
          <w:p>
            <w:pPr>
              <w:pStyle w:val="Compact"/>
              <w:jc w:val="left"/>
            </w:pPr>
            <w:r>
              <w:t xml:space="preserve">0.498</w:t>
            </w:r>
          </w:p>
        </w:tc>
      </w:tr>
      <w:tr>
        <w:tc>
          <w:tcPr/>
          <w:p>
            <w:pPr>
              <w:pStyle w:val="Compact"/>
            </w:pPr>
          </w:p>
        </w:tc>
        <w:tc>
          <w:tcPr/>
          <w:p>
            <w:pPr>
              <w:pStyle w:val="Compact"/>
              <w:jc w:val="left"/>
            </w:pPr>
            <w:r>
              <w:t xml:space="preserve">lambda</w:t>
            </w:r>
          </w:p>
        </w:tc>
        <w:tc>
          <w:tcPr/>
          <w:p>
            <w:pPr>
              <w:pStyle w:val="Compact"/>
              <w:jc w:val="left"/>
            </w:pPr>
            <w:r>
              <w:t xml:space="preserve">0.009</w:t>
            </w:r>
          </w:p>
        </w:tc>
        <w:tc>
          <w:tcPr/>
          <w:p>
            <w:pPr>
              <w:pStyle w:val="Compact"/>
              <w:jc w:val="left"/>
            </w:pPr>
            <w:r>
              <w:t xml:space="preserve">0.011</w:t>
            </w:r>
          </w:p>
        </w:tc>
        <w:tc>
          <w:tcPr/>
          <w:p>
            <w:pPr>
              <w:pStyle w:val="Compact"/>
              <w:jc w:val="left"/>
            </w:pPr>
            <w:r>
              <w:t xml:space="preserve">0.002</w:t>
            </w:r>
          </w:p>
        </w:tc>
        <w:tc>
          <w:tcPr/>
          <w:p>
            <w:pPr>
              <w:pStyle w:val="Compact"/>
              <w:jc w:val="left"/>
            </w:pPr>
            <w:r>
              <w:t xml:space="preserve">0.006</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0.252</w:t>
            </w:r>
          </w:p>
        </w:tc>
        <w:tc>
          <w:tcPr/>
          <w:p>
            <w:pPr>
              <w:pStyle w:val="Compact"/>
              <w:jc w:val="left"/>
            </w:pPr>
            <w:r>
              <w:t xml:space="preserve">0.327</w:t>
            </w:r>
          </w:p>
        </w:tc>
        <w:tc>
          <w:tcPr/>
          <w:p>
            <w:pPr>
              <w:pStyle w:val="Compact"/>
              <w:jc w:val="left"/>
            </w:pPr>
            <w:r>
              <w:t xml:space="preserve">0.393</w:t>
            </w:r>
          </w:p>
        </w:tc>
        <w:tc>
          <w:tcPr/>
          <w:p>
            <w:pPr>
              <w:pStyle w:val="Compact"/>
              <w:jc w:val="left"/>
            </w:pPr>
            <w:r>
              <w:t xml:space="preserve">0.393</w:t>
            </w:r>
          </w:p>
        </w:tc>
      </w:tr>
      <w:tr>
        <w:tc>
          <w:tcPr/>
          <w:p>
            <w:pPr>
              <w:pStyle w:val="Compact"/>
            </w:pPr>
          </w:p>
        </w:tc>
        <w:tc>
          <w:tcPr/>
          <w:p>
            <w:pPr>
              <w:pStyle w:val="Compact"/>
              <w:jc w:val="left"/>
            </w:pPr>
            <w:r>
              <w:t xml:space="preserve">max_depth</w:t>
            </w:r>
          </w:p>
        </w:tc>
        <w:tc>
          <w:tcPr/>
          <w:p>
            <w:pPr>
              <w:pStyle w:val="Compact"/>
              <w:jc w:val="left"/>
            </w:pPr>
            <w:r>
              <w:t xml:space="preserve">11</w:t>
            </w:r>
          </w:p>
        </w:tc>
        <w:tc>
          <w:tcPr/>
          <w:p>
            <w:pPr>
              <w:pStyle w:val="Compact"/>
              <w:jc w:val="left"/>
            </w:pPr>
            <w:r>
              <w:t xml:space="preserve">17</w:t>
            </w:r>
          </w:p>
        </w:tc>
        <w:tc>
          <w:tcPr/>
          <w:p>
            <w:pPr>
              <w:pStyle w:val="Compact"/>
              <w:jc w:val="left"/>
            </w:pPr>
            <w:r>
              <w:t xml:space="preserve">3</w:t>
            </w:r>
          </w:p>
        </w:tc>
        <w:tc>
          <w:tcPr/>
          <w:p>
            <w:pPr>
              <w:pStyle w:val="Compact"/>
              <w:jc w:val="left"/>
            </w:pPr>
            <w:r>
              <w:t xml:space="preserve">3</w:t>
            </w:r>
          </w:p>
        </w:tc>
      </w:tr>
      <w:tr>
        <w:tc>
          <w:tcPr/>
          <w:p>
            <w:pPr>
              <w:pStyle w:val="Compact"/>
            </w:pPr>
          </w:p>
        </w:tc>
        <w:tc>
          <w:tcPr/>
          <w:p>
            <w:pPr>
              <w:pStyle w:val="Compact"/>
              <w:jc w:val="left"/>
            </w:pPr>
            <w:r>
              <w:t xml:space="preserve">subsample</w:t>
            </w:r>
          </w:p>
        </w:tc>
        <w:tc>
          <w:tcPr/>
          <w:p>
            <w:pPr>
              <w:pStyle w:val="Compact"/>
              <w:jc w:val="left"/>
            </w:pPr>
            <w:r>
              <w:t xml:space="preserve">0.514</w:t>
            </w:r>
          </w:p>
        </w:tc>
        <w:tc>
          <w:tcPr/>
          <w:p>
            <w:pPr>
              <w:pStyle w:val="Compact"/>
              <w:jc w:val="left"/>
            </w:pPr>
            <w:r>
              <w:t xml:space="preserve">0.584</w:t>
            </w:r>
          </w:p>
        </w:tc>
        <w:tc>
          <w:tcPr/>
          <w:p>
            <w:pPr>
              <w:pStyle w:val="Compact"/>
              <w:jc w:val="left"/>
            </w:pPr>
            <w:r>
              <w:t xml:space="preserve">0.523</w:t>
            </w:r>
          </w:p>
        </w:tc>
        <w:tc>
          <w:tcPr/>
          <w:p>
            <w:pPr>
              <w:pStyle w:val="Compact"/>
              <w:jc w:val="left"/>
            </w:pPr>
            <w:r>
              <w:t xml:space="preserve">0.523</w:t>
            </w:r>
          </w:p>
        </w:tc>
      </w:tr>
      <w:tr>
        <w:tc>
          <w:tcPr/>
          <w:p>
            <w:pPr>
              <w:pStyle w:val="Compact"/>
            </w:pPr>
          </w:p>
        </w:tc>
        <w:tc>
          <w:tcPr/>
          <w:p>
            <w:pPr>
              <w:pStyle w:val="Compact"/>
              <w:jc w:val="left"/>
            </w:pPr>
            <w:r>
              <w:t xml:space="preserve">lambda</w:t>
            </w:r>
          </w:p>
        </w:tc>
        <w:tc>
          <w:tcPr/>
          <w:p>
            <w:pPr>
              <w:pStyle w:val="Compact"/>
              <w:jc w:val="left"/>
            </w:pPr>
            <w:r>
              <w:t xml:space="preserve">9.051</w:t>
            </w:r>
          </w:p>
        </w:tc>
        <w:tc>
          <w:tcPr/>
          <w:p>
            <w:pPr>
              <w:pStyle w:val="Compact"/>
              <w:jc w:val="left"/>
            </w:pPr>
            <w:r>
              <w:t xml:space="preserve">7.779</w:t>
            </w:r>
          </w:p>
        </w:tc>
        <w:tc>
          <w:tcPr/>
          <w:p>
            <w:pPr>
              <w:pStyle w:val="Compact"/>
              <w:jc w:val="left"/>
            </w:pPr>
            <w:r>
              <w:t xml:space="preserve">9.053</w:t>
            </w:r>
          </w:p>
        </w:tc>
        <w:tc>
          <w:tcPr/>
          <w:p>
            <w:pPr>
              <w:pStyle w:val="Compact"/>
              <w:jc w:val="left"/>
            </w:pPr>
            <w:r>
              <w:t xml:space="preserve">9.053</w:t>
            </w:r>
          </w:p>
        </w:tc>
      </w:tr>
      <w:tr>
        <w:tc>
          <w:tcPr/>
          <w:p>
            <w:pPr>
              <w:pStyle w:val="Compact"/>
            </w:pPr>
          </w:p>
        </w:tc>
        <w:tc>
          <w:tcPr/>
          <w:p>
            <w:pPr>
              <w:pStyle w:val="Compact"/>
              <w:jc w:val="left"/>
            </w:pPr>
            <w:r>
              <w:t xml:space="preserve">max_tree</w:t>
            </w:r>
          </w:p>
        </w:tc>
        <w:tc>
          <w:tcPr/>
          <w:p>
            <w:pPr>
              <w:pStyle w:val="Compact"/>
              <w:jc w:val="left"/>
            </w:pPr>
            <w:r>
              <w:t xml:space="preserve">71</w:t>
            </w:r>
          </w:p>
        </w:tc>
        <w:tc>
          <w:tcPr/>
          <w:p>
            <w:pPr>
              <w:pStyle w:val="Compact"/>
              <w:jc w:val="left"/>
            </w:pPr>
            <w:r>
              <w:t xml:space="preserve">102</w:t>
            </w:r>
          </w:p>
        </w:tc>
        <w:tc>
          <w:tcPr/>
          <w:p>
            <w:pPr>
              <w:pStyle w:val="Compact"/>
              <w:jc w:val="left"/>
            </w:pPr>
            <w:r>
              <w:t xml:space="preserve">124</w:t>
            </w:r>
          </w:p>
        </w:tc>
        <w:tc>
          <w:tcPr/>
          <w:p>
            <w:pPr>
              <w:pStyle w:val="Compact"/>
              <w:jc w:val="left"/>
            </w:pPr>
            <w:r>
              <w:t xml:space="preserve">124</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0.137</w:t>
            </w:r>
          </w:p>
        </w:tc>
        <w:tc>
          <w:tcPr/>
          <w:p>
            <w:pPr>
              <w:pStyle w:val="Compact"/>
              <w:jc w:val="left"/>
            </w:pPr>
            <w:r>
              <w:t xml:space="preserve">0.926</w:t>
            </w:r>
          </w:p>
        </w:tc>
        <w:tc>
          <w:tcPr/>
          <w:p>
            <w:pPr>
              <w:pStyle w:val="Compact"/>
              <w:jc w:val="left"/>
            </w:pPr>
            <w:r>
              <w:t xml:space="preserve">0.462</w:t>
            </w:r>
          </w:p>
        </w:tc>
        <w:tc>
          <w:tcPr/>
          <w:p>
            <w:pPr>
              <w:pStyle w:val="Compact"/>
              <w:jc w:val="left"/>
            </w:pPr>
            <w:r>
              <w:t xml:space="preserve">0.952</w:t>
            </w:r>
          </w:p>
        </w:tc>
      </w:tr>
      <w:tr>
        <w:tc>
          <w:tcPr/>
          <w:p>
            <w:pPr>
              <w:pStyle w:val="Compact"/>
            </w:pPr>
          </w:p>
        </w:tc>
        <w:tc>
          <w:tcPr/>
          <w:p>
            <w:pPr>
              <w:pStyle w:val="Compact"/>
              <w:jc w:val="left"/>
            </w:pPr>
            <w:r>
              <w:t xml:space="preserve">min.node.size</w:t>
            </w:r>
          </w:p>
        </w:tc>
        <w:tc>
          <w:tcPr/>
          <w:p>
            <w:pPr>
              <w:pStyle w:val="Compact"/>
              <w:jc w:val="left"/>
            </w:pPr>
            <w:r>
              <w:t xml:space="preserve">2</w:t>
            </w:r>
          </w:p>
        </w:tc>
        <w:tc>
          <w:tcPr/>
          <w:p>
            <w:pPr>
              <w:pStyle w:val="Compact"/>
              <w:jc w:val="left"/>
            </w:pPr>
            <w:r>
              <w:t xml:space="preserve">4</w:t>
            </w:r>
          </w:p>
        </w:tc>
        <w:tc>
          <w:tcPr/>
          <w:p>
            <w:pPr>
              <w:pStyle w:val="Compact"/>
              <w:jc w:val="left"/>
            </w:pPr>
            <w:r>
              <w:t xml:space="preserve">9</w:t>
            </w:r>
          </w:p>
        </w:tc>
        <w:tc>
          <w:tcPr/>
          <w:p>
            <w:pPr>
              <w:pStyle w:val="Compact"/>
              <w:jc w:val="left"/>
            </w:pPr>
            <w:r>
              <w:t xml:space="preserve">12</w:t>
            </w:r>
          </w:p>
        </w:tc>
      </w:tr>
      <w:tr>
        <w:tc>
          <w:tcPr/>
          <w:p>
            <w:pPr>
              <w:pStyle w:val="Compact"/>
            </w:pPr>
          </w:p>
        </w:tc>
        <w:tc>
          <w:tcPr/>
          <w:p>
            <w:pPr>
              <w:pStyle w:val="Compact"/>
              <w:jc w:val="left"/>
            </w:pPr>
            <w:r>
              <w:t xml:space="preserve">max.depth</w:t>
            </w:r>
          </w:p>
        </w:tc>
        <w:tc>
          <w:tcPr/>
          <w:p>
            <w:pPr>
              <w:pStyle w:val="Compact"/>
              <w:jc w:val="left"/>
            </w:pPr>
            <w:r>
              <w:t xml:space="preserve">31</w:t>
            </w:r>
          </w:p>
        </w:tc>
        <w:tc>
          <w:tcPr/>
          <w:p>
            <w:pPr>
              <w:pStyle w:val="Compact"/>
              <w:jc w:val="left"/>
            </w:pPr>
            <w:r>
              <w:t xml:space="preserve">29</w:t>
            </w:r>
          </w:p>
        </w:tc>
        <w:tc>
          <w:tcPr/>
          <w:p>
            <w:pPr>
              <w:pStyle w:val="Compact"/>
              <w:jc w:val="left"/>
            </w:pPr>
            <w:r>
              <w:t xml:space="preserve">29</w:t>
            </w:r>
          </w:p>
        </w:tc>
        <w:tc>
          <w:tcPr/>
          <w:p>
            <w:pPr>
              <w:pStyle w:val="Compact"/>
              <w:jc w:val="left"/>
            </w:pPr>
            <w:r>
              <w:t xml:space="preserve">36</w:t>
            </w:r>
          </w:p>
        </w:tc>
      </w:tr>
      <w:tr>
        <w:tc>
          <w:tcPr/>
          <w:p>
            <w:pPr>
              <w:pStyle w:val="Compact"/>
            </w:pPr>
          </w:p>
        </w:tc>
        <w:tc>
          <w:tcPr/>
          <w:p>
            <w:pPr>
              <w:pStyle w:val="Compact"/>
              <w:jc w:val="left"/>
            </w:pPr>
            <w:r>
              <w:t xml:space="preserve">regularization.factor</w:t>
            </w:r>
          </w:p>
        </w:tc>
        <w:tc>
          <w:tcPr/>
          <w:p>
            <w:pPr>
              <w:pStyle w:val="Compact"/>
              <w:jc w:val="left"/>
            </w:pPr>
            <w:r>
              <w:t xml:space="preserve">0.683</w:t>
            </w:r>
          </w:p>
        </w:tc>
        <w:tc>
          <w:tcPr/>
          <w:p>
            <w:pPr>
              <w:pStyle w:val="Compact"/>
              <w:jc w:val="left"/>
            </w:pPr>
            <w:r>
              <w:t xml:space="preserve">0.894</w:t>
            </w:r>
          </w:p>
        </w:tc>
        <w:tc>
          <w:tcPr/>
          <w:p>
            <w:pPr>
              <w:pStyle w:val="Compact"/>
              <w:jc w:val="left"/>
            </w:pPr>
            <w:r>
              <w:t xml:space="preserve">0.587</w:t>
            </w:r>
          </w:p>
        </w:tc>
        <w:tc>
          <w:tcPr/>
          <w:p>
            <w:pPr>
              <w:pStyle w:val="Compact"/>
              <w:jc w:val="left"/>
            </w:pPr>
            <w:r>
              <w:t xml:space="preserve">0.566</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0.011</w:t>
            </w:r>
          </w:p>
        </w:tc>
        <w:tc>
          <w:tcPr/>
          <w:p>
            <w:pPr>
              <w:pStyle w:val="Compact"/>
              <w:jc w:val="left"/>
            </w:pPr>
            <w:r>
              <w:t xml:space="preserve">0</w:t>
            </w:r>
          </w:p>
        </w:tc>
        <w:tc>
          <w:tcPr/>
          <w:p>
            <w:pPr>
              <w:pStyle w:val="Compact"/>
              <w:jc w:val="left"/>
            </w:pPr>
            <w:r>
              <w:t xml:space="preserve">0.011</w:t>
            </w:r>
          </w:p>
        </w:tc>
        <w:tc>
          <w:tcPr/>
          <w:p>
            <w:pPr>
              <w:pStyle w:val="Compact"/>
              <w:jc w:val="left"/>
            </w:pPr>
            <w:r>
              <w:t xml:space="preserve">0.011</w:t>
            </w:r>
          </w:p>
        </w:tc>
      </w:tr>
      <w:tr>
        <w:tc>
          <w:tcPr/>
          <w:p>
            <w:pPr>
              <w:pStyle w:val="Compact"/>
            </w:pPr>
          </w:p>
        </w:tc>
        <w:tc>
          <w:tcPr/>
          <w:p>
            <w:pPr>
              <w:pStyle w:val="Compact"/>
              <w:jc w:val="left"/>
            </w:pPr>
            <w:r>
              <w:t xml:space="preserve">lambda</w:t>
            </w:r>
          </w:p>
        </w:tc>
        <w:tc>
          <w:tcPr/>
          <w:p>
            <w:pPr>
              <w:pStyle w:val="Compact"/>
              <w:jc w:val="left"/>
            </w:pPr>
            <w:r>
              <w:t xml:space="preserve">0.016</w:t>
            </w:r>
          </w:p>
        </w:tc>
        <w:tc>
          <w:tcPr/>
          <w:p>
            <w:pPr>
              <w:pStyle w:val="Compact"/>
              <w:jc w:val="left"/>
            </w:pPr>
            <w:r>
              <w:t xml:space="preserve">0.018</w:t>
            </w:r>
          </w:p>
        </w:tc>
        <w:tc>
          <w:tcPr/>
          <w:p>
            <w:pPr>
              <w:pStyle w:val="Compact"/>
              <w:jc w:val="left"/>
            </w:pPr>
            <w:r>
              <w:t xml:space="preserve">0.009</w:t>
            </w:r>
          </w:p>
        </w:tc>
        <w:tc>
          <w:tcPr/>
          <w:p>
            <w:pPr>
              <w:pStyle w:val="Compact"/>
              <w:jc w:val="left"/>
            </w:pPr>
            <w:r>
              <w:t xml:space="preserve">0.009</w:t>
            </w:r>
          </w:p>
        </w:tc>
      </w:tr>
    </w:tbl>
    <w:bookmarkEnd w:id="57"/>
    <w:bookmarkEnd w:id="58"/>
    <w:bookmarkEnd w:id="59"/>
    <w:bookmarkStart w:id="65" w:name="X99ff52a26cd851f7848a7f10e518fb98614b256"/>
    <w:p>
      <w:pPr>
        <w:pStyle w:val="Heading2"/>
      </w:pPr>
      <w:r>
        <w:t xml:space="preserve">4 Additional results for data-poor scenarios</w:t>
      </w:r>
    </w:p>
    <w:bookmarkStart w:id="64" w:name="prediction-error-of-scenarios"/>
    <w:p>
      <w:pPr>
        <w:pStyle w:val="Heading3"/>
      </w:pPr>
      <w:r>
        <w:t xml:space="preserve">4.1 Prediction error of scenarios</w:t>
      </w:r>
    </w:p>
    <w:tbl>
      <w:tblPr>
        <w:tblStyle w:val="Table"/>
        <w:tblW w:type="pct" w:w="5000"/>
        <w:tblLook w:firstRow="0" w:lastRow="0" w:firstColumn="0" w:lastColumn="0" w:noHBand="0" w:noVBand="0" w:val="0000"/>
      </w:tblPr>
      <w:tblGrid>
        <w:gridCol w:w="7920"/>
      </w:tblGrid>
      <w:tr>
        <w:tc>
          <w:tcPr/>
          <w:bookmarkStart w:id="63" w:name="fig-Fig_S8"/>
          <w:p>
            <w:pPr>
              <w:pStyle w:val="Figure"/>
              <w:jc w:val="center"/>
            </w:pPr>
            <w:r>
              <w:drawing>
                <wp:inline>
                  <wp:extent cx="5943600" cy="5094514"/>
                  <wp:effectExtent b="0" l="0" r="0" t="0"/>
                  <wp:docPr descr="" title="" id="61" name="Picture"/>
                  <a:graphic>
                    <a:graphicData uri="http://schemas.openxmlformats.org/drawingml/2006/picture">
                      <pic:pic>
                        <pic:nvPicPr>
                          <pic:cNvPr descr="plots/fig-Fig_S8-1.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8: Prediction error (mean square error, MSE) of data poor simulations with optimal hyperparameters either tuned after the best MSE of the effect size (red) or the best MSE of the prediction error (blue).</w:t>
            </w:r>
          </w:p>
          <w:bookmarkEnd w:id="63"/>
        </w:tc>
      </w:tr>
    </w:tbl>
    <w:bookmarkEnd w:id="64"/>
    <w:bookmarkEnd w:id="65"/>
    <w:bookmarkStart w:id="76" w:name="data-poor-scenarios-without-collinearity"/>
    <w:p>
      <w:pPr>
        <w:pStyle w:val="Heading2"/>
      </w:pPr>
      <w:r>
        <w:t xml:space="preserve">5 Data-poor scenarios without collinearity</w:t>
      </w:r>
    </w:p>
    <w:bookmarkStart w:id="70" w:name="bias-and-variance-of-effects"/>
    <w:p>
      <w:pPr>
        <w:pStyle w:val="Heading3"/>
      </w:pPr>
      <w:r>
        <w:t xml:space="preserve">5.1 Bias and variance of effects</w:t>
      </w:r>
    </w:p>
    <w:tbl>
      <w:tblPr>
        <w:tblStyle w:val="Table"/>
        <w:tblW w:type="pct" w:w="5000"/>
        <w:tblLook w:firstRow="0" w:lastRow="0" w:firstColumn="0" w:lastColumn="0" w:noHBand="0" w:noVBand="0" w:val="0000"/>
      </w:tblPr>
      <w:tblGrid>
        <w:gridCol w:w="7920"/>
      </w:tblGrid>
      <w:tr>
        <w:tc>
          <w:tcPr/>
          <w:bookmarkStart w:id="69" w:name="fig-Fig_S9"/>
          <w:p>
            <w:pPr>
              <w:pStyle w:val="Figure"/>
              <w:jc w:val="center"/>
            </w:pPr>
            <w:r>
              <w:drawing>
                <wp:inline>
                  <wp:extent cx="5943600" cy="4160520"/>
                  <wp:effectExtent b="0" l="0" r="0" t="0"/>
                  <wp:docPr descr="" title="" id="67" name="Picture"/>
                  <a:graphic>
                    <a:graphicData uri="http://schemas.openxmlformats.org/drawingml/2006/picture">
                      <pic:pic>
                        <pic:nvPicPr>
                          <pic:cNvPr descr="plots/fig-Fig_S9-1.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9: Bias and variance of estimated effects in data-poor situations. N = 50, 100, and 600 observations of 100 weakly correlated predictors were simulated. The effects of X</w:t>
            </w:r>
            <w:r>
              <w:rPr>
                <w:vertAlign w:val="subscript"/>
              </w:rPr>
              <w:t xml:space="preserve">1</w:t>
            </w:r>
            <w:r>
              <w:t xml:space="preserve"> </w:t>
            </w:r>
            <w:r>
              <w:t xml:space="preserve">and X</w:t>
            </w:r>
            <w:r>
              <w:rPr>
                <w:vertAlign w:val="subscript"/>
              </w:rPr>
              <w:t xml:space="preserve">2</w:t>
            </w:r>
            <w:r>
              <w:t xml:space="preserve"> </w:t>
            </w:r>
            <w:r>
              <w:t xml:space="preserve">were 1.0 and 0.0. The other 98 effects were equally spaced between 0 and 1. Models were fitted to the simulated data (1000 repititions) with the optimal hyperparameters (except for LM, which doesn’t have hyperparameters). Hyperparameters were chosen based on the minimum MSE of an effect (green) or the prediction error (red). Bias and variance were calculated for X</w:t>
            </w:r>
            <w:r>
              <w:rPr>
                <w:vertAlign w:val="subscript"/>
              </w:rPr>
              <w:t xml:space="preserve">1</w:t>
            </w:r>
            <w:r>
              <w:t xml:space="preserve"> </w:t>
            </w:r>
            <w:r>
              <w:t xml:space="preserve">and X</w:t>
            </w:r>
            <w:r>
              <w:rPr>
                <w:vertAlign w:val="subscript"/>
              </w:rPr>
              <w:t xml:space="preserve">2</w:t>
            </w:r>
            <w:r>
              <w:t xml:space="preserve">. Effects were approximated using ACE.</w:t>
            </w:r>
          </w:p>
          <w:bookmarkEnd w:id="69"/>
        </w:tc>
      </w:tr>
    </w:tbl>
    <w:bookmarkEnd w:id="70"/>
    <w:bookmarkStart w:id="75" w:name="prediction-error-of-scenarios-1"/>
    <w:p>
      <w:pPr>
        <w:pStyle w:val="Heading3"/>
      </w:pPr>
      <w:r>
        <w:t xml:space="preserve">5.2 Prediction error of scenarios</w:t>
      </w:r>
    </w:p>
    <w:tbl>
      <w:tblPr>
        <w:tblStyle w:val="Table"/>
        <w:tblW w:type="pct" w:w="5000"/>
        <w:tblLook w:firstRow="0" w:lastRow="0" w:firstColumn="0" w:lastColumn="0" w:noHBand="0" w:noVBand="0" w:val="0000"/>
      </w:tblPr>
      <w:tblGrid>
        <w:gridCol w:w="7920"/>
      </w:tblGrid>
      <w:tr>
        <w:tc>
          <w:tcPr/>
          <w:bookmarkStart w:id="74" w:name="fig-Fig_S10"/>
          <w:p>
            <w:pPr>
              <w:pStyle w:val="Figure"/>
              <w:jc w:val="center"/>
            </w:pPr>
            <w:r>
              <w:drawing>
                <wp:inline>
                  <wp:extent cx="5943600" cy="5094514"/>
                  <wp:effectExtent b="0" l="0" r="0" t="0"/>
                  <wp:docPr descr="" title="" id="72" name="Picture"/>
                  <a:graphic>
                    <a:graphicData uri="http://schemas.openxmlformats.org/drawingml/2006/picture">
                      <pic:pic>
                        <pic:nvPicPr>
                          <pic:cNvPr descr="plots/fig-Fig_S10-1.svg" id="7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10: Prediction error (mean square error, MSE) of data poor simulations with optimal hyperparameters either tuned after the best MSE of the effect size (red) or the best MSE of the prediction error (blue).</w:t>
            </w:r>
          </w:p>
          <w:bookmarkEnd w:id="74"/>
        </w:tc>
      </w:tr>
    </w:tbl>
    <w:bookmarkEnd w:id="75"/>
    <w:bookmarkEnd w:id="76"/>
    <w:bookmarkStart w:id="83" w:name="X3eaf4e0db668836eb1d18972347fe1923fe60c0"/>
    <w:p>
      <w:pPr>
        <w:pStyle w:val="Heading2"/>
      </w:pPr>
      <w:r>
        <w:t xml:space="preserve">6 Proof of concept - Inferring interactions</w:t>
      </w:r>
    </w:p>
    <w:bookmarkStart w:id="77" w:name="extending-ace-to-two-way-interactions"/>
    <w:p>
      <w:pPr>
        <w:pStyle w:val="Heading3"/>
      </w:pPr>
      <w:r>
        <w:t xml:space="preserve">6.1 Extending ACE to two-way interactions</w:t>
      </w:r>
    </w:p>
    <w:p>
      <w:pPr>
        <w:pStyle w:val="FirstParagraph"/>
      </w:pPr>
      <w:r>
        <w:t xml:space="preserve">ACE can be extended to $n$-dimensions to detect</w:t>
      </w:r>
      <w:r>
        <w:t xml:space="preserve"> </w:t>
      </w:r>
      <m:oMath>
        <m:r>
          <m:t>n</m:t>
        </m:r>
      </m:oMath>
      <w:r>
        <w:t xml:space="preserve"> </w:t>
      </w:r>
      <w:r>
        <w:t xml:space="preserve">way predictor interactions. Here, we extended ACEs to two dimensions to detect two-way predictor interactions by asking what the change is of</w:t>
      </w:r>
      <w:r>
        <w:t xml:space="preserve"> </w:t>
      </w:r>
      <m:oMath>
        <m:acc>
          <m:accPr>
            <m:chr m:val="̂"/>
          </m:accPr>
          <m:e>
            <m:r>
              <m:t>f</m:t>
            </m:r>
          </m:e>
        </m:acc>
        <m:d>
          <m:dPr>
            <m:begChr m:val="("/>
            <m:endChr m:val=")"/>
            <m:sepChr m:val=""/>
            <m:grow/>
          </m:dPr>
          <m:e>
            <m:r>
              <m:rPr>
                <m:sty m:val="p"/>
              </m:rPr>
              <m:t>⋅</m:t>
            </m:r>
          </m:e>
        </m:d>
      </m:oMath>
      <w:r>
        <w:t xml:space="preserve"> </w:t>
      </w:r>
      <w:r>
        <w:t xml:space="preserve">when predictors</w:t>
      </w:r>
      <w:r>
        <w:t xml:space="preserve"> </w:t>
      </w:r>
      <m:oMath>
        <m:sSub>
          <m:e>
            <m:r>
              <m:t>x</m:t>
            </m:r>
          </m:e>
          <m:sub>
            <m:r>
              <m:t>m</m:t>
            </m:r>
          </m:sub>
        </m:sSub>
      </m:oMath>
      <w:r>
        <w:t xml:space="preserve"> </w:t>
      </w:r>
      <w:r>
        <w:t xml:space="preserve">and</w:t>
      </w:r>
      <w:r>
        <w:t xml:space="preserve"> </w:t>
      </w:r>
      <m:oMath>
        <m:sSub>
          <m:e>
            <m:r>
              <m:t>x</m:t>
            </m:r>
          </m:e>
          <m:sub>
            <m:r>
              <m:t>k</m:t>
            </m:r>
          </m:sub>
        </m:sSub>
      </m:oMath>
      <w:r>
        <w:t xml:space="preserve"> </w:t>
      </w:r>
      <w:r>
        <w:t xml:space="preserve">change together:</w:t>
      </w:r>
    </w:p>
    <w:p>
      <w:pPr>
        <w:pStyle w:val="BodyText"/>
      </w:pPr>
      <m:oMathPara>
        <m:oMathParaPr>
          <m:jc m:val="center"/>
        </m:oMathParaPr>
        <m:oMath>
          <m:sSub>
            <m:e>
              <m:r>
                <m:rPr>
                  <m:sty m:val="b"/>
                </m:rPr>
                <m:t>A</m:t>
              </m:r>
              <m:r>
                <m:rPr>
                  <m:sty m:val="b"/>
                </m:rPr>
                <m:t>C</m:t>
              </m:r>
              <m:r>
                <m:rPr>
                  <m:sty m:val="b"/>
                </m:rPr>
                <m:t>E</m:t>
              </m:r>
            </m:e>
            <m:sub>
              <m:r>
                <m:t>m</m:t>
              </m:r>
              <m:r>
                <m:t>k</m:t>
              </m:r>
            </m:sub>
          </m:sSub>
          <m:r>
            <m:rPr>
              <m:sty m:val="p"/>
            </m:rPr>
            <m:t>=</m:t>
          </m:r>
          <m:f>
            <m:fPr>
              <m:type m:val="bar"/>
            </m:fPr>
            <m:num>
              <m:sSup>
                <m:e>
                  <m:r>
                    <m:rPr>
                      <m:sty m:val="p"/>
                    </m:rPr>
                    <m:t>∂</m:t>
                  </m:r>
                </m:e>
                <m:sup>
                  <m:r>
                    <m:t>2</m:t>
                  </m:r>
                </m:sup>
              </m:sSup>
              <m:acc>
                <m:accPr>
                  <m:chr m:val="̂"/>
                </m:accPr>
                <m:e>
                  <m:r>
                    <m:t>f</m:t>
                  </m:r>
                </m:e>
              </m:acc>
              <m:d>
                <m:dPr>
                  <m:begChr m:val="("/>
                  <m:endChr m:val=")"/>
                  <m:sepChr m:val=""/>
                  <m:grow/>
                </m:dPr>
                <m:e>
                  <m:r>
                    <m:rPr>
                      <m:sty m:val="b"/>
                    </m:rPr>
                    <m:t>X</m:t>
                  </m:r>
                </m:e>
              </m:d>
            </m:num>
            <m:den>
              <m:r>
                <m:rPr>
                  <m:sty m:val="p"/>
                </m:rPr>
                <m:t>∂</m:t>
              </m:r>
              <m:sSub>
                <m:e>
                  <m:r>
                    <m:t>x</m:t>
                  </m:r>
                </m:e>
                <m:sub>
                  <m:r>
                    <m:t>m</m:t>
                  </m:r>
                </m:sub>
              </m:sSub>
              <m:r>
                <m:rPr>
                  <m:sty m:val="p"/>
                </m:rPr>
                <m:t>∂</m:t>
              </m:r>
              <m:sSub>
                <m:e>
                  <m:r>
                    <m:t>x</m:t>
                  </m:r>
                </m:e>
                <m:sub>
                  <m:r>
                    <m:t>k</m:t>
                  </m:r>
                </m:sub>
              </m:sSub>
            </m:den>
          </m:f>
        </m:oMath>
      </m:oMathPara>
    </w:p>
    <w:p>
      <w:pPr>
        <w:pStyle w:val="FirstParagraph"/>
      </w:pPr>
      <w:r>
        <w:t xml:space="preserve">We can approximate</w:t>
      </w:r>
      <w:r>
        <w:t xml:space="preserve"> </w:t>
      </w:r>
      <m:oMath>
        <m:sSub>
          <m:e>
            <m:r>
              <m:rPr>
                <m:sty m:val="b"/>
              </m:rPr>
              <m:t>A</m:t>
            </m:r>
            <m:r>
              <m:rPr>
                <m:sty m:val="b"/>
              </m:rPr>
              <m:t>C</m:t>
            </m:r>
            <m:r>
              <m:rPr>
                <m:sty m:val="b"/>
              </m:rPr>
              <m:t>E</m:t>
            </m:r>
          </m:e>
          <m:sub>
            <m:r>
              <m:t>m</m:t>
            </m:r>
            <m:r>
              <m:t>k</m:t>
            </m:r>
          </m:sub>
        </m:sSub>
      </m:oMath>
      <w:r>
        <w:t xml:space="preserve"> </w:t>
      </w:r>
      <w:r>
        <w:t xml:space="preserve">with the finite difference method:</w:t>
      </w:r>
    </w:p>
    <w:p>
      <w:pPr>
        <w:pStyle w:val="BodyText"/>
      </w:pPr>
      <m:oMathPara>
        <m:oMathParaPr>
          <m:jc m:val="center"/>
        </m:oMathParaPr>
        <m:oMath>
          <m:sSub>
            <m:e>
              <m:r>
                <m:rPr>
                  <m:sty m:val="b"/>
                </m:rPr>
                <m:t>A</m:t>
              </m:r>
              <m:r>
                <m:rPr>
                  <m:sty m:val="b"/>
                </m:rPr>
                <m:t>C</m:t>
              </m:r>
              <m:r>
                <m:rPr>
                  <m:sty m:val="b"/>
                </m:rPr>
                <m:t>E</m:t>
              </m:r>
            </m:e>
            <m:sub>
              <m:r>
                <m:t>m</m:t>
              </m:r>
              <m:r>
                <m:t>k</m:t>
              </m:r>
            </m:sub>
          </m:sSub>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oMath>
      </m:oMathPara>
    </w:p>
    <w:p>
      <w:pPr>
        <w:pStyle w:val="FirstParagraph"/>
      </w:pPr>
      <m:oMath>
        <m:sSub>
          <m:e>
            <m:r>
              <m:t>h</m:t>
            </m:r>
          </m:e>
          <m:sub>
            <m:r>
              <m:t>m</m:t>
            </m:r>
          </m:sub>
        </m:sSub>
      </m:oMath>
      <w:r>
        <w:t xml:space="preserve"> </w:t>
      </w:r>
      <w:r>
        <w:t xml:space="preserve">and</w:t>
      </w:r>
      <w:r>
        <w:t xml:space="preserve"> </w:t>
      </w:r>
      <m:oMath>
        <m:sSub>
          <m:e>
            <m:r>
              <m:t>h</m:t>
            </m:r>
          </m:e>
          <m:sub>
            <m:r>
              <m:t>k</m:t>
            </m:r>
          </m:sub>
        </m:sSub>
      </m:oMath>
      <w:r>
        <w:t xml:space="preserve"> </w:t>
      </w:r>
      <w:r>
        <w:t xml:space="preserve">are set to</w:t>
      </w:r>
      <w:r>
        <w:t xml:space="preserve"> </w:t>
      </w:r>
      <m:oMath>
        <m:r>
          <m:t>0.1</m:t>
        </m:r>
        <m:r>
          <m:rPr>
            <m:sty m:val="p"/>
          </m:rPr>
          <m:t>⋅</m:t>
        </m:r>
        <m:r>
          <m:t>s</m:t>
        </m:r>
        <m:r>
          <m:t>d</m:t>
        </m:r>
        <m:d>
          <m:dPr>
            <m:begChr m:val="("/>
            <m:endChr m:val=")"/>
            <m:sepChr m:val=""/>
            <m:grow/>
          </m:dPr>
          <m:e>
            <m:sSub>
              <m:e>
                <m:r>
                  <m:t>x</m:t>
                </m:r>
              </m:e>
              <m:sub>
                <m:r>
                  <m:t>m</m:t>
                </m:r>
              </m:sub>
            </m:sSub>
          </m:e>
        </m:d>
      </m:oMath>
      <w:r>
        <w:t xml:space="preserve"> </w:t>
      </w:r>
      <w:r>
        <w:t xml:space="preserve">and</w:t>
      </w:r>
      <w:r>
        <w:t xml:space="preserve"> </w:t>
      </w:r>
      <m:oMath>
        <m:r>
          <m:t>0.1</m:t>
        </m:r>
        <m:r>
          <m:rPr>
            <m:sty m:val="p"/>
          </m:rPr>
          <m:t>⋅</m:t>
        </m:r>
        <m:r>
          <m:t>s</m:t>
        </m:r>
        <m:r>
          <m:t>d</m:t>
        </m:r>
        <m:d>
          <m:dPr>
            <m:begChr m:val="("/>
            <m:endChr m:val=")"/>
            <m:sepChr m:val=""/>
            <m:grow/>
          </m:dPr>
          <m:e>
            <m:sSub>
              <m:e>
                <m:r>
                  <m:t>x</m:t>
                </m:r>
              </m:e>
              <m:sub>
                <m:r>
                  <m:t>k</m:t>
                </m:r>
              </m:sub>
            </m:sSub>
          </m:e>
        </m:d>
      </m:oMath>
      <w:r>
        <w:t xml:space="preserve">. All predictors are centered and standardized.</w:t>
      </w:r>
    </w:p>
    <w:bookmarkEnd w:id="77"/>
    <w:bookmarkStart w:id="82" w:name="proof-of-concept-simulations"/>
    <w:p>
      <w:pPr>
        <w:pStyle w:val="Heading3"/>
      </w:pPr>
      <w:r>
        <w:t xml:space="preserve">6.2 Proof of concept simulations</w:t>
      </w:r>
    </w:p>
    <w:p>
      <w:pPr>
        <w:pStyle w:val="FirstParagraph"/>
      </w:pPr>
      <w:r>
        <w:t xml:space="preserve">To test the ability of ML algorithms to identify predictor-predictor interactions, we repeated the proof-of-concept simulations, but with an interaction between X</w:t>
      </w:r>
      <w:r>
        <w:rPr>
          <w:vertAlign w:val="subscript"/>
        </w:rPr>
        <w:t xml:space="preserve">1</w:t>
      </w:r>
      <w:r>
        <w:t xml:space="preserve"> </w:t>
      </w:r>
      <w:r>
        <w:t xml:space="preserve">and X</w:t>
      </w:r>
      <w:r>
        <w:rPr>
          <w:vertAlign w:val="subscript"/>
        </w:rPr>
        <w:t xml:space="preserve">2</w:t>
      </w:r>
      <w:r>
        <w:t xml:space="preserve">. The data generation model was $Y</w:t>
      </w:r>
      <w:r>
        <w:t xml:space="preserve">1.0</w:t>
      </w:r>
      <w:r>
        <w:t xml:space="preserve">X_1 + 1.0</w:t>
      </w:r>
      <w:r>
        <w:t xml:space="preserve">X_5 + 1.0</w:t>
      </w:r>
      <w:r>
        <w:t xml:space="preserve">(X_1</w:t>
      </w:r>
      <w:r>
        <w:t xml:space="preserve"> </w:t>
      </w:r>
      <w:r>
        <w:t xml:space="preserve">X_2) +</w:t>
      </w:r>
      <w:r>
        <w:t xml:space="preserve"> </w:t>
      </w:r>
      <w:r>
        <w:t xml:space="preserve">, epsilon</w:t>
      </w:r>
      <w:r>
        <w:t xml:space="preserve"> </w:t>
      </w:r>
      <w:r>
        <w:t xml:space="preserve">N(0, 1.0) $. We simulated two scenarios, in the first (</w:t>
      </w:r>
      <w:r>
        <w:t xml:space="preserve">“</w:t>
      </w:r>
      <w:r>
        <w:t xml:space="preserve">collinear</w:t>
      </w:r>
      <w:r>
        <w:t xml:space="preserve">”</w:t>
      </w:r>
      <w:r>
        <w:t xml:space="preserve">) X</w:t>
      </w:r>
      <w:r>
        <w:rPr>
          <w:vertAlign w:val="subscript"/>
        </w:rPr>
        <w:t xml:space="preserve">1</w:t>
      </w:r>
      <w:r>
        <w:t xml:space="preserve"> </w:t>
      </w:r>
      <w:r>
        <w:t xml:space="preserve">and X</w:t>
      </w:r>
      <w:r>
        <w:rPr>
          <w:vertAlign w:val="subscript"/>
        </w:rPr>
        <w:t xml:space="preserve">2</w:t>
      </w:r>
      <w:r>
        <w:t xml:space="preserve"> </w:t>
      </w:r>
      <w:r>
        <w:t xml:space="preserve">were collinear (Pearson correlation factor = 0.9) and in the second without collinearity between the predictors.</w:t>
      </w:r>
    </w:p>
    <w:p>
      <w:pPr>
        <w:pStyle w:val="BodyText"/>
      </w:pPr>
      <w:r>
        <w:t xml:space="preserve">We sampled 1000 and 5000 observations from each scenario. The ML algorithms (RF, BRT, NN, and NN with dropout) were fit to the data without predictor engineering the predictor interactions (because ML algorithms are known to be able to infer interactions automatically), while the regression algorithms (LM, l1, l2, and elastic-net) received all combinatorially possible predictor interactions as possible predictors. All effects were inferred using ACE. The bias was calculated for the interaction X</w:t>
      </w:r>
      <w:r>
        <w:rPr>
          <w:vertAlign w:val="subscript"/>
        </w:rPr>
        <w:t xml:space="preserve">1</w:t>
      </w:r>
      <w:r>
        <w:t xml:space="preserve">:X</w:t>
      </w:r>
      <w:r>
        <w:rPr>
          <w:vertAlign w:val="subscript"/>
        </w:rPr>
        <w:t xml:space="preserve">2</w:t>
      </w:r>
      <w:r>
        <w:t xml:space="preserve">.</w:t>
      </w:r>
    </w:p>
    <w:tbl>
      <w:tblPr>
        <w:tblStyle w:val="Table"/>
        <w:tblW w:type="pct" w:w="5000"/>
        <w:tblLook w:firstRow="0" w:lastRow="0" w:firstColumn="0" w:lastColumn="0" w:noHBand="0" w:noVBand="0" w:val="0000"/>
      </w:tblPr>
      <w:tblGrid>
        <w:gridCol w:w="7920"/>
      </w:tblGrid>
      <w:tr>
        <w:tc>
          <w:tcPr/>
          <w:bookmarkStart w:id="81" w:name="fig-Fig_S11"/>
          <w:p>
            <w:pPr>
              <w:pStyle w:val="Figure"/>
              <w:jc w:val="center"/>
            </w:pPr>
            <w:r>
              <w:drawing>
                <wp:inline>
                  <wp:extent cx="5943600" cy="3343275"/>
                  <wp:effectExtent b="0" l="0" r="0" t="0"/>
                  <wp:docPr descr="" title="" id="79" name="Picture"/>
                  <a:graphic>
                    <a:graphicData uri="http://schemas.openxmlformats.org/drawingml/2006/picture">
                      <pic:pic>
                        <pic:nvPicPr>
                          <pic:cNvPr descr="plots/fig-Fig_S11-1.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8"/>
                              </a:ext>
                            </a:extLst>
                          </a:blip>
                          <a:stretch>
                            <a:fillRect/>
                          </a:stretch>
                        </pic:blipFill>
                        <pic:spPr bwMode="auto">
                          <a:xfrm>
                            <a:off x="0" y="0"/>
                            <a:ext cx="5943600" cy="3343275"/>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11: Bias of proof of concept simulations in inferring two-way interactions between predictors. First panel shows results for simulations (200 repititions) for 1000 and 5000 observations with collinear predictors (Pearson correlation factor = 0.9 between X</w:t>
            </w:r>
            <w:r>
              <w:rPr>
                <w:vertAlign w:val="subscript"/>
              </w:rPr>
              <w:t xml:space="preserve">1</w:t>
            </w:r>
            <w:r>
              <w:t xml:space="preserve"> </w:t>
            </w:r>
            <w:r>
              <w:t xml:space="preserve">and X</w:t>
            </w:r>
            <w:r>
              <w:rPr>
                <w:vertAlign w:val="subscript"/>
              </w:rPr>
              <w:t xml:space="preserve">2</w:t>
            </w:r>
            <w:r>
              <w:t xml:space="preserve">). Second panel shows results for simulations (200 repititions) for 1000 and 5000 observations with without collinear. Red bars correspond to 1000 observations and blue bars to 5000 observations.</w:t>
            </w:r>
          </w:p>
          <w:bookmarkEnd w:id="81"/>
        </w:tc>
      </w:tr>
    </w:tbl>
    <w:bookmarkEnd w:id="82"/>
    <w:bookmarkEnd w:id="83"/>
    <w:bookmarkStart w:id="88" w:name="weighted-ace"/>
    <w:p>
      <w:pPr>
        <w:pStyle w:val="Heading2"/>
      </w:pPr>
      <w:r>
        <w:t xml:space="preserve">7 Weighted ACE</w:t>
      </w:r>
    </w:p>
    <w:p>
      <w:pPr>
        <w:pStyle w:val="FirstParagraph"/>
      </w:pPr>
      <w:r>
        <w:t xml:space="preserve">If the instances of a predictor x_j are not uniformly distributed, we propose to calculate a weighted</w:t>
      </w:r>
      <w:r>
        <w:t xml:space="preserve"> </w:t>
      </w:r>
      <m:oMath>
        <m:r>
          <m:t>w</m:t>
        </m:r>
        <m:r>
          <m:t>A</m:t>
        </m:r>
        <m:r>
          <m:t>C</m:t>
        </m:r>
        <m:sSub>
          <m:e>
            <m:r>
              <m:t>E</m:t>
            </m:r>
          </m:e>
          <m:sub>
            <m:r>
              <m:t>k</m:t>
            </m:r>
          </m:sub>
        </m:sSub>
        <m:r>
          <m:rPr>
            <m:sty m:val="p"/>
          </m:rPr>
          <m:t>=</m:t>
        </m:r>
        <m:sSubSup>
          <m:e>
            <m:r>
              <m:t>Σ</m:t>
            </m:r>
          </m:e>
          <m:sub>
            <m:r>
              <m:t>i</m:t>
            </m:r>
            <m:r>
              <m:rPr>
                <m:sty m:val="p"/>
              </m:rPr>
              <m:t>=</m:t>
            </m:r>
            <m:r>
              <m:t>1</m:t>
            </m:r>
          </m:sub>
          <m:sup>
            <m:r>
              <m:t>N</m:t>
            </m:r>
          </m:sup>
        </m:sSubSup>
        <m:sSub>
          <m:e>
            <m:r>
              <m:t>w</m:t>
            </m:r>
          </m:e>
          <m:sub>
            <m:r>
              <m:t>i</m:t>
            </m:r>
          </m:sub>
        </m:sSub>
        <m:r>
          <m:t>A</m:t>
        </m:r>
        <m:r>
          <m:t>C</m:t>
        </m:r>
        <m:sSub>
          <m:e>
            <m:r>
              <m:t>E</m:t>
            </m:r>
          </m:e>
          <m:sub>
            <m:r>
              <m:t>i</m:t>
            </m:r>
            <m:r>
              <m:t>k</m:t>
            </m:r>
          </m:sub>
        </m:sSub>
      </m:oMath>
      <w:r>
        <w:t xml:space="preserve"> </w:t>
      </w:r>
      <w:r>
        <w:t xml:space="preserve">with the</w:t>
      </w:r>
      <w:r>
        <w:t xml:space="preserve"> </w:t>
      </w:r>
      <m:oMath>
        <m:sSub>
          <m:e>
            <m:r>
              <m:t>w</m:t>
            </m:r>
          </m:e>
          <m:sub>
            <m:r>
              <m:t>i</m:t>
            </m:r>
          </m:sub>
        </m:sSub>
      </m:oMath>
      <w:r>
        <w:t xml:space="preserve"> </w:t>
      </w:r>
      <w:r>
        <w:t xml:space="preserve">being, for example, the inverse probabilities of an estimated density function over the predictor space of</w:t>
      </w:r>
      <w:r>
        <w:t xml:space="preserve"> </w:t>
      </w:r>
      <m:oMath>
        <m:sSub>
          <m:e>
            <m:r>
              <m:t>x</m:t>
            </m:r>
          </m:e>
          <m:sub>
            <m:r>
              <m:t>k</m:t>
            </m:r>
          </m:sub>
        </m:sSub>
      </m:oMath>
      <w:r>
        <w:t xml:space="preserve">.</w:t>
      </w:r>
    </w:p>
    <w:p>
      <w:pPr>
        <w:pStyle w:val="BodyText"/>
      </w:pPr>
      <w:r>
        <w:t xml:space="preserve">To demonstrate the idea of weighted ACE, we simulated a scenario with one predictor where the</w:t>
      </w:r>
      <w:r>
        <w:t xml:space="preserve"> </w:t>
      </w:r>
      <m:oMath>
        <m:sSub>
          <m:e>
            <m:r>
              <m:t>β</m:t>
            </m:r>
          </m:e>
          <m:sub>
            <m:r>
              <m:t>1</m:t>
            </m:r>
          </m:sub>
        </m:sSub>
        <m:r>
          <m:rPr>
            <m:sty m:val="p"/>
          </m:rPr>
          <m:t>=</m:t>
        </m:r>
        <m:r>
          <m:t>2</m:t>
        </m:r>
      </m:oMath>
      <w:r>
        <w:t xml:space="preserve"> </w:t>
      </w:r>
      <w:r>
        <w:t xml:space="preserve">for values of the predictor</w:t>
      </w:r>
      <w:r>
        <w:t xml:space="preserve"> </w:t>
      </w:r>
      <m:oMath>
        <m:r>
          <m:rPr>
            <m:sty m:val="p"/>
          </m:rPr>
          <m:t>&lt;</m:t>
        </m:r>
        <m:r>
          <m:t>2</m:t>
        </m:r>
      </m:oMath>
      <w:r>
        <w:t xml:space="preserve"> </w:t>
      </w:r>
      <w:r>
        <w:t xml:space="preserve">and for the other predictor values</w:t>
      </w:r>
      <w:r>
        <w:t xml:space="preserve"> </w:t>
      </w:r>
      <m:oMath>
        <m:sSub>
          <m:e>
            <m:r>
              <m:t>β</m:t>
            </m:r>
          </m:e>
          <m:sub>
            <m:r>
              <m:t>1</m:t>
            </m:r>
          </m:sub>
        </m:sSub>
        <m:r>
          <m:rPr>
            <m:sty m:val="p"/>
          </m:rPr>
          <m:t>=</m:t>
        </m:r>
        <m:r>
          <m:t>0</m:t>
        </m:r>
      </m:oMath>
      <w:r>
        <w:t xml:space="preserve"> </w:t>
      </w:r>
      <w:r>
        <w:t xml:space="preserve">(Fig. S4). The predictor was sampled from a log-Normal distribution. We fitted a linear regression model and a NN on the data and compared the effect estimated by the LM, the unweighted ACE, and the weighted ACE.</w:t>
      </w:r>
    </w:p>
    <w:p>
      <w:pPr>
        <w:pStyle w:val="BodyText"/>
      </w:pPr>
      <w:r>
        <w:t xml:space="preserve">The LM estimated an effect of 1.48, the unweighted ACE was 1.95, and the weighted ACE was 1.48 (Fig. S16).</w:t>
      </w:r>
    </w:p>
    <w:tbl>
      <w:tblPr>
        <w:tblStyle w:val="Table"/>
        <w:tblW w:type="pct" w:w="5000"/>
        <w:tblLook w:firstRow="0" w:lastRow="0" w:firstColumn="0" w:lastColumn="0" w:noHBand="0" w:noVBand="0" w:val="0000"/>
      </w:tblPr>
      <w:tblGrid>
        <w:gridCol w:w="7920"/>
      </w:tblGrid>
      <w:tr>
        <w:tc>
          <w:tcPr/>
          <w:bookmarkStart w:id="87" w:name="fig-Fig_S12"/>
          <w:p>
            <w:pPr>
              <w:pStyle w:val="Figure"/>
              <w:jc w:val="center"/>
            </w:pPr>
            <w:r>
              <w:drawing>
                <wp:inline>
                  <wp:extent cx="5943600" cy="5094514"/>
                  <wp:effectExtent b="0" l="0" r="0" t="0"/>
                  <wp:docPr descr="" title="" id="85" name="Picture"/>
                  <a:graphic>
                    <a:graphicData uri="http://schemas.openxmlformats.org/drawingml/2006/picture">
                      <pic:pic>
                        <pic:nvPicPr>
                          <pic:cNvPr descr="plots/fig-Fig_S12-1.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4"/>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12: Simulation example with non-uniform sampled predictor X1 (log normal distributed). The red line is the effect estimated by a LM OLS. The blue line is the effect reported by an unweighted ACE from a NN. The green line is the effect reported by a weighted ACE from a NN.</w:t>
            </w:r>
          </w:p>
          <w:bookmarkEnd w:id="87"/>
        </w:tc>
      </w:tr>
    </w:tbl>
    <w:bookmarkEnd w:id="88"/>
    <w:bookmarkStart w:id="93" w:name="learning-in-neural-networks"/>
    <w:p>
      <w:pPr>
        <w:pStyle w:val="Heading2"/>
      </w:pPr>
      <w:r>
        <w:t xml:space="preserve">8 Learning in neural networks</w:t>
      </w:r>
    </w:p>
    <w:p>
      <w:pPr>
        <w:pStyle w:val="FirstParagraph"/>
      </w:pPr>
      <w:r>
        <w:t xml:space="preserve">To understand the internal learning of neural networks, we trained neural networks of two different sizes (3 layers of 50 units and 3 layers of 500 units) on a simple collinear scenario (</w:t>
      </w:r>
      <m:oMath>
        <m:r>
          <m:t>Y</m:t>
        </m:r>
        <m:r>
          <m:rPr>
            <m:sty m:val="p"/>
          </m:rPr>
          <m:t>∼</m:t>
        </m:r>
        <m:r>
          <m:t>1</m:t>
        </m:r>
        <m:r>
          <m:rPr>
            <m:sty m:val="p"/>
          </m:rPr>
          <m:t>.</m:t>
        </m:r>
        <m:r>
          <m:t>0</m:t>
        </m:r>
        <m:r>
          <m:rPr>
            <m:sty m:val="p"/>
          </m:rPr>
          <m:t>⋅</m:t>
        </m:r>
        <m:sSub>
          <m:e>
            <m:r>
              <m:t>X</m:t>
            </m:r>
          </m:e>
          <m:sub>
            <m:r>
              <m:t>1</m:t>
            </m:r>
          </m:sub>
        </m:sSub>
        <m:r>
          <m:rPr>
            <m:sty m:val="p"/>
          </m:rPr>
          <m:t>+</m:t>
        </m:r>
        <m:r>
          <m:t>0.0</m:t>
        </m:r>
        <m:r>
          <m:rPr>
            <m:sty m:val="p"/>
          </m:rPr>
          <m:t>⋅</m:t>
        </m:r>
        <m:sSub>
          <m:e>
            <m:r>
              <m:t>X</m:t>
            </m:r>
          </m:e>
          <m:sub>
            <m:r>
              <m:t>2</m:t>
            </m:r>
          </m:sub>
        </m:sSub>
        <m:r>
          <m:rPr>
            <m:sty m:val="p"/>
          </m:rPr>
          <m:t>+</m:t>
        </m:r>
        <m:r>
          <m:t>ϵ</m:t>
        </m:r>
        <m:r>
          <m:rPr>
            <m:sty m:val="p"/>
          </m:rPr>
          <m:t>,</m:t>
        </m:r>
        <m:r>
          <m:t>ϵ</m:t>
        </m:r>
        <m:r>
          <m:rPr>
            <m:sty m:val="p"/>
          </m:rPr>
          <m:t>∼</m:t>
        </m:r>
        <m:r>
          <m:t>N</m:t>
        </m:r>
        <m:d>
          <m:dPr>
            <m:begChr m:val="("/>
            <m:endChr m:val=")"/>
            <m:sepChr m:val=""/>
            <m:grow/>
          </m:dPr>
          <m:e>
            <m:r>
              <m:t>0</m:t>
            </m:r>
            <m:r>
              <m:rPr>
                <m:sty m:val="p"/>
              </m:rPr>
              <m:t>,</m:t>
            </m:r>
            <m:r>
              <m:t>0.3</m:t>
            </m:r>
          </m:e>
        </m:d>
      </m:oMath>
      <w:r>
        <w:t xml:space="preserve">; X</w:t>
      </w:r>
      <w:r>
        <w:rPr>
          <w:vertAlign w:val="subscript"/>
        </w:rPr>
        <w:t xml:space="preserve">1</w:t>
      </w:r>
      <w:r>
        <w:t xml:space="preserve"> </w:t>
      </w:r>
      <w:r>
        <w:t xml:space="preserve">and X</w:t>
      </w:r>
      <w:r>
        <w:rPr>
          <w:vertAlign w:val="subscript"/>
        </w:rPr>
        <w:t xml:space="preserve">2</w:t>
      </w:r>
      <w:r>
        <w:t xml:space="preserve"> </w:t>
      </w:r>
      <w:r>
        <w:t xml:space="preserve">were collinear (Pearson correlation factor = 0.9)) and calculated the ACE after each batch optimization step.</w:t>
      </w:r>
    </w:p>
    <w:p>
      <w:pPr>
        <w:pStyle w:val="BodyText"/>
      </w:pPr>
      <w:r>
        <w:t xml:space="preserve">We found that the estimates of the botch effect were initially estimated to be around 0 (Fig. S12 A, B), probably due to the initialization of the neural networks, which resembles a shrinkage behavior (weights have to be moved away from 0 step by step in the gradient descent). After this initialization phase, both estimates are within the expected negative log-likelihood surface of OLS (Fig. S12C) and are estimated over the training period to the correct estimates (X</w:t>
      </w:r>
      <w:r>
        <w:rPr>
          <w:vertAlign w:val="subscript"/>
        </w:rPr>
        <w:t xml:space="preserve">1</w:t>
      </w:r>
      <w:r>
        <w:t xml:space="preserve"> </w:t>
      </w:r>
      <w:r>
        <w:t xml:space="preserve">= 1.0 and X</w:t>
      </w:r>
      <w:r>
        <w:rPr>
          <w:vertAlign w:val="subscript"/>
        </w:rPr>
        <w:t xml:space="preserve">2</w:t>
      </w:r>
      <w:r>
        <w:t xml:space="preserve"> </w:t>
      </w:r>
      <w:r>
        <w:t xml:space="preserve">= 0.0).</w:t>
      </w:r>
    </w:p>
    <w:tbl>
      <w:tblPr>
        <w:tblStyle w:val="Table"/>
        <w:tblW w:type="pct" w:w="5000"/>
        <w:tblLook w:firstRow="0" w:lastRow="0" w:firstColumn="0" w:lastColumn="0" w:noHBand="0" w:noVBand="0" w:val="0000"/>
      </w:tblPr>
      <w:tblGrid>
        <w:gridCol w:w="7920"/>
      </w:tblGrid>
      <w:tr>
        <w:tc>
          <w:tcPr/>
          <w:bookmarkStart w:id="92" w:name="fig-Fig_S13"/>
          <w:p>
            <w:pPr>
              <w:pStyle w:val="Figure"/>
              <w:jc w:val="center"/>
            </w:pPr>
            <w:r>
              <w:drawing>
                <wp:inline>
                  <wp:extent cx="5943600" cy="5349240"/>
                  <wp:effectExtent b="0" l="0" r="0" t="0"/>
                  <wp:docPr descr="" title="" id="90" name="Picture"/>
                  <a:graphic>
                    <a:graphicData uri="http://schemas.openxmlformats.org/drawingml/2006/picture">
                      <pic:pic>
                        <pic:nvPicPr>
                          <pic:cNvPr descr="plots/fig-Fig_S13-1.svg" id="9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5943600" cy="534924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13: Learning neural networks. Neural networks were trained on simulated data (1000 observations) with 5 predictors, X</w:t>
            </w:r>
            <w:r>
              <w:rPr>
                <w:vertAlign w:val="subscript"/>
              </w:rPr>
              <w:t xml:space="preserve">1</w:t>
            </w:r>
            <w:r>
              <w:t xml:space="preserve"> </w:t>
            </w:r>
            <w:r>
              <w:t xml:space="preserve">has a linear effect on Y, and X</w:t>
            </w:r>
            <w:r>
              <w:rPr>
                <w:vertAlign w:val="subscript"/>
              </w:rPr>
              <w:t xml:space="preserve">2</w:t>
            </w:r>
            <w:r>
              <w:t xml:space="preserve"> </w:t>
            </w:r>
            <w:r>
              <w:t xml:space="preserve">is collinear with X</w:t>
            </w:r>
            <w:r>
              <w:rPr>
                <w:vertAlign w:val="subscript"/>
              </w:rPr>
              <w:t xml:space="preserve">1</w:t>
            </w:r>
            <w:r>
              <w:t xml:space="preserve"> </w:t>
            </w:r>
            <w:r>
              <w:t xml:space="preserve">(Pearson correlation factor = 0.9). The ACE was computed after each optimization step (i.e., after each batch in stochastic gradient descent) (20 repetitions). Panels A and B show the evolution of the effects for X</w:t>
            </w:r>
            <w:r>
              <w:rPr>
                <w:vertAlign w:val="subscript"/>
              </w:rPr>
              <w:t xml:space="preserve">1</w:t>
            </w:r>
            <w:r>
              <w:t xml:space="preserve"> </w:t>
            </w:r>
            <w:r>
              <w:t xml:space="preserve">and X</w:t>
            </w:r>
            <w:r>
              <w:rPr>
                <w:vertAlign w:val="subscript"/>
              </w:rPr>
              <w:t xml:space="preserve">2</w:t>
            </w:r>
            <w:r>
              <w:t xml:space="preserve"> </w:t>
            </w:r>
            <w:r>
              <w:t xml:space="preserve">(true effects: X</w:t>
            </w:r>
            <w:r>
              <w:rPr>
                <w:vertAlign w:val="subscript"/>
              </w:rPr>
              <w:t xml:space="preserve">1</w:t>
            </w:r>
            <w:r>
              <w:t xml:space="preserve"> </w:t>
            </w:r>
            <w:r>
              <w:t xml:space="preserve">= 1.0 and X</w:t>
            </w:r>
            <w:r>
              <w:rPr>
                <w:vertAlign w:val="subscript"/>
              </w:rPr>
              <w:t xml:space="preserve">2</w:t>
            </w:r>
            <w:r>
              <w:t xml:space="preserve"> </w:t>
            </w:r>
            <w:r>
              <w:t xml:space="preserve">= 0.0). Panel A shows the results for a neural network with 50 units in each of the 3 hidden layers, while Panel B shows the results for a neural network with 500 units in each of the 3 hidden layers. Panel C shows the negative log likelihood surface for the corresponding OLS.</w:t>
            </w:r>
          </w:p>
          <w:bookmarkEnd w:id="92"/>
        </w:tc>
      </w:tr>
    </w:tbl>
    <w:bookmarkEnd w:id="93"/>
    <w:bookmarkStart w:id="96" w:name="references"/>
    <w:p>
      <w:pPr>
        <w:pStyle w:val="Heading2"/>
      </w:pPr>
      <w:r>
        <w:t xml:space="preserve">9 References</w:t>
      </w:r>
    </w:p>
    <w:bookmarkStart w:id="95" w:name="refs"/>
    <w:bookmarkStart w:id="94" w:name="ref-chen2016xgboost"/>
    <w:p>
      <w:pPr>
        <w:pStyle w:val="Bibliography"/>
      </w:pPr>
      <w:r>
        <w:t xml:space="preserve">Chen, Tianqi, and Carlos Guestrin. 2016.</w:t>
      </w:r>
      <w:r>
        <w:t xml:space="preserve"> </w:t>
      </w:r>
      <w:r>
        <w:t xml:space="preserve">“Xgboost: A Scalable Tree Boosting System.”</w:t>
      </w:r>
      <w:r>
        <w:t xml:space="preserve"> </w:t>
      </w:r>
      <w:r>
        <w:t xml:space="preserve">In</w:t>
      </w:r>
      <w:r>
        <w:t xml:space="preserve"> </w:t>
      </w:r>
      <w:r>
        <w:rPr>
          <w:iCs/>
          <w:i/>
        </w:rPr>
        <w:t xml:space="preserve">Proceedings of the 22nd Acm Sigkdd International Conference on Knowledge Discovery and Data Mining</w:t>
      </w:r>
      <w:r>
        <w:t xml:space="preserve">, 785–94.</w:t>
      </w:r>
    </w:p>
    <w:bookmarkEnd w:id="94"/>
    <w:bookmarkEnd w:id="95"/>
    <w:bookmarkEnd w:id="96"/>
    <w:sectPr w:rsidR="00832AA4" w:rsidSect="00DE2DF2">
      <w:footerReference r:id="rId10" w:type="even"/>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7798295"/>
      <w:docPartObj>
        <w:docPartGallery w:val="Page Numbers (Bottom of Page)"/>
        <w:docPartUnique/>
      </w:docPartObj>
    </w:sdtPr>
    <w:sdtContent>
      <w:p w14:paraId="5621DF35" w14:textId="6E3DA2D6" w:rsidR="00704B7E" w:rsidRDefault="00704B7E" w:rsidP="00323C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AC0B15" w14:textId="77777777" w:rsidR="00704B7E" w:rsidRDefault="00704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6246"/>
      <w:docPartObj>
        <w:docPartGallery w:val="Page Numbers (Bottom of Page)"/>
        <w:docPartUnique/>
      </w:docPartObj>
    </w:sdtPr>
    <w:sdtContent>
      <w:p w14:paraId="29AD8EB0" w14:textId="728ED79E" w:rsidR="00704B7E" w:rsidRDefault="00704B7E" w:rsidP="00323C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10A062" w14:textId="77777777" w:rsidR="00704B7E" w:rsidRDefault="00704B7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C871C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06492D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AA529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31EBF5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2FE360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72A90B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F085BE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EA07B8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F6252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AEC9D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F30EF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30105310" w:numId="1">
    <w:abstractNumId w:val="10"/>
  </w:num>
  <w:num w16cid:durableId="1217089189" w:numId="2">
    <w:abstractNumId w:val="0"/>
  </w:num>
  <w:num w16cid:durableId="286787352" w:numId="3">
    <w:abstractNumId w:val="1"/>
  </w:num>
  <w:num w16cid:durableId="2096709036" w:numId="4">
    <w:abstractNumId w:val="2"/>
  </w:num>
  <w:num w16cid:durableId="429353044" w:numId="5">
    <w:abstractNumId w:val="3"/>
  </w:num>
  <w:num w16cid:durableId="1250045858" w:numId="6">
    <w:abstractNumId w:val="8"/>
  </w:num>
  <w:num w16cid:durableId="1943951810" w:numId="7">
    <w:abstractNumId w:val="4"/>
  </w:num>
  <w:num w16cid:durableId="738593406" w:numId="8">
    <w:abstractNumId w:val="5"/>
  </w:num>
  <w:num w16cid:durableId="2096436871" w:numId="9">
    <w:abstractNumId w:val="6"/>
  </w:num>
  <w:num w16cid:durableId="351496773" w:numId="10">
    <w:abstractNumId w:val="7"/>
  </w:num>
  <w:num w16cid:durableId="1175994082"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4B7E"/>
    <w:pPr>
      <w:spacing w:line="360" w:lineRule="auto"/>
      <w:jc w:val="both"/>
    </w:pPr>
    <w:rPr>
      <w:rFonts w:ascii="Arial" w:hAnsi="Arial"/>
    </w:rPr>
  </w:style>
  <w:style w:styleId="Heading1" w:type="paragraph">
    <w:name w:val="heading 1"/>
    <w:basedOn w:val="Normal"/>
    <w:next w:val="BodyText"/>
    <w:uiPriority w:val="9"/>
    <w:qFormat/>
    <w:rsid w:val="00704B7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704B7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704B7E"/>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4B7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rsid w:val="00704B7E"/>
    <w:pPr>
      <w:keepNext/>
      <w:keepLines/>
      <w:spacing w:after="0" w:before="200"/>
      <w:jc w:val="left"/>
      <w:outlineLvl w:val="4"/>
    </w:pPr>
    <w:rPr>
      <w:rFonts w:cstheme="majorBidi" w:eastAsiaTheme="majorEastAsia"/>
      <w:iCs/>
      <w:color w:themeColor="text1" w:val="000000"/>
    </w:rPr>
  </w:style>
  <w:style w:styleId="Heading6" w:type="paragraph">
    <w:name w:val="heading 6"/>
    <w:basedOn w:val="Normal"/>
    <w:next w:val="BodyText"/>
    <w:uiPriority w:val="9"/>
    <w:unhideWhenUsed/>
    <w:qFormat/>
    <w:rsid w:val="001B0264"/>
    <w:pPr>
      <w:keepNext/>
      <w:keepLines/>
      <w:spacing w:after="0" w:before="200"/>
      <w:jc w:val="left"/>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B0264"/>
    <w:pPr>
      <w:keepNext/>
      <w:keepLines/>
      <w:spacing w:after="0" w:before="200"/>
      <w:jc w:val="left"/>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D63FAD"/>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733B61"/>
  </w:style>
  <w:style w:customStyle="1" w:styleId="Compact" w:type="paragraph">
    <w:name w:val="Compact"/>
    <w:basedOn w:val="BodyText"/>
    <w:qFormat/>
    <w:pPr>
      <w:spacing w:after="36" w:before="36"/>
    </w:pPr>
  </w:style>
  <w:style w:styleId="Title" w:type="paragraph">
    <w:name w:val="Title"/>
    <w:basedOn w:val="Normal"/>
    <w:next w:val="BodyText"/>
    <w:qFormat/>
    <w:rsid w:val="00704B7E"/>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rsid w:val="00D63FAD"/>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70794E"/>
    <w:pPr>
      <w:spacing w:after="100" w:before="100" w:line="240" w:lineRule="auto"/>
      <w:ind w:left="480" w:right="480"/>
      <w:jc w:val="left"/>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51D9A"/>
    <w:pPr>
      <w:spacing w:after="120"/>
    </w:pPr>
    <w:rPr>
      <w:sz w:val="20"/>
    </w:rPr>
  </w:style>
  <w:style w:customStyle="1" w:styleId="TableCaption" w:type="paragraph">
    <w:name w:val="Table Caption"/>
    <w:basedOn w:val="Caption"/>
    <w:rsid w:val="0019250F"/>
    <w:pPr>
      <w:keepNext/>
    </w:pPr>
  </w:style>
  <w:style w:customStyle="1" w:styleId="ImageCaption" w:type="paragraph">
    <w:name w:val="Image Caption"/>
    <w:basedOn w:val="Caption"/>
    <w:rsid w:val="001746A6"/>
    <w:rPr>
      <w:color w:themeColor="text1" w:val="000000"/>
    </w:rPr>
  </w:style>
  <w:style w:customStyle="1" w:styleId="Figure" w:type="paragraph">
    <w:name w:val="Figure"/>
    <w:basedOn w:val="Normal"/>
    <w:rsid w:val="001746A6"/>
    <w:rPr>
      <w:sz w:val="2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51D9A"/>
    <w:rPr>
      <w:sz w:val="20"/>
    </w:rPr>
  </w:style>
  <w:style w:customStyle="1" w:styleId="VerbatimChar" w:type="character">
    <w:name w:val="Verbatim Char"/>
    <w:basedOn w:val="DefaultParagraphFont"/>
    <w:link w:val="SourceCode"/>
    <w:rsid w:val="00867D73"/>
    <w:rPr>
      <w:shd w:color="auto" w:fill="F1F3F5" w:val="clear"/>
    </w:rPr>
  </w:style>
  <w:style w:customStyle="1" w:styleId="SectionNumber" w:type="character">
    <w:name w:val="Section Number"/>
    <w:basedOn w:val="CaptionChar"/>
    <w:rPr>
      <w:sz w:val="20"/>
    </w:rPr>
  </w:style>
  <w:style w:styleId="FootnoteReference" w:type="character">
    <w:name w:val="footnote reference"/>
    <w:basedOn w:val="CaptionChar"/>
    <w:rPr>
      <w:sz w:val="20"/>
      <w:vertAlign w:val="superscript"/>
    </w:rPr>
  </w:style>
  <w:style w:styleId="Hyperlink" w:type="character">
    <w:name w:val="Hyperlink"/>
    <w:basedOn w:val="CaptionChar"/>
    <w:rPr>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CommentReference" w:type="character">
    <w:name w:val="annotation reference"/>
    <w:basedOn w:val="DefaultParagraphFont"/>
    <w:unhideWhenUsed/>
    <w:rsid w:val="00867D73"/>
    <w:rPr>
      <w:sz w:val="16"/>
      <w:szCs w:val="16"/>
    </w:rPr>
  </w:style>
  <w:style w:customStyle="1" w:styleId="BodyTextChar" w:type="character">
    <w:name w:val="Body Text Char"/>
    <w:basedOn w:val="DefaultParagraphFont"/>
    <w:link w:val="BodyText"/>
    <w:rsid w:val="003B36C0"/>
  </w:style>
  <w:style w:customStyle="1" w:styleId="CommentTok" w:type="character">
    <w:name w:val="CommentTok"/>
    <w:basedOn w:val="VerbatimChar"/>
    <w:rsid w:val="00867D73"/>
    <w:rPr>
      <w:color w:val="5E5E5E"/>
      <w:shd w:color="auto" w:fill="F1F3F5" w:val="clear"/>
    </w:rPr>
  </w:style>
  <w:style w:customStyle="1" w:styleId="CommentVarTok" w:type="character">
    <w:name w:val="CommentVarTok"/>
    <w:basedOn w:val="VerbatimChar"/>
    <w:rsid w:val="00867D73"/>
    <w:rPr>
      <w:i/>
      <w:color w:val="5E5E5E"/>
      <w:shd w:color="auto" w:fill="F1F3F5" w:val="clear"/>
    </w:rPr>
  </w:style>
  <w:style w:customStyle="1" w:styleId="SourceCode" w:type="paragraph">
    <w:name w:val="Source Code"/>
    <w:basedOn w:val="Normal"/>
    <w:link w:val="VerbatimChar"/>
    <w:rsid w:val="00867D73"/>
    <w:pPr>
      <w:shd w:color="auto" w:fill="F1F3F5" w:val="clear"/>
      <w:wordWrap w:val="0"/>
      <w:jc w:val="left"/>
    </w:pPr>
  </w:style>
  <w:style w:styleId="CommentText" w:type="paragraph">
    <w:name w:val="annotation text"/>
    <w:basedOn w:val="Normal"/>
    <w:link w:val="CommentTextChar"/>
    <w:semiHidden/>
    <w:unhideWhenUsed/>
    <w:rsid w:val="00867D73"/>
    <w:pPr>
      <w:spacing w:line="240" w:lineRule="auto"/>
      <w:jc w:val="left"/>
    </w:pPr>
    <w:rPr>
      <w:sz w:val="20"/>
      <w:szCs w:val="20"/>
    </w:rPr>
  </w:style>
  <w:style w:customStyle="1" w:styleId="CommentTextChar" w:type="character">
    <w:name w:val="Comment Text Char"/>
    <w:basedOn w:val="DefaultParagraphFont"/>
    <w:link w:val="CommentText"/>
    <w:semiHidden/>
    <w:rsid w:val="00867D73"/>
    <w:rPr>
      <w:sz w:val="20"/>
      <w:szCs w:val="20"/>
    </w:rPr>
  </w:style>
  <w:style w:styleId="EndnoteReference" w:type="character">
    <w:name w:val="endnote reference"/>
    <w:basedOn w:val="DefaultParagraphFont"/>
    <w:semiHidden/>
    <w:unhideWhenUsed/>
    <w:rsid w:val="00704B7E"/>
    <w:rPr>
      <w:vertAlign w:val="superscript"/>
    </w:rPr>
  </w:style>
  <w:style w:styleId="TOAHeading" w:type="paragraph">
    <w:name w:val="toa heading"/>
    <w:basedOn w:val="Normal"/>
    <w:next w:val="Normal"/>
    <w:unhideWhenUsed/>
    <w:rsid w:val="00704B7E"/>
    <w:pPr>
      <w:spacing w:before="120"/>
    </w:pPr>
    <w:rPr>
      <w:rFonts w:asciiTheme="majorHAnsi" w:cstheme="majorBidi" w:eastAsiaTheme="majorEastAsia" w:hAnsiTheme="majorHAnsi"/>
      <w:b/>
      <w:bCs/>
    </w:rPr>
  </w:style>
  <w:style w:styleId="Header" w:type="paragraph">
    <w:name w:val="header"/>
    <w:basedOn w:val="Normal"/>
    <w:link w:val="HeaderChar"/>
    <w:unhideWhenUsed/>
    <w:rsid w:val="00704B7E"/>
    <w:pPr>
      <w:tabs>
        <w:tab w:pos="4513" w:val="center"/>
        <w:tab w:pos="9026" w:val="right"/>
      </w:tabs>
      <w:spacing w:after="0" w:line="240" w:lineRule="auto"/>
    </w:pPr>
  </w:style>
  <w:style w:customStyle="1" w:styleId="HeaderChar" w:type="character">
    <w:name w:val="Header Char"/>
    <w:basedOn w:val="DefaultParagraphFont"/>
    <w:link w:val="Header"/>
    <w:rsid w:val="00704B7E"/>
    <w:rPr>
      <w:rFonts w:ascii="Arial" w:hAnsi="Arial"/>
    </w:rPr>
  </w:style>
  <w:style w:styleId="Footer" w:type="paragraph">
    <w:name w:val="footer"/>
    <w:basedOn w:val="Normal"/>
    <w:link w:val="FooterChar"/>
    <w:unhideWhenUsed/>
    <w:rsid w:val="00704B7E"/>
    <w:pPr>
      <w:tabs>
        <w:tab w:pos="4513" w:val="center"/>
        <w:tab w:pos="9026" w:val="right"/>
      </w:tabs>
      <w:spacing w:after="0" w:line="240" w:lineRule="auto"/>
    </w:pPr>
  </w:style>
  <w:style w:customStyle="1" w:styleId="FooterChar" w:type="character">
    <w:name w:val="Footer Char"/>
    <w:basedOn w:val="DefaultParagraphFont"/>
    <w:link w:val="Footer"/>
    <w:rsid w:val="00704B7E"/>
    <w:rPr>
      <w:rFonts w:ascii="Arial" w:hAnsi="Arial"/>
    </w:rPr>
  </w:style>
  <w:style w:styleId="PageNumber" w:type="character">
    <w:name w:val="page number"/>
    <w:basedOn w:val="DefaultParagraphFont"/>
    <w:semiHidden/>
    <w:unhideWhenUsed/>
    <w:rsid w:val="00704B7E"/>
  </w:style>
  <w:style w:styleId="LineNumber" w:type="character">
    <w:name w:val="line number"/>
    <w:basedOn w:val="DefaultParagraphFont"/>
    <w:semiHidden/>
    <w:unhideWhenUsed/>
    <w:rsid w:val="00DE2DF2"/>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0" Target="media/rId20.svg" /><Relationship Type="http://schemas.openxmlformats.org/officeDocument/2006/relationships/image" Id="rId71" Target="media/rId71.svg" /><Relationship Type="http://schemas.openxmlformats.org/officeDocument/2006/relationships/image" Id="rId78" Target="media/rId78.svg" /><Relationship Type="http://schemas.openxmlformats.org/officeDocument/2006/relationships/image" Id="rId84" Target="media/rId84.svg" /><Relationship Type="http://schemas.openxmlformats.org/officeDocument/2006/relationships/image" Id="rId89" Target="media/rId89.svg" /><Relationship Type="http://schemas.openxmlformats.org/officeDocument/2006/relationships/image" Id="rId25" Target="media/rId25.svg" /><Relationship Type="http://schemas.openxmlformats.org/officeDocument/2006/relationships/image" Id="rId31" Target="media/rId31.svg" /><Relationship Type="http://schemas.openxmlformats.org/officeDocument/2006/relationships/image" Id="rId36" Target="media/rId36.svg" /><Relationship Type="http://schemas.openxmlformats.org/officeDocument/2006/relationships/image" Id="rId43" Target="media/rId43.svg" /><Relationship Type="http://schemas.openxmlformats.org/officeDocument/2006/relationships/image" Id="rId47" Target="media/rId47.svg" /><Relationship Type="http://schemas.openxmlformats.org/officeDocument/2006/relationships/image" Id="rId51" Target="media/rId51.svg" /><Relationship Type="http://schemas.openxmlformats.org/officeDocument/2006/relationships/image" Id="rId60" Target="media/rId60.svg" /><Relationship Type="http://schemas.openxmlformats.org/officeDocument/2006/relationships/image" Id="rId66" Target="media/rId66.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Appendix for Pichler &amp; Hartig – Can machine learning be used for causal inference?</dc:title>
  <dc:creator/>
  <cp:keywords/>
  <dcterms:created xsi:type="dcterms:W3CDTF">2023-02-24T08:14:34Z</dcterms:created>
  <dcterms:modified xsi:type="dcterms:W3CDTF">2023-02-24T08:14:34Z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