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53.svg" ContentType="image/svg+xml"/>
  <Override PartName="/word/media/rId25.svg" ContentType="image/svg+xml"/>
  <Override PartName="/word/media/rId33.svg" ContentType="image/svg+xml"/>
  <Override PartName="/word/media/rId37.svg" ContentType="image/svg+xml"/>
  <Override PartName="/word/media/rId4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features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2000 observations from each data generating model (Fig. S1, first column) and estimated effects using MCE (100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plot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(2000 observations). Effects of the ML models were inferred using marginal conditional effects. Row a) shows results for simulations with uncorrelated features with the true effect sizes .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feature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features in the first model would absorb the effect of the weaker second feature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plot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evolution of the total effect within a linear booster model (Fig. S2a), we found indeed that the first members of the ensemble absorb the effect of the collinear effect (effect of X1 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31" w:name="extending-mce-to-two-way-interactions"/>
    <w:p>
      <w:pPr>
        <w:pStyle w:val="Heading2"/>
      </w:pPr>
      <w:r>
        <w:t xml:space="preserve">2 Extending MCE to two-way interactions</w:t>
      </w:r>
    </w:p>
    <w:p>
      <w:pPr>
        <w:pStyle w:val="FirstParagraph"/>
      </w:pPr>
      <w:r>
        <w:t xml:space="preserve">MCE can be extended to $n$-dimensions to detect</w:t>
      </w:r>
      <w:r>
        <w:t xml:space="preserve"> </w:t>
      </w:r>
      <m:oMath>
        <m:r>
          <m:t>n</m:t>
        </m:r>
      </m:oMath>
      <w:r>
        <w:t xml:space="preserve"> </w:t>
      </w:r>
      <w:r>
        <w:t xml:space="preserve">way feature interactions. Here, we extended MCEs to two dimensions to detect two-way feature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features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M</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M</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M</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features are centered and standardized.</w:t>
      </w:r>
    </w:p>
    <w:bookmarkEnd w:id="31"/>
    <w:bookmarkStart w:id="45" w:name="hyperparameter-tuning"/>
    <w:p>
      <w:pPr>
        <w:pStyle w:val="Heading2"/>
      </w:pPr>
      <w:r>
        <w:t xml:space="preserve">3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features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Features were sampled from a multivariate normal distribution and all features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32"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32"/>
    <w:bookmarkStart w:id="41" w:name="results-hyperparameter-tuning"/>
    <w:p>
      <w:pPr>
        <w:pStyle w:val="Heading3"/>
      </w:pPr>
      <w:r>
        <w:t xml:space="preserve">3.1 Results hyperparameter tuning</w:t>
      </w:r>
    </w:p>
    <w:tbl>
      <w:tblPr>
        <w:tblStyle w:val="Table"/>
        <w:tblW w:type="pct" w:w="5000"/>
        <w:tblLook w:firstRow="0" w:lastRow="0" w:firstColumn="0" w:lastColumn="0" w:noHBand="0" w:noVBand="0" w:val="0000"/>
      </w:tblPr>
      <w:tblGrid>
        <w:gridCol w:w="7920"/>
      </w:tblGrid>
      <w:tr>
        <w:tc>
          <w:tcPr/>
          <w:bookmarkStart w:id="36" w:name="fig-Fig_S3"/>
          <w:p>
            <w:pPr>
              <w:pStyle w:val="Figure"/>
              <w:jc w:val="center"/>
            </w:pPr>
            <w:r>
              <w:drawing>
                <wp:inline>
                  <wp:extent cx="5943600" cy="6604000"/>
                  <wp:effectExtent b="0" l="0" r="0" t="0"/>
                  <wp:docPr descr="" title="" id="34" name="Picture"/>
                  <a:graphic>
                    <a:graphicData uri="http://schemas.openxmlformats.org/drawingml/2006/picture">
                      <pic:pic>
                        <pic:nvPicPr>
                          <pic:cNvPr descr="plots/fig-Fig_S3-1.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Results of hyperparameter tuning for Neural Networks (NN), Boosted Regression Trees (BRT), Random Forests (RF), and Elastic Net (EN) for 50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3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0" w:name="fig-Fig_S4"/>
          <w:p>
            <w:pPr>
              <w:pStyle w:val="Figure"/>
              <w:jc w:val="center"/>
            </w:pPr>
            <w:r>
              <w:drawing>
                <wp:inline>
                  <wp:extent cx="5943600" cy="6604000"/>
                  <wp:effectExtent b="0" l="0" r="0" t="0"/>
                  <wp:docPr descr="" title="" id="38" name="Picture"/>
                  <a:graphic>
                    <a:graphicData uri="http://schemas.openxmlformats.org/drawingml/2006/picture">
                      <pic:pic>
                        <pic:nvPicPr>
                          <pic:cNvPr descr="plots/fig-Fig_S4-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Results of hyperparameter tuning for Neural Networks (NN), Boosted Regression Trees (BRT), Random Forests (RF), and Elastic Net (EN) for 600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40"/>
        </w:tc>
      </w:tr>
    </w:tbl>
    <w:bookmarkEnd w:id="41"/>
    <w:bookmarkStart w:id="44" w:name="optimal-hyperparameters"/>
    <w:p>
      <w:pPr>
        <w:pStyle w:val="Heading3"/>
      </w:pPr>
      <w:r>
        <w:t xml:space="preserve">3.2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features, and then using the set of hyperparameters that predicted the lowest MSE.</w:t>
      </w:r>
    </w:p>
    <w:bookmarkStart w:id="42"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auto" w:w="0"/>
        <w:tblLook w:firstRow="1" w:lastRow="0" w:firstColumn="0" w:lastColumn="0" w:noHBand="0" w:noVBand="0" w:val="0020"/>
        <w:tblCaption w:val="Table S 2: Best predicted set of hyperparameterfor ML algorithms (tuned after MSE of predictions)"/>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r>
    </w:tbl>
    <w:bookmarkEnd w:id="42"/>
    <w:p>
      <w:pPr>
        <w:pStyle w:val="BodyText"/>
      </w:pPr>
      <w:r>
        <w:t xml:space="preserve"> </w:t>
      </w:r>
    </w:p>
    <w:bookmarkStart w:id="43"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auto" w:w="0"/>
        <w:tblLook w:firstRow="1" w:lastRow="0" w:firstColumn="0" w:lastColumn="0" w:noHBand="0" w:noVBand="0" w:val="0020"/>
        <w:tblCaption w:val="Table S 3: Best predicted set of hyperparameterfor ML algorithms (tuned after MSE of effect X1)"/>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r>
    </w:tbl>
    <w:bookmarkEnd w:id="43"/>
    <w:bookmarkEnd w:id="44"/>
    <w:bookmarkEnd w:id="45"/>
    <w:bookmarkStart w:id="51" w:name="X99ff52a26cd851f7848a7f10e518fb98614b256"/>
    <w:p>
      <w:pPr>
        <w:pStyle w:val="Heading2"/>
      </w:pPr>
      <w:r>
        <w:t xml:space="preserve">4 Additional results for data-poor scenarios</w:t>
      </w:r>
    </w:p>
    <w:bookmarkStart w:id="50" w:name="prediction-error-of-scenarios"/>
    <w:p>
      <w:pPr>
        <w:pStyle w:val="Heading3"/>
      </w:pPr>
      <w:r>
        <w:t xml:space="preserve">4.1 Prediction error of scenarios</w:t>
      </w:r>
    </w:p>
    <w:tbl>
      <w:tblPr>
        <w:tblStyle w:val="Table"/>
        <w:tblW w:type="pct" w:w="5000"/>
        <w:tblLook w:firstRow="0" w:lastRow="0" w:firstColumn="0" w:lastColumn="0" w:noHBand="0" w:noVBand="0" w:val="0000"/>
      </w:tblPr>
      <w:tblGrid>
        <w:gridCol w:w="7920"/>
      </w:tblGrid>
      <w:tr>
        <w:tc>
          <w:tcPr/>
          <w:bookmarkStart w:id="49" w:name="fig-Fig_S5"/>
          <w:p>
            <w:pPr>
              <w:pStyle w:val="Figure"/>
              <w:jc w:val="center"/>
            </w:pPr>
            <w:r>
              <w:drawing>
                <wp:inline>
                  <wp:extent cx="5943600" cy="5094514"/>
                  <wp:effectExtent b="0" l="0" r="0" t="0"/>
                  <wp:docPr descr="" title="" id="47" name="Picture"/>
                  <a:graphic>
                    <a:graphicData uri="http://schemas.openxmlformats.org/drawingml/2006/picture">
                      <pic:pic>
                        <pic:nvPicPr>
                          <pic:cNvPr descr="plots/fig-Fig_S5-1.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Prediction error (mean square error, MSE) of data poor simulations with optimal hyperparameters either tuned after the best MSE of the effect size (red) or the best MSE of the prediction error (blue).</w:t>
            </w:r>
          </w:p>
          <w:bookmarkEnd w:id="49"/>
        </w:tc>
      </w:tr>
    </w:tbl>
    <w:bookmarkEnd w:id="50"/>
    <w:bookmarkEnd w:id="51"/>
    <w:bookmarkStart w:id="52" w:name="data-poor-scenarios-without-collinearity"/>
    <w:p>
      <w:pPr>
        <w:pStyle w:val="Heading2"/>
      </w:pPr>
      <w:r>
        <w:t xml:space="preserve">5 Data-poor scenarios without collinearity</w:t>
      </w:r>
    </w:p>
    <w:bookmarkEnd w:id="52"/>
    <w:bookmarkStart w:id="57" w:name="weighted-mce"/>
    <w:p>
      <w:pPr>
        <w:pStyle w:val="Heading2"/>
      </w:pPr>
      <w:r>
        <w:t xml:space="preserve">6 Weighted MCE</w:t>
      </w:r>
    </w:p>
    <w:p>
      <w:pPr>
        <w:pStyle w:val="FirstParagraph"/>
      </w:pPr>
      <w:r>
        <w:t xml:space="preserve">If the instances of a feature x_j are not uniformly distributed, we propose to calculate a weighted</w:t>
      </w:r>
      <w:r>
        <w:t xml:space="preserve"> </w:t>
      </w:r>
      <m:oMath>
        <m:r>
          <m:t>w</m:t>
        </m:r>
        <m:r>
          <m:t>M</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M</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feature space of</w:t>
      </w:r>
      <w:r>
        <w:t xml:space="preserve"> </w:t>
      </w:r>
      <m:oMath>
        <m:sSub>
          <m:e>
            <m:r>
              <m:t>x</m:t>
            </m:r>
          </m:e>
          <m:sub>
            <m:r>
              <m:t>k</m:t>
            </m:r>
          </m:sub>
        </m:sSub>
      </m:oMath>
      <w:r>
        <w:t xml:space="preserve">.</w:t>
      </w:r>
    </w:p>
    <w:p>
      <w:pPr>
        <w:pStyle w:val="BodyText"/>
      </w:pPr>
      <w:r>
        <w:t xml:space="preserve">To demonstrate the idea of weighted MCE, we simulated a scenario with one feature where the</w:t>
      </w:r>
      <w:r>
        <w:t xml:space="preserve"> </w:t>
      </w:r>
      <m:oMath>
        <m:sSub>
          <m:e>
            <m:r>
              <m:t>β</m:t>
            </m:r>
          </m:e>
          <m:sub>
            <m:r>
              <m:t>1</m:t>
            </m:r>
          </m:sub>
        </m:sSub>
        <m:r>
          <m:rPr>
            <m:sty m:val="p"/>
          </m:rPr>
          <m:t>=</m:t>
        </m:r>
        <m:r>
          <m:t>2</m:t>
        </m:r>
      </m:oMath>
      <w:r>
        <w:t xml:space="preserve"> </w:t>
      </w:r>
      <w:r>
        <w:t xml:space="preserve">for values of the feature</w:t>
      </w:r>
      <w:r>
        <w:t xml:space="preserve"> </w:t>
      </w:r>
      <m:oMath>
        <m:r>
          <m:rPr>
            <m:sty m:val="p"/>
          </m:rPr>
          <m:t>&lt;</m:t>
        </m:r>
        <m:r>
          <m:t>2</m:t>
        </m:r>
      </m:oMath>
      <w:r>
        <w:t xml:space="preserve"> </w:t>
      </w:r>
      <w:r>
        <w:t xml:space="preserve">and for the other feature values</w:t>
      </w:r>
      <w:r>
        <w:t xml:space="preserve"> </w:t>
      </w:r>
      <m:oMath>
        <m:sSub>
          <m:e>
            <m:r>
              <m:t>β</m:t>
            </m:r>
          </m:e>
          <m:sub>
            <m:r>
              <m:t>1</m:t>
            </m:r>
          </m:sub>
        </m:sSub>
        <m:r>
          <m:rPr>
            <m:sty m:val="p"/>
          </m:rPr>
          <m:t>=</m:t>
        </m:r>
        <m:r>
          <m:t>0</m:t>
        </m:r>
      </m:oMath>
      <w:r>
        <w:t xml:space="preserve"> </w:t>
      </w:r>
      <w:r>
        <w:t xml:space="preserve">(Fig. S4). The feature was sampled from a log-Normal distribution. We fitted a linear regression model and a NN on the data and compared the effect estimated by the LM, the unweighted MCE, and the weighted MCE.</w:t>
      </w:r>
    </w:p>
    <w:p>
      <w:pPr>
        <w:pStyle w:val="BodyText"/>
      </w:pPr>
      <w:r>
        <w:t xml:space="preserve">The LM estimated an effect of 1.48, the unweighted MCE was 1.95, and the weighted MCE was 1.48 (Fig. S16).</w:t>
      </w:r>
    </w:p>
    <w:tbl>
      <w:tblPr>
        <w:tblStyle w:val="Table"/>
        <w:tblW w:type="pct" w:w="5000"/>
        <w:tblLook w:firstRow="0" w:lastRow="0" w:firstColumn="0" w:lastColumn="0" w:noHBand="0" w:noVBand="0" w:val="0000"/>
      </w:tblPr>
      <w:tblGrid>
        <w:gridCol w:w="7920"/>
      </w:tblGrid>
      <w:tr>
        <w:tc>
          <w:tcPr/>
          <w:bookmarkStart w:id="56" w:name="fig-Fig_S16"/>
          <w:p>
            <w:pPr>
              <w:pStyle w:val="Figure"/>
              <w:jc w:val="center"/>
            </w:pPr>
            <w:r>
              <w:drawing>
                <wp:inline>
                  <wp:extent cx="5943600" cy="5094514"/>
                  <wp:effectExtent b="0" l="0" r="0" t="0"/>
                  <wp:docPr descr="" title="" id="54" name="Picture"/>
                  <a:graphic>
                    <a:graphicData uri="http://schemas.openxmlformats.org/drawingml/2006/picture">
                      <pic:pic>
                        <pic:nvPicPr>
                          <pic:cNvPr descr="plots/fig-Fig_S16-1.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Simulation example with non-uniform sampled feature X1 (log normal distributed). The red line is the effect estimated by a LM OLS. The blue line is the effect reported by an unweighted MCE from a NN. The green line is the effect reported by a weighted MCE from a NN.</w:t>
            </w:r>
          </w:p>
          <w:bookmarkEnd w:id="56"/>
        </w:tc>
      </w:tr>
    </w:tbl>
    <w:bookmarkEnd w:id="57"/>
    <w:bookmarkStart w:id="60" w:name="case-study---rmse"/>
    <w:p>
      <w:pPr>
        <w:pStyle w:val="Heading2"/>
      </w:pPr>
      <w:r>
        <w:t xml:space="preserve">7 Case study - RMSE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8bce66f-5cbe-4430-b72a-b338f1991fbd" w:name="tbl-Table_S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bce66f-5cbe-4430-b72a-b338f1991fbd"/>
      <w:r>
        <w:rPr>
          <w:rFonts/>
          <w:b w:val="true"/>
        </w:rPr>
        <w:t xml:space="preserve">: </w:t>
      </w:r>
      <w:r>
        <w:t xml:space="preserve">In-sample R2 of BRT, RF, NN, and LM in predicting the risk of Lung Cancer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97ef165-2503-42a4-9bf8-ac2d4bb97505" w:name="tbl-Table_S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97ef165-2503-42a4-9bf8-ac2d4bb97505"/>
      <w:r>
        <w:rPr>
          <w:rFonts/>
          <w:b w:val="true"/>
        </w:rPr>
        <w:t xml:space="preserve">: </w:t>
      </w:r>
      <w:r>
        <w:t xml:space="preserve">Out-of-sample R2 of BRT, RF, NN, and LM in predicting the risk of Lung Cancer with intervention on Lung Volume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0.48</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6df1d46-6267-4d85-94be-8ccd389e5d3e" w:name="tbl-Table_S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df1d46-6267-4d85-94be-8ccd389e5d3e"/>
      <w:r>
        <w:rPr>
          <w:rFonts/>
          <w:b w:val="true"/>
        </w:rPr>
        <w:t xml:space="preserve">: </w:t>
      </w:r>
      <w:r>
        <w:t xml:space="preserve">Out-of-sample R2 of BRT, RF, NN, and LM in predicting the risk of Lung Cancer with changed correlation structure because of the unobservable confounder 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0.67</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0.68</w:t>
            </w:r>
          </w:p>
        </w:tc>
      </w:tr>
      <w:tr>
        <w:trPr>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r>
      <w:tr>
        <w:trPr>
          <w:trHeight w:val="360"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0.89</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0.99</w:t>
            </w:r>
          </w:p>
        </w:tc>
      </w:tr>
    </w:tbl>
    <w:bookmarkStart w:id="59" w:name="refs"/>
    <w:bookmarkStart w:id="58"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58"/>
    <w:bookmarkEnd w:id="59"/>
    <w:bookmarkEnd w:id="60"/>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83D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B24D0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89623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C637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23CEE5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18CA0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42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DC4221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FF878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0E6F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3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51D9A"/>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D63FA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53" Target="media/rId53.svg" /><Relationship Type="http://schemas.openxmlformats.org/officeDocument/2006/relationships/image" Id="rId25" Target="media/rId25.svg" /><Relationship Type="http://schemas.openxmlformats.org/officeDocument/2006/relationships/image" Id="rId33" Target="media/rId33.svg" /><Relationship Type="http://schemas.openxmlformats.org/officeDocument/2006/relationships/image" Id="rId37" Target="media/rId37.svg" /><Relationship Type="http://schemas.openxmlformats.org/officeDocument/2006/relationships/image" Id="rId46" Target="media/rId46.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2023-02-02T13:53:00Z</dcterms:created>
  <dcterms:modified xsi:type="dcterms:W3CDTF">2023-02-02T13:53:00Z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